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shd w:val="clear"/>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31E2C5C3">
      <w:pPr>
        <w:pageBreakBefore w:val="0"/>
        <w:widowControl w:val="0"/>
        <w:shd w:val="clear"/>
        <w:wordWrap/>
        <w:overflowPunct/>
        <w:topLinePunct w:val="0"/>
        <w:bidi w:val="0"/>
        <w:spacing w:before="78" w:line="219" w:lineRule="auto"/>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 xml:space="preserve">（一） </w:t>
      </w: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需求</w:t>
      </w:r>
    </w:p>
    <w:tbl>
      <w:tblPr>
        <w:tblStyle w:val="6"/>
        <w:tblW w:w="5032" w:type="pct"/>
        <w:tblInd w:w="110"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autofit"/>
        <w:tblCellMar>
          <w:top w:w="0" w:type="dxa"/>
          <w:left w:w="0" w:type="dxa"/>
          <w:bottom w:w="0" w:type="dxa"/>
          <w:right w:w="0" w:type="dxa"/>
        </w:tblCellMar>
      </w:tblPr>
      <w:tblGrid>
        <w:gridCol w:w="1092"/>
        <w:gridCol w:w="1891"/>
        <w:gridCol w:w="2960"/>
        <w:gridCol w:w="1035"/>
        <w:gridCol w:w="1411"/>
      </w:tblGrid>
      <w:tr w14:paraId="13ECEB69">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44" w:hRule="atLeast"/>
        </w:trPr>
        <w:tc>
          <w:tcPr>
            <w:tcW w:w="1268" w:type="dxa"/>
            <w:vMerge w:val="restart"/>
            <w:tcBorders>
              <w:top w:val="single" w:color="000000" w:sz="12" w:space="0"/>
              <w:left w:val="single" w:color="000000" w:sz="12" w:space="0"/>
              <w:bottom w:val="single" w:color="000000" w:sz="8" w:space="0"/>
              <w:right w:val="single" w:color="000000" w:sz="8" w:space="0"/>
            </w:tcBorders>
            <w:noWrap w:val="0"/>
            <w:vAlign w:val="center"/>
          </w:tcPr>
          <w:p w14:paraId="34084FB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i w:val="0"/>
                <w:iCs w:val="0"/>
                <w:color w:val="000000"/>
                <w:kern w:val="0"/>
                <w:sz w:val="28"/>
                <w:szCs w:val="28"/>
                <w:u w:val="none"/>
                <w:lang w:val="en-US" w:eastAsia="zh-CN" w:bidi="ar"/>
              </w:rPr>
              <w:t>序号</w:t>
            </w:r>
          </w:p>
        </w:tc>
        <w:tc>
          <w:tcPr>
            <w:tcW w:w="2247" w:type="dxa"/>
            <w:vMerge w:val="restart"/>
            <w:tcBorders>
              <w:top w:val="single" w:color="000000" w:sz="12" w:space="0"/>
              <w:left w:val="single" w:color="000000" w:sz="8" w:space="0"/>
              <w:bottom w:val="single" w:color="000000" w:sz="8" w:space="0"/>
              <w:right w:val="single" w:color="000000" w:sz="8" w:space="0"/>
            </w:tcBorders>
            <w:noWrap w:val="0"/>
            <w:vAlign w:val="center"/>
          </w:tcPr>
          <w:p w14:paraId="2DB3180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i w:val="0"/>
                <w:iCs w:val="0"/>
                <w:color w:val="000000"/>
                <w:kern w:val="0"/>
                <w:sz w:val="28"/>
                <w:szCs w:val="28"/>
                <w:u w:val="none"/>
                <w:lang w:val="en-US" w:eastAsia="zh-CN" w:bidi="ar"/>
              </w:rPr>
              <w:t>项目名称</w:t>
            </w:r>
          </w:p>
        </w:tc>
        <w:tc>
          <w:tcPr>
            <w:tcW w:w="3554" w:type="dxa"/>
            <w:vMerge w:val="restart"/>
            <w:tcBorders>
              <w:top w:val="single" w:color="000000" w:sz="12" w:space="0"/>
              <w:left w:val="single" w:color="000000" w:sz="8" w:space="0"/>
              <w:bottom w:val="single" w:color="000000" w:sz="8" w:space="0"/>
              <w:right w:val="single" w:color="000000" w:sz="8" w:space="0"/>
            </w:tcBorders>
            <w:noWrap w:val="0"/>
            <w:vAlign w:val="center"/>
          </w:tcPr>
          <w:p w14:paraId="578822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i w:val="0"/>
                <w:iCs w:val="0"/>
                <w:color w:val="000000"/>
                <w:kern w:val="0"/>
                <w:sz w:val="28"/>
                <w:szCs w:val="28"/>
                <w:u w:val="none"/>
                <w:lang w:val="en-US" w:eastAsia="zh-CN" w:bidi="ar"/>
              </w:rPr>
              <w:t>项目内容及描述</w:t>
            </w:r>
          </w:p>
        </w:tc>
        <w:tc>
          <w:tcPr>
            <w:tcW w:w="1181" w:type="dxa"/>
            <w:vMerge w:val="restart"/>
            <w:tcBorders>
              <w:top w:val="single" w:color="000000" w:sz="12" w:space="0"/>
              <w:left w:val="single" w:color="000000" w:sz="8" w:space="0"/>
              <w:bottom w:val="single" w:color="000000" w:sz="8" w:space="0"/>
              <w:right w:val="single" w:color="000000" w:sz="8" w:space="0"/>
            </w:tcBorders>
            <w:noWrap w:val="0"/>
            <w:vAlign w:val="center"/>
          </w:tcPr>
          <w:p w14:paraId="43BDC10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i w:val="0"/>
                <w:iCs w:val="0"/>
                <w:color w:val="000000"/>
                <w:kern w:val="0"/>
                <w:sz w:val="28"/>
                <w:szCs w:val="28"/>
                <w:u w:val="none"/>
                <w:lang w:val="en-US" w:eastAsia="zh-CN" w:bidi="ar"/>
              </w:rPr>
              <w:t>单位</w:t>
            </w:r>
          </w:p>
        </w:tc>
        <w:tc>
          <w:tcPr>
            <w:tcW w:w="1560" w:type="dxa"/>
            <w:vMerge w:val="restart"/>
            <w:tcBorders>
              <w:top w:val="single" w:color="000000" w:sz="12" w:space="0"/>
              <w:left w:val="single" w:color="000000" w:sz="8" w:space="0"/>
              <w:bottom w:val="single" w:color="000000" w:sz="8" w:space="0"/>
              <w:right w:val="single" w:color="000000" w:sz="12" w:space="0"/>
            </w:tcBorders>
            <w:noWrap w:val="0"/>
            <w:vAlign w:val="center"/>
          </w:tcPr>
          <w:p w14:paraId="0B40B8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i w:val="0"/>
                <w:iCs w:val="0"/>
                <w:color w:val="000000"/>
                <w:kern w:val="0"/>
                <w:sz w:val="28"/>
                <w:szCs w:val="28"/>
                <w:u w:val="none"/>
                <w:lang w:val="en-US" w:eastAsia="zh-CN" w:bidi="ar"/>
              </w:rPr>
              <w:t>工程量</w:t>
            </w:r>
          </w:p>
        </w:tc>
      </w:tr>
      <w:tr w14:paraId="62FE57EF">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12" w:hRule="atLeast"/>
        </w:trPr>
        <w:tc>
          <w:tcPr>
            <w:tcW w:w="1268" w:type="dxa"/>
            <w:vMerge w:val="continue"/>
            <w:tcBorders>
              <w:top w:val="single" w:color="000000" w:sz="8" w:space="0"/>
              <w:left w:val="single" w:color="000000" w:sz="12" w:space="0"/>
              <w:bottom w:val="single" w:color="000000" w:sz="8" w:space="0"/>
              <w:right w:val="single" w:color="000000" w:sz="8" w:space="0"/>
            </w:tcBorders>
            <w:noWrap w:val="0"/>
            <w:vAlign w:val="top"/>
          </w:tcPr>
          <w:p w14:paraId="6D4A717A">
            <w:pPr>
              <w:keepNext w:val="0"/>
              <w:keepLines w:val="0"/>
              <w:pageBreakBefore w:val="0"/>
              <w:kinsoku/>
              <w:wordWrap/>
              <w:overflowPunct/>
              <w:topLinePunct w:val="0"/>
              <w:autoSpaceDE/>
              <w:autoSpaceDN/>
              <w:bidi w:val="0"/>
              <w:adjustRightInd/>
              <w:snapToGrid/>
              <w:spacing w:line="360" w:lineRule="auto"/>
              <w:rPr>
                <w:rFonts w:hint="eastAsia" w:ascii="仿宋" w:hAnsi="仿宋" w:eastAsia="仿宋" w:cs="仿宋"/>
                <w:color w:val="000000"/>
                <w:sz w:val="2"/>
                <w:szCs w:val="2"/>
              </w:rPr>
            </w:pPr>
          </w:p>
        </w:tc>
        <w:tc>
          <w:tcPr>
            <w:tcW w:w="2247" w:type="dxa"/>
            <w:vMerge w:val="continue"/>
            <w:tcBorders>
              <w:top w:val="single" w:color="000000" w:sz="8" w:space="0"/>
              <w:left w:val="single" w:color="000000" w:sz="8" w:space="0"/>
              <w:bottom w:val="single" w:color="000000" w:sz="8" w:space="0"/>
              <w:right w:val="single" w:color="000000" w:sz="8" w:space="0"/>
            </w:tcBorders>
            <w:noWrap w:val="0"/>
            <w:vAlign w:val="top"/>
          </w:tcPr>
          <w:p w14:paraId="75D7673E">
            <w:pPr>
              <w:keepNext w:val="0"/>
              <w:keepLines w:val="0"/>
              <w:pageBreakBefore w:val="0"/>
              <w:kinsoku/>
              <w:wordWrap/>
              <w:overflowPunct/>
              <w:topLinePunct w:val="0"/>
              <w:autoSpaceDE/>
              <w:autoSpaceDN/>
              <w:bidi w:val="0"/>
              <w:adjustRightInd/>
              <w:snapToGrid/>
              <w:spacing w:line="360" w:lineRule="auto"/>
              <w:rPr>
                <w:rFonts w:hint="eastAsia" w:ascii="仿宋" w:hAnsi="仿宋" w:eastAsia="仿宋" w:cs="仿宋"/>
                <w:color w:val="000000"/>
                <w:sz w:val="2"/>
                <w:szCs w:val="2"/>
              </w:rPr>
            </w:pPr>
          </w:p>
        </w:tc>
        <w:tc>
          <w:tcPr>
            <w:tcW w:w="3554" w:type="dxa"/>
            <w:vMerge w:val="continue"/>
            <w:tcBorders>
              <w:top w:val="single" w:color="000000" w:sz="8" w:space="0"/>
              <w:left w:val="single" w:color="000000" w:sz="8" w:space="0"/>
              <w:bottom w:val="single" w:color="000000" w:sz="8" w:space="0"/>
              <w:right w:val="single" w:color="000000" w:sz="8" w:space="0"/>
            </w:tcBorders>
            <w:noWrap w:val="0"/>
            <w:vAlign w:val="top"/>
          </w:tcPr>
          <w:p w14:paraId="4B78ED8C">
            <w:pPr>
              <w:keepNext w:val="0"/>
              <w:keepLines w:val="0"/>
              <w:pageBreakBefore w:val="0"/>
              <w:kinsoku/>
              <w:wordWrap/>
              <w:overflowPunct/>
              <w:topLinePunct w:val="0"/>
              <w:autoSpaceDE/>
              <w:autoSpaceDN/>
              <w:bidi w:val="0"/>
              <w:adjustRightInd/>
              <w:snapToGrid/>
              <w:spacing w:line="360" w:lineRule="auto"/>
              <w:rPr>
                <w:rFonts w:hint="eastAsia" w:ascii="仿宋" w:hAnsi="仿宋" w:eastAsia="仿宋" w:cs="仿宋"/>
                <w:color w:val="000000"/>
                <w:sz w:val="2"/>
                <w:szCs w:val="2"/>
              </w:rPr>
            </w:pPr>
          </w:p>
        </w:tc>
        <w:tc>
          <w:tcPr>
            <w:tcW w:w="1181" w:type="dxa"/>
            <w:vMerge w:val="continue"/>
            <w:tcBorders>
              <w:top w:val="single" w:color="000000" w:sz="8" w:space="0"/>
              <w:left w:val="single" w:color="000000" w:sz="8" w:space="0"/>
              <w:bottom w:val="single" w:color="000000" w:sz="8" w:space="0"/>
              <w:right w:val="single" w:color="000000" w:sz="8" w:space="0"/>
            </w:tcBorders>
            <w:noWrap w:val="0"/>
            <w:vAlign w:val="top"/>
          </w:tcPr>
          <w:p w14:paraId="236522AB">
            <w:pPr>
              <w:keepNext w:val="0"/>
              <w:keepLines w:val="0"/>
              <w:pageBreakBefore w:val="0"/>
              <w:kinsoku/>
              <w:wordWrap/>
              <w:overflowPunct/>
              <w:topLinePunct w:val="0"/>
              <w:autoSpaceDE/>
              <w:autoSpaceDN/>
              <w:bidi w:val="0"/>
              <w:adjustRightInd/>
              <w:snapToGrid/>
              <w:spacing w:line="360" w:lineRule="auto"/>
              <w:rPr>
                <w:rFonts w:hint="eastAsia" w:ascii="仿宋" w:hAnsi="仿宋" w:eastAsia="仿宋" w:cs="仿宋"/>
                <w:color w:val="000000"/>
                <w:sz w:val="2"/>
                <w:szCs w:val="2"/>
              </w:rPr>
            </w:pPr>
          </w:p>
        </w:tc>
        <w:tc>
          <w:tcPr>
            <w:tcW w:w="1560" w:type="dxa"/>
            <w:vMerge w:val="continue"/>
            <w:tcBorders>
              <w:top w:val="single" w:color="000000" w:sz="8" w:space="0"/>
              <w:left w:val="single" w:color="000000" w:sz="8" w:space="0"/>
              <w:bottom w:val="single" w:color="000000" w:sz="8" w:space="0"/>
              <w:right w:val="single" w:color="000000" w:sz="12" w:space="0"/>
            </w:tcBorders>
            <w:noWrap w:val="0"/>
            <w:vAlign w:val="top"/>
          </w:tcPr>
          <w:p w14:paraId="2CA49AB8">
            <w:pPr>
              <w:keepNext w:val="0"/>
              <w:keepLines w:val="0"/>
              <w:pageBreakBefore w:val="0"/>
              <w:kinsoku/>
              <w:wordWrap/>
              <w:overflowPunct/>
              <w:topLinePunct w:val="0"/>
              <w:autoSpaceDE/>
              <w:autoSpaceDN/>
              <w:bidi w:val="0"/>
              <w:adjustRightInd/>
              <w:snapToGrid/>
              <w:spacing w:line="360" w:lineRule="auto"/>
              <w:rPr>
                <w:rFonts w:hint="eastAsia" w:ascii="仿宋" w:hAnsi="仿宋" w:eastAsia="仿宋" w:cs="仿宋"/>
                <w:color w:val="000000"/>
                <w:sz w:val="2"/>
                <w:szCs w:val="2"/>
              </w:rPr>
            </w:pPr>
          </w:p>
        </w:tc>
      </w:tr>
      <w:tr w14:paraId="11F9121A">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74" w:hRule="atLeast"/>
        </w:trPr>
        <w:tc>
          <w:tcPr>
            <w:tcW w:w="1268" w:type="dxa"/>
            <w:tcBorders>
              <w:top w:val="single" w:color="000000" w:sz="8" w:space="0"/>
              <w:left w:val="single" w:color="000000" w:sz="12" w:space="0"/>
              <w:bottom w:val="single" w:color="000000" w:sz="8" w:space="0"/>
              <w:right w:val="single" w:color="000000" w:sz="8" w:space="0"/>
            </w:tcBorders>
            <w:noWrap w:val="0"/>
            <w:vAlign w:val="center"/>
          </w:tcPr>
          <w:p w14:paraId="3CC039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000000"/>
                <w:sz w:val="20"/>
              </w:rPr>
            </w:pPr>
            <w:r>
              <w:rPr>
                <w:rFonts w:hint="eastAsia" w:ascii="仿宋" w:hAnsi="仿宋" w:eastAsia="仿宋" w:cs="仿宋"/>
                <w:i w:val="0"/>
                <w:iCs w:val="0"/>
                <w:color w:val="000000"/>
                <w:kern w:val="0"/>
                <w:sz w:val="24"/>
                <w:szCs w:val="24"/>
                <w:u w:val="none"/>
                <w:lang w:val="en-US" w:eastAsia="zh-CN" w:bidi="ar"/>
              </w:rPr>
              <w:t>1</w:t>
            </w:r>
          </w:p>
        </w:tc>
        <w:tc>
          <w:tcPr>
            <w:tcW w:w="2247" w:type="dxa"/>
            <w:tcBorders>
              <w:top w:val="single" w:color="000000" w:sz="8" w:space="0"/>
              <w:left w:val="single" w:color="000000" w:sz="8" w:space="0"/>
              <w:bottom w:val="single" w:color="000000" w:sz="8" w:space="0"/>
              <w:right w:val="single" w:color="000000" w:sz="8" w:space="0"/>
            </w:tcBorders>
            <w:noWrap w:val="0"/>
            <w:vAlign w:val="center"/>
          </w:tcPr>
          <w:p w14:paraId="49EACB67">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宋体" w:hAnsi="宋体" w:eastAsia="宋体" w:cs="宋体"/>
                <w:i w:val="0"/>
                <w:iCs w:val="0"/>
                <w:color w:val="000000"/>
                <w:kern w:val="0"/>
                <w:sz w:val="24"/>
                <w:szCs w:val="24"/>
                <w:u w:val="none"/>
                <w:lang w:val="en-US" w:eastAsia="zh-CN" w:bidi="ar"/>
              </w:rPr>
              <w:t>林草湿荒普查</w:t>
            </w:r>
          </w:p>
        </w:tc>
        <w:tc>
          <w:tcPr>
            <w:tcW w:w="3554" w:type="dxa"/>
            <w:tcBorders>
              <w:top w:val="single" w:color="000000" w:sz="8" w:space="0"/>
              <w:left w:val="single" w:color="000000" w:sz="8" w:space="0"/>
              <w:bottom w:val="single" w:color="000000" w:sz="8" w:space="0"/>
              <w:right w:val="single" w:color="000000" w:sz="8" w:space="0"/>
            </w:tcBorders>
            <w:noWrap w:val="0"/>
            <w:vAlign w:val="center"/>
          </w:tcPr>
          <w:p w14:paraId="2F34C3B1">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宋体" w:hAnsi="宋体" w:eastAsia="宋体" w:cs="宋体"/>
                <w:i w:val="0"/>
                <w:iCs w:val="0"/>
                <w:color w:val="000000"/>
                <w:kern w:val="0"/>
                <w:sz w:val="24"/>
                <w:szCs w:val="24"/>
                <w:u w:val="none"/>
                <w:lang w:val="en-US" w:eastAsia="zh-CN" w:bidi="ar"/>
              </w:rPr>
              <w:t>林草湿荒普查</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C46DE9E">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宋体" w:hAnsi="宋体" w:eastAsia="宋体" w:cs="宋体"/>
                <w:i w:val="0"/>
                <w:iCs w:val="0"/>
                <w:color w:val="000000"/>
                <w:kern w:val="0"/>
                <w:sz w:val="24"/>
                <w:szCs w:val="24"/>
                <w:u w:val="none"/>
                <w:lang w:val="en-US" w:eastAsia="zh-CN" w:bidi="ar"/>
              </w:rPr>
              <w:t>km2</w:t>
            </w:r>
          </w:p>
        </w:tc>
        <w:tc>
          <w:tcPr>
            <w:tcW w:w="1560" w:type="dxa"/>
            <w:tcBorders>
              <w:top w:val="single" w:color="000000" w:sz="8" w:space="0"/>
              <w:left w:val="single" w:color="000000" w:sz="8" w:space="0"/>
              <w:bottom w:val="single" w:color="000000" w:sz="8" w:space="0"/>
              <w:right w:val="single" w:color="000000" w:sz="12" w:space="0"/>
            </w:tcBorders>
            <w:noWrap w:val="0"/>
            <w:vAlign w:val="center"/>
          </w:tcPr>
          <w:p w14:paraId="1363F80A">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宋体" w:hAnsi="宋体" w:eastAsia="宋体" w:cs="宋体"/>
                <w:i w:val="0"/>
                <w:iCs w:val="0"/>
                <w:color w:val="000000"/>
                <w:kern w:val="0"/>
                <w:sz w:val="24"/>
                <w:szCs w:val="24"/>
                <w:u w:val="none"/>
                <w:lang w:val="en-US" w:eastAsia="zh-CN" w:bidi="ar"/>
              </w:rPr>
              <w:t>910</w:t>
            </w:r>
          </w:p>
        </w:tc>
      </w:tr>
      <w:tr w14:paraId="5D68AB3E">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625" w:hRule="atLeast"/>
        </w:trPr>
        <w:tc>
          <w:tcPr>
            <w:tcW w:w="1268" w:type="dxa"/>
            <w:tcBorders>
              <w:top w:val="single" w:color="000000" w:sz="8" w:space="0"/>
              <w:left w:val="single" w:color="000000" w:sz="12" w:space="0"/>
              <w:bottom w:val="single" w:color="000000" w:sz="8" w:space="0"/>
              <w:right w:val="single" w:color="000000" w:sz="8" w:space="0"/>
            </w:tcBorders>
            <w:noWrap w:val="0"/>
            <w:vAlign w:val="center"/>
          </w:tcPr>
          <w:p w14:paraId="127EF8A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000000"/>
                <w:sz w:val="20"/>
              </w:rPr>
            </w:pPr>
            <w:r>
              <w:rPr>
                <w:rFonts w:hint="eastAsia" w:ascii="仿宋" w:hAnsi="仿宋" w:eastAsia="仿宋" w:cs="仿宋"/>
                <w:i w:val="0"/>
                <w:iCs w:val="0"/>
                <w:color w:val="000000"/>
                <w:kern w:val="0"/>
                <w:sz w:val="24"/>
                <w:szCs w:val="24"/>
                <w:u w:val="none"/>
                <w:lang w:val="en-US" w:eastAsia="zh-CN" w:bidi="ar"/>
              </w:rPr>
              <w:t>2</w:t>
            </w:r>
          </w:p>
        </w:tc>
        <w:tc>
          <w:tcPr>
            <w:tcW w:w="2247" w:type="dxa"/>
            <w:tcBorders>
              <w:top w:val="single" w:color="000000" w:sz="8" w:space="0"/>
              <w:left w:val="single" w:color="000000" w:sz="8" w:space="0"/>
              <w:bottom w:val="single" w:color="000000" w:sz="8" w:space="0"/>
              <w:right w:val="single" w:color="000000" w:sz="8" w:space="0"/>
            </w:tcBorders>
            <w:noWrap w:val="0"/>
            <w:vAlign w:val="center"/>
          </w:tcPr>
          <w:p w14:paraId="6CE7C817">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宋体" w:hAnsi="宋体" w:eastAsia="宋体" w:cs="宋体"/>
                <w:i w:val="0"/>
                <w:iCs w:val="0"/>
                <w:color w:val="000000"/>
                <w:kern w:val="0"/>
                <w:sz w:val="24"/>
                <w:szCs w:val="24"/>
                <w:u w:val="none"/>
                <w:lang w:val="en-US" w:eastAsia="zh-CN" w:bidi="ar"/>
              </w:rPr>
              <w:t>外业调查费用</w:t>
            </w:r>
          </w:p>
        </w:tc>
        <w:tc>
          <w:tcPr>
            <w:tcW w:w="3554" w:type="dxa"/>
            <w:tcBorders>
              <w:top w:val="single" w:color="000000" w:sz="8" w:space="0"/>
              <w:left w:val="single" w:color="000000" w:sz="8" w:space="0"/>
              <w:bottom w:val="single" w:color="000000" w:sz="8" w:space="0"/>
              <w:right w:val="single" w:color="000000" w:sz="8" w:space="0"/>
            </w:tcBorders>
            <w:noWrap w:val="0"/>
            <w:vAlign w:val="center"/>
          </w:tcPr>
          <w:p w14:paraId="2DF257A8">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宋体" w:hAnsi="宋体" w:eastAsia="宋体" w:cs="宋体"/>
                <w:i w:val="0"/>
                <w:iCs w:val="0"/>
                <w:color w:val="000000"/>
                <w:kern w:val="0"/>
                <w:sz w:val="24"/>
                <w:szCs w:val="24"/>
                <w:u w:val="none"/>
                <w:lang w:val="en-US" w:eastAsia="zh-CN" w:bidi="ar"/>
              </w:rPr>
              <w:t>外业调查费用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486D629">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宋体" w:hAnsi="宋体" w:eastAsia="宋体" w:cs="宋体"/>
                <w:i w:val="0"/>
                <w:iCs w:val="0"/>
                <w:color w:val="000000"/>
                <w:kern w:val="0"/>
                <w:sz w:val="24"/>
                <w:szCs w:val="24"/>
                <w:u w:val="none"/>
                <w:lang w:val="en-US" w:eastAsia="zh-CN" w:bidi="ar"/>
              </w:rPr>
              <w:t>亩</w:t>
            </w:r>
          </w:p>
        </w:tc>
        <w:tc>
          <w:tcPr>
            <w:tcW w:w="1560" w:type="dxa"/>
            <w:tcBorders>
              <w:top w:val="single" w:color="000000" w:sz="8" w:space="0"/>
              <w:left w:val="single" w:color="000000" w:sz="8" w:space="0"/>
              <w:bottom w:val="single" w:color="000000" w:sz="8" w:space="0"/>
              <w:right w:val="single" w:color="000000" w:sz="12" w:space="0"/>
            </w:tcBorders>
            <w:noWrap w:val="0"/>
            <w:vAlign w:val="center"/>
          </w:tcPr>
          <w:p w14:paraId="3A1D8025">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宋体" w:hAnsi="宋体" w:eastAsia="宋体" w:cs="宋体"/>
                <w:i w:val="0"/>
                <w:iCs w:val="0"/>
                <w:color w:val="000000"/>
                <w:kern w:val="0"/>
                <w:sz w:val="24"/>
                <w:szCs w:val="24"/>
                <w:u w:val="none"/>
                <w:lang w:val="en-US" w:eastAsia="zh-CN" w:bidi="ar"/>
              </w:rPr>
              <w:t>200000</w:t>
            </w:r>
          </w:p>
        </w:tc>
      </w:tr>
      <w:tr w14:paraId="65AA7956">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625" w:hRule="atLeast"/>
        </w:trPr>
        <w:tc>
          <w:tcPr>
            <w:tcW w:w="1268" w:type="dxa"/>
            <w:tcBorders>
              <w:top w:val="single" w:color="000000" w:sz="8" w:space="0"/>
              <w:left w:val="single" w:color="000000" w:sz="12" w:space="0"/>
              <w:bottom w:val="single" w:color="000000" w:sz="8" w:space="0"/>
              <w:right w:val="single" w:color="000000" w:sz="8" w:space="0"/>
            </w:tcBorders>
            <w:noWrap w:val="0"/>
            <w:vAlign w:val="center"/>
          </w:tcPr>
          <w:p w14:paraId="69E782E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2247" w:type="dxa"/>
            <w:tcBorders>
              <w:top w:val="single" w:color="000000" w:sz="8" w:space="0"/>
              <w:left w:val="single" w:color="000000" w:sz="8" w:space="0"/>
              <w:bottom w:val="single" w:color="000000" w:sz="8" w:space="0"/>
              <w:right w:val="single" w:color="000000" w:sz="8" w:space="0"/>
            </w:tcBorders>
            <w:noWrap w:val="0"/>
            <w:vAlign w:val="center"/>
          </w:tcPr>
          <w:p w14:paraId="30AC6BF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规划编制费用</w:t>
            </w:r>
          </w:p>
        </w:tc>
        <w:tc>
          <w:tcPr>
            <w:tcW w:w="3554" w:type="dxa"/>
            <w:tcBorders>
              <w:top w:val="single" w:color="000000" w:sz="8" w:space="0"/>
              <w:left w:val="single" w:color="000000" w:sz="8" w:space="0"/>
              <w:bottom w:val="single" w:color="000000" w:sz="8" w:space="0"/>
              <w:right w:val="single" w:color="000000" w:sz="8" w:space="0"/>
            </w:tcBorders>
            <w:noWrap w:val="0"/>
            <w:vAlign w:val="center"/>
          </w:tcPr>
          <w:p w14:paraId="12E1754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规划编制费用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000434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项</w:t>
            </w:r>
          </w:p>
        </w:tc>
        <w:tc>
          <w:tcPr>
            <w:tcW w:w="1560" w:type="dxa"/>
            <w:tcBorders>
              <w:top w:val="single" w:color="000000" w:sz="8" w:space="0"/>
              <w:left w:val="single" w:color="000000" w:sz="8" w:space="0"/>
              <w:bottom w:val="single" w:color="000000" w:sz="8" w:space="0"/>
              <w:right w:val="single" w:color="000000" w:sz="12" w:space="0"/>
            </w:tcBorders>
            <w:noWrap w:val="0"/>
            <w:vAlign w:val="center"/>
          </w:tcPr>
          <w:p w14:paraId="5970D14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bl>
    <w:p w14:paraId="0316C1BD">
      <w:pPr>
        <w:pageBreakBefore w:val="0"/>
        <w:widowControl w:val="0"/>
        <w:shd w:val="clear"/>
        <w:wordWrap/>
        <w:overflowPunct/>
        <w:topLinePunct w:val="0"/>
        <w:bidi w:val="0"/>
        <w:spacing w:line="242" w:lineRule="auto"/>
        <w:rPr>
          <w:color w:val="auto"/>
          <w:spacing w:val="0"/>
          <w:position w:val="0"/>
          <w:highlight w:val="none"/>
        </w:rPr>
      </w:pPr>
    </w:p>
    <w:p w14:paraId="38D18ADB">
      <w:pPr>
        <w:pageBreakBefore w:val="0"/>
        <w:widowControl w:val="0"/>
        <w:shd w:val="clear"/>
        <w:wordWrap/>
        <w:overflowPunct/>
        <w:topLinePunct w:val="0"/>
        <w:bidi w:val="0"/>
        <w:spacing w:line="242" w:lineRule="auto"/>
        <w:rPr>
          <w:color w:val="auto"/>
          <w:spacing w:val="0"/>
          <w:position w:val="0"/>
          <w:highlight w:val="none"/>
        </w:rPr>
      </w:pPr>
    </w:p>
    <w:p w14:paraId="3DBC15C7">
      <w:pPr>
        <w:numPr>
          <w:ilvl w:val="0"/>
          <w:numId w:val="0"/>
        </w:numPr>
        <w:spacing w:beforeLines="50" w:afterLines="50" w:line="400" w:lineRule="exact"/>
        <w:jc w:val="center"/>
        <w:outlineLvl w:val="1"/>
        <w:rPr>
          <w:rFonts w:hint="eastAsia" w:ascii="仿宋" w:hAnsi="仿宋" w:eastAsia="仿宋" w:cs="仿宋"/>
          <w:color w:val="000000"/>
          <w:sz w:val="40"/>
          <w:szCs w:val="40"/>
          <w:highlight w:val="none"/>
          <w:lang w:val="en-US" w:eastAsia="zh-CN"/>
        </w:rPr>
      </w:pPr>
      <w:r>
        <w:rPr>
          <w:rFonts w:hint="eastAsia" w:ascii="宋体" w:hAnsi="宋体" w:eastAsia="宋体" w:cs="宋体"/>
          <w:b w:val="0"/>
          <w:bCs w:val="0"/>
          <w:color w:val="auto"/>
          <w:spacing w:val="0"/>
          <w:position w:val="0"/>
          <w:sz w:val="24"/>
          <w:szCs w:val="24"/>
          <w:highlight w:val="none"/>
          <w:lang w:val="en-US" w:eastAsia="zh-CN"/>
        </w:rPr>
        <w:t xml:space="preserve">  </w:t>
      </w:r>
      <w:r>
        <w:rPr>
          <w:rFonts w:hint="eastAsia" w:ascii="仿宋" w:hAnsi="仿宋" w:eastAsia="仿宋" w:cs="仿宋"/>
          <w:color w:val="000000"/>
          <w:sz w:val="40"/>
          <w:szCs w:val="40"/>
          <w:highlight w:val="none"/>
          <w:lang w:val="en-US" w:eastAsia="zh-CN"/>
        </w:rPr>
        <w:t>三、技术要求</w:t>
      </w:r>
    </w:p>
    <w:p w14:paraId="26EDEFD5">
      <w:pPr>
        <w:pStyle w:val="4"/>
        <w:numPr>
          <w:ilvl w:val="0"/>
          <w:numId w:val="0"/>
        </w:numPr>
        <w:ind w:firstLine="446" w:firstLineChars="200"/>
        <w:rPr>
          <w:rFonts w:hint="default" w:ascii="仿宋" w:hAnsi="仿宋" w:eastAsia="仿宋" w:cs="仿宋"/>
          <w:color w:val="000000"/>
          <w:spacing w:val="-9"/>
          <w:sz w:val="24"/>
          <w:szCs w:val="24"/>
          <w:lang w:val="en-US" w:eastAsia="zh-CN"/>
        </w:rPr>
      </w:pPr>
      <w:r>
        <w:rPr>
          <w:rFonts w:hint="eastAsia" w:ascii="仿宋" w:hAnsi="仿宋" w:eastAsia="仿宋" w:cs="仿宋"/>
          <w:b/>
          <w:bCs/>
          <w:color w:val="000000"/>
          <w:spacing w:val="-9"/>
          <w:sz w:val="24"/>
          <w:szCs w:val="24"/>
          <w:lang w:val="en-US" w:eastAsia="zh-CN"/>
        </w:rPr>
        <w:t>（一）林草湿荒普查：</w:t>
      </w:r>
      <w:r>
        <w:rPr>
          <w:rFonts w:hint="default" w:ascii="仿宋" w:hAnsi="仿宋" w:eastAsia="仿宋" w:cs="仿宋"/>
          <w:color w:val="000000"/>
          <w:spacing w:val="-9"/>
          <w:sz w:val="24"/>
          <w:szCs w:val="24"/>
          <w:lang w:val="en-US" w:eastAsia="zh-CN"/>
        </w:rPr>
        <w:t>根据《自然资源部 国家林业和草原局关于开展全国森林草原湿地荒漠化普查工作的通知》（自然资发〔2024〕78 号）、《自然资源部办公厅国家林业和草原局办公室关于印发〈国土调查与林草湿调查地类对接技术方案〉的通知》（自然资办函〔2024〕1057 号）、《江西省自然资源厅 江西省林业局关于开展全省森林草原湿地荒漠化普查工作的通知》（赣自然资字〔2024〕31 号）和江西省自然资源厅办公室江西省林业局办公 关于印发《江西省森林草原湿地荒漠化普查工作实施方案》和《江西省国土调查与林草湿调查地类对接工作方案》的通知（赣自然资办函[2024]313 号）精神，为有序推进全省森林草原湿地普查和荒漠化沙化土地、石漠化土地调查监测工作，开展</w:t>
      </w:r>
      <w:r>
        <w:rPr>
          <w:rFonts w:hint="eastAsia" w:ascii="仿宋" w:hAnsi="仿宋" w:eastAsia="仿宋" w:cs="仿宋"/>
          <w:color w:val="000000"/>
          <w:spacing w:val="-9"/>
          <w:sz w:val="24"/>
          <w:szCs w:val="24"/>
          <w:highlight w:val="none"/>
          <w:lang w:val="en-US" w:eastAsia="zh-CN"/>
        </w:rPr>
        <w:t>余江区林草</w:t>
      </w:r>
      <w:r>
        <w:rPr>
          <w:rFonts w:hint="default" w:ascii="仿宋" w:hAnsi="仿宋" w:eastAsia="仿宋" w:cs="仿宋"/>
          <w:color w:val="000000"/>
          <w:spacing w:val="-9"/>
          <w:sz w:val="24"/>
          <w:szCs w:val="24"/>
          <w:lang w:val="en-US" w:eastAsia="zh-CN"/>
        </w:rPr>
        <w:t>湿荒普查项目。主要服务内容及要求：</w:t>
      </w:r>
    </w:p>
    <w:p w14:paraId="6A49E9AF">
      <w:pPr>
        <w:pStyle w:val="4"/>
        <w:numPr>
          <w:ilvl w:val="0"/>
          <w:numId w:val="0"/>
        </w:numPr>
        <w:ind w:firstLine="444" w:firstLineChars="200"/>
        <w:rPr>
          <w:rFonts w:hint="default" w:ascii="仿宋" w:hAnsi="仿宋" w:eastAsia="仿宋" w:cs="仿宋"/>
          <w:color w:val="000000"/>
          <w:spacing w:val="-9"/>
          <w:sz w:val="24"/>
          <w:szCs w:val="24"/>
          <w:lang w:val="en-US" w:eastAsia="zh-CN"/>
        </w:rPr>
      </w:pPr>
      <w:r>
        <w:rPr>
          <w:rFonts w:hint="default" w:ascii="仿宋" w:hAnsi="仿宋" w:eastAsia="仿宋" w:cs="仿宋"/>
          <w:color w:val="000000"/>
          <w:spacing w:val="-9"/>
          <w:sz w:val="24"/>
          <w:szCs w:val="24"/>
          <w:lang w:val="en-US" w:eastAsia="zh-CN"/>
        </w:rPr>
        <w:t>1、完成“不一致”图斑地类对接工作。将国家下发和地方自主新增的不一致图标、最新年度变更调查成果、2024年最新遥感影像、林草湿调查监测成果等数据进行叠加，依据《国土空间调查、规划、用途管制用地用海分类指南》的统一标准，按照国土调查以实地现状认定地类原则，</w:t>
      </w:r>
      <w:r>
        <w:rPr>
          <w:rFonts w:hint="eastAsia" w:ascii="仿宋" w:hAnsi="仿宋" w:eastAsia="仿宋" w:cs="仿宋"/>
          <w:color w:val="000000"/>
          <w:spacing w:val="-9"/>
          <w:sz w:val="24"/>
          <w:szCs w:val="24"/>
          <w:lang w:val="en-US" w:eastAsia="zh-CN"/>
        </w:rPr>
        <w:t>区自然资</w:t>
      </w:r>
      <w:r>
        <w:rPr>
          <w:rFonts w:hint="default" w:ascii="仿宋" w:hAnsi="仿宋" w:eastAsia="仿宋" w:cs="仿宋"/>
          <w:color w:val="000000"/>
          <w:spacing w:val="-9"/>
          <w:sz w:val="24"/>
          <w:szCs w:val="24"/>
          <w:lang w:val="en-US" w:eastAsia="zh-CN"/>
        </w:rPr>
        <w:t>源和林业部门共同完成对国家下发不一致图斑和地方自主新增不一致图斑开展地类对接核实确认工作。对两部门认定有分歧的，或与国家预判地类、国土调查成果、林草湿调查监测成果均不一致的图斑，共同进行外业调查核实认定地类；对两部门共同审核认定一致的地类对接成果分批次上传至国土调查云平台，建立相关专题矢量图层或数据库，并按程序纳入国土变更调查。</w:t>
      </w:r>
    </w:p>
    <w:p w14:paraId="688EB169">
      <w:pPr>
        <w:pStyle w:val="4"/>
        <w:numPr>
          <w:ilvl w:val="0"/>
          <w:numId w:val="0"/>
        </w:numPr>
        <w:ind w:firstLine="444" w:firstLineChars="200"/>
        <w:rPr>
          <w:rFonts w:hint="default" w:ascii="仿宋" w:hAnsi="仿宋" w:eastAsia="仿宋" w:cs="仿宋"/>
          <w:color w:val="000000"/>
          <w:spacing w:val="-9"/>
          <w:sz w:val="24"/>
          <w:szCs w:val="24"/>
          <w:lang w:val="en-US" w:eastAsia="zh-CN"/>
        </w:rPr>
      </w:pPr>
      <w:r>
        <w:rPr>
          <w:rFonts w:hint="default" w:ascii="仿宋" w:hAnsi="仿宋" w:eastAsia="仿宋" w:cs="仿宋"/>
          <w:color w:val="000000"/>
          <w:spacing w:val="-9"/>
          <w:sz w:val="24"/>
          <w:szCs w:val="24"/>
          <w:lang w:val="en-US" w:eastAsia="zh-CN"/>
        </w:rPr>
        <w:t>2、完成普查图斑区划调查。以最新年度国土变更调查成果为基础，充分利用已有调查成果，采用高分辨率航天航空遥感影像结合现有举证成果、现地核实和补充调查等方式开展图斑区划调查。利用现有林草湿调查监测成果数据和补充调查数据，进行图斑属性赋值。</w:t>
      </w:r>
    </w:p>
    <w:p w14:paraId="3761B87E">
      <w:pPr>
        <w:pStyle w:val="4"/>
        <w:numPr>
          <w:ilvl w:val="0"/>
          <w:numId w:val="0"/>
        </w:numPr>
        <w:ind w:firstLine="444" w:firstLineChars="200"/>
        <w:rPr>
          <w:rFonts w:hint="default" w:ascii="仿宋" w:hAnsi="仿宋" w:eastAsia="仿宋" w:cs="仿宋"/>
          <w:color w:val="000000"/>
          <w:spacing w:val="-9"/>
          <w:sz w:val="24"/>
          <w:szCs w:val="24"/>
          <w:lang w:val="en-US" w:eastAsia="zh-CN"/>
        </w:rPr>
      </w:pPr>
      <w:r>
        <w:rPr>
          <w:rFonts w:hint="default" w:ascii="仿宋" w:hAnsi="仿宋" w:eastAsia="仿宋" w:cs="仿宋"/>
          <w:color w:val="000000"/>
          <w:spacing w:val="-9"/>
          <w:sz w:val="24"/>
          <w:szCs w:val="24"/>
          <w:lang w:val="en-US" w:eastAsia="zh-CN"/>
        </w:rPr>
        <w:t>3、普查数据库建设。按照统一的数据库标准和建库规范，利用全国林草湿荒普查图斑调查软件，建设森林草原湿地荒漠化普查更新成果数据库。</w:t>
      </w:r>
    </w:p>
    <w:p w14:paraId="6CE520FB">
      <w:pPr>
        <w:pStyle w:val="4"/>
        <w:numPr>
          <w:ilvl w:val="0"/>
          <w:numId w:val="0"/>
        </w:numPr>
        <w:ind w:firstLine="444" w:firstLineChars="200"/>
        <w:rPr>
          <w:rFonts w:hint="default" w:ascii="仿宋" w:hAnsi="仿宋" w:eastAsia="仿宋" w:cs="仿宋"/>
          <w:color w:val="000000"/>
          <w:spacing w:val="-9"/>
          <w:sz w:val="24"/>
          <w:szCs w:val="24"/>
          <w:lang w:val="en-US" w:eastAsia="zh-CN"/>
        </w:rPr>
      </w:pPr>
      <w:r>
        <w:rPr>
          <w:rFonts w:hint="default" w:ascii="仿宋" w:hAnsi="仿宋" w:eastAsia="仿宋" w:cs="仿宋"/>
          <w:color w:val="000000"/>
          <w:spacing w:val="-9"/>
          <w:sz w:val="24"/>
          <w:szCs w:val="24"/>
          <w:lang w:val="en-US" w:eastAsia="zh-CN"/>
        </w:rPr>
        <w:t>4、普查成果编制。汇总统计分析森林草原湿地荒漠化普查成果数据，编制普查成果报告，产出普查成果。成果主要包括矢量数据、举证数据包、普查更新成果数据库、图件及统计表、文字报告等。</w:t>
      </w:r>
    </w:p>
    <w:p w14:paraId="66027C64">
      <w:pPr>
        <w:pStyle w:val="4"/>
        <w:numPr>
          <w:ilvl w:val="0"/>
          <w:numId w:val="0"/>
        </w:numPr>
        <w:ind w:firstLine="446" w:firstLineChars="200"/>
        <w:rPr>
          <w:rFonts w:hint="eastAsia" w:ascii="仿宋" w:hAnsi="仿宋" w:eastAsia="仿宋" w:cs="仿宋"/>
          <w:color w:val="000000"/>
          <w:spacing w:val="-9"/>
          <w:sz w:val="24"/>
          <w:szCs w:val="24"/>
          <w:lang w:val="en-US" w:eastAsia="zh-CN"/>
        </w:rPr>
      </w:pPr>
      <w:r>
        <w:rPr>
          <w:rFonts w:hint="eastAsia" w:ascii="仿宋" w:hAnsi="仿宋" w:eastAsia="仿宋" w:cs="仿宋"/>
          <w:b/>
          <w:bCs/>
          <w:color w:val="000000"/>
          <w:spacing w:val="-9"/>
          <w:sz w:val="24"/>
          <w:szCs w:val="24"/>
          <w:lang w:val="en-US" w:eastAsia="zh-CN"/>
        </w:rPr>
        <w:t>（二）规划编制：</w:t>
      </w:r>
      <w:r>
        <w:rPr>
          <w:rFonts w:hint="eastAsia" w:ascii="仿宋" w:hAnsi="仿宋" w:eastAsia="仿宋" w:cs="仿宋"/>
          <w:color w:val="000000"/>
          <w:spacing w:val="-9"/>
          <w:sz w:val="24"/>
          <w:szCs w:val="24"/>
          <w:lang w:val="en-US" w:eastAsia="zh-CN"/>
        </w:rPr>
        <w:t>为深入贯彻党的二十大及二十届四中全会关于健全生态文明制度体系、建设美丽中国的战略部署，践行 “两山” 理念与森林 “四库” 功能提升要求，依据《全国森林经营规划（2016－2050 年）》《江西省森林经营规划（2016－2050 年）》及《深化集体林权制度改革方案》等最新政策文件，按照国家林业和草原局关于森林质量精准提升、健全国家 — 省 — 县三级森林经营规划体系的工作要求，结合鹰潭市“森林经营合伙人” 计划实施部署与余江区 “赣东北药谷” 战略布局，为全面推动森林可持续经营落地见效，特开展本规划编制工作。</w:t>
      </w:r>
    </w:p>
    <w:p w14:paraId="2716A80C">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规划的主要目的：</w:t>
      </w:r>
    </w:p>
    <w:p w14:paraId="3C547786">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1.落实森林经营规划确定的任务。</w:t>
      </w:r>
    </w:p>
    <w:p w14:paraId="0F79E6EB">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2.统筹规划和合理布局森林经营活动。</w:t>
      </w:r>
    </w:p>
    <w:p w14:paraId="7FA2443E">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3.协调对森林生态系统的各层次、多样性需求，促进森林可持续经营。</w:t>
      </w:r>
    </w:p>
    <w:p w14:paraId="73158337">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4.为森林经营方案编制提供依据。</w:t>
      </w:r>
    </w:p>
    <w:p w14:paraId="4F4FECC6">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规划的主要任务包括：</w:t>
      </w:r>
    </w:p>
    <w:p w14:paraId="264F2A37">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1.开展森林经营评价。</w:t>
      </w:r>
    </w:p>
    <w:p w14:paraId="75EAE025">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2.规划森林经营目标与主要经营指标。</w:t>
      </w:r>
    </w:p>
    <w:p w14:paraId="464E0C96">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3.进行森林经营分类，落实不同森林经营类型的森林作业法和主要经营措施。</w:t>
      </w:r>
    </w:p>
    <w:p w14:paraId="09C7DE31">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4.开展森林经营区划，明确各经营区方向和策略。</w:t>
      </w:r>
    </w:p>
    <w:p w14:paraId="6ECE4D4C">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5.确定森林经营规模，估算森林经营投资。</w:t>
      </w:r>
    </w:p>
    <w:p w14:paraId="17BF63D2">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6.进行效益评价，提出规划实施保障措施。</w:t>
      </w:r>
    </w:p>
    <w:p w14:paraId="6E43E696">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规划范围与期限：</w:t>
      </w:r>
    </w:p>
    <w:p w14:paraId="6E1E69E6">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1.规划范围：所有林地规划用于林业发展的其他土地，明确需单独编制规划单位的林地除外。</w:t>
      </w:r>
    </w:p>
    <w:p w14:paraId="38A1E7F7">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2.规划期限。规划期限和实施阶段划分，与省级森林经营规划衔接（包括近期，2026-2035年；远期：2035-2050 年）。</w:t>
      </w:r>
    </w:p>
    <w:p w14:paraId="7DFB4762">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编制原则：</w:t>
      </w:r>
    </w:p>
    <w:p w14:paraId="0F350073">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1.协调统一原则：以我国现行的法律法规、政策、条例、标准对森林经营相关的规定和要求为主要依据，紧密衔接《江西省森林经营规划（2016—2050 年）》，注重与余江区国民经济与社会发展规划及相关专项规划协调统一。</w:t>
      </w:r>
    </w:p>
    <w:p w14:paraId="6CC042C9">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2.科学适用原则：立足于解决余江区瑞泰绿色生态发展有限公司森林经营中的实际需求和存在问题，针对当地的自然条件、资源现状和林分特征，充分利用森林经营领域的最新研究成果，科学地开展森林经营分区，森林经营分类，森林作业法和经营措施设计。</w:t>
      </w:r>
    </w:p>
    <w:p w14:paraId="4520DE21">
      <w:pPr>
        <w:pStyle w:val="4"/>
        <w:numPr>
          <w:ilvl w:val="0"/>
          <w:numId w:val="0"/>
        </w:numPr>
        <w:ind w:firstLine="444" w:firstLineChars="200"/>
        <w:rPr>
          <w:rFonts w:hint="eastAsia" w:ascii="仿宋" w:hAnsi="仿宋" w:eastAsia="仿宋" w:cs="仿宋"/>
          <w:color w:val="000000"/>
          <w:spacing w:val="-9"/>
          <w:sz w:val="24"/>
          <w:szCs w:val="24"/>
          <w:lang w:val="en-US" w:eastAsia="zh-CN"/>
        </w:rPr>
      </w:pPr>
      <w:r>
        <w:rPr>
          <w:rFonts w:hint="eastAsia" w:ascii="仿宋" w:hAnsi="仿宋" w:eastAsia="仿宋" w:cs="仿宋"/>
          <w:color w:val="000000"/>
          <w:spacing w:val="-9"/>
          <w:sz w:val="24"/>
          <w:szCs w:val="24"/>
          <w:lang w:val="en-US" w:eastAsia="zh-CN"/>
        </w:rPr>
        <w:t>3.可操作性原则：规划内容系统全面，规划目标和建设任务具体明确，森林经营分类，森林作业法和经营措施设计系统科学，保障措施可行，具有可操作性。</w:t>
      </w:r>
    </w:p>
    <w:p w14:paraId="5D5433FD">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AE14B3"/>
    <w:rsid w:val="66AE14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Body Text Indent 2"/>
    <w:basedOn w:val="1"/>
    <w:qFormat/>
    <w:uiPriority w:val="0"/>
    <w:pPr>
      <w:spacing w:line="312" w:lineRule="auto"/>
      <w:ind w:firstLine="480" w:firstLineChars="200"/>
    </w:pPr>
    <w:rPr>
      <w:sz w:val="24"/>
    </w:rPr>
  </w:style>
  <w:style w:type="paragraph" w:styleId="5">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2026-06-02T14:16:00Z</dcterms:created>
  <dc:creator>dell</dc:creator>
  <cp:lastModifiedBy>dell</cp:lastModifiedBy>
  <dcterms:modified xsi:type="dcterms:W3CDTF">2026-06-02T14:16:32Z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0C3010F91B9741579DB56116A2A6D080_11</vt:lpwstr>
  </property>
  <property fmtid="{D5CDD505-2E9C-101B-9397-08002B2CF9AE}" pid="4" name="KSOTemplateDocerSaveRecord">
    <vt:lpwstr>eyJoZGlkIjoiY2MzYmI3YTJmMDZkYzVmZDE4NmU5ZTdjNmQ1NmU4NTEiLCJ1c2VySWQiOiI1MjE0Nzg5ODQifQ==</vt:lpwstr>
  </property>
</Properties>
</file>