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8280D7">
      <w:pPr>
        <w:spacing w:line="600" w:lineRule="exact"/>
        <w:jc w:val="center"/>
        <w:rPr>
          <w:rFonts w:ascii="仿宋" w:hAnsi="仿宋" w:eastAsia="仿宋"/>
          <w:b/>
          <w:bCs/>
          <w:color w:val="auto"/>
          <w:kern w:val="44"/>
          <w:sz w:val="28"/>
          <w:szCs w:val="28"/>
          <w:shd w:val="clear" w:color="auto" w:fill="auto"/>
        </w:rPr>
      </w:pPr>
      <w:bookmarkStart w:id="0" w:name="OLE_LINK3"/>
      <w:bookmarkStart w:id="1" w:name="OLE_LINK4"/>
      <w:r>
        <w:rPr>
          <w:rFonts w:hint="eastAsia" w:ascii="仿宋" w:hAnsi="仿宋" w:eastAsia="仿宋"/>
          <w:b/>
          <w:bCs/>
          <w:color w:val="auto"/>
          <w:kern w:val="44"/>
          <w:sz w:val="28"/>
          <w:szCs w:val="28"/>
          <w:shd w:val="clear" w:color="auto" w:fill="auto"/>
          <w:lang w:eastAsia="zh-CN"/>
        </w:rPr>
        <w:t>江西橙乡工程管理有限公司</w:t>
      </w:r>
      <w:r>
        <w:rPr>
          <w:rFonts w:hint="eastAsia" w:ascii="仿宋" w:hAnsi="仿宋" w:eastAsia="仿宋"/>
          <w:b/>
          <w:bCs/>
          <w:color w:val="auto"/>
          <w:kern w:val="44"/>
          <w:sz w:val="28"/>
          <w:szCs w:val="28"/>
          <w:shd w:val="clear" w:color="auto" w:fill="auto"/>
        </w:rPr>
        <w:t>关于江西省</w:t>
      </w:r>
      <w:r>
        <w:rPr>
          <w:rFonts w:hint="eastAsia" w:ascii="仿宋" w:hAnsi="仿宋" w:eastAsia="仿宋"/>
          <w:b/>
          <w:bCs/>
          <w:color w:val="auto"/>
          <w:kern w:val="44"/>
          <w:sz w:val="28"/>
          <w:szCs w:val="28"/>
          <w:shd w:val="clear" w:color="auto" w:fill="auto"/>
          <w:lang w:eastAsia="zh-CN"/>
        </w:rPr>
        <w:t>信丰县安西镇人民政府信丰县安西镇兰田村果蔬内部品质检测机采购项目</w:t>
      </w:r>
      <w:r>
        <w:rPr>
          <w:rFonts w:hint="eastAsia" w:ascii="仿宋" w:hAnsi="仿宋" w:eastAsia="仿宋"/>
          <w:b/>
          <w:bCs/>
          <w:color w:val="auto"/>
          <w:kern w:val="44"/>
          <w:sz w:val="28"/>
          <w:szCs w:val="28"/>
          <w:shd w:val="clear" w:color="auto" w:fill="auto"/>
        </w:rPr>
        <w:t>（项目编号：</w:t>
      </w:r>
      <w:r>
        <w:rPr>
          <w:rFonts w:hint="eastAsia" w:ascii="仿宋" w:hAnsi="仿宋" w:eastAsia="仿宋"/>
          <w:b/>
          <w:bCs/>
          <w:color w:val="auto"/>
          <w:kern w:val="44"/>
          <w:sz w:val="28"/>
          <w:szCs w:val="28"/>
          <w:shd w:val="clear" w:color="auto" w:fill="auto"/>
          <w:lang w:eastAsia="zh-CN"/>
        </w:rPr>
        <w:t>JXCX2026-XF-G003</w:t>
      </w:r>
      <w:r>
        <w:rPr>
          <w:rFonts w:hint="eastAsia" w:ascii="仿宋" w:hAnsi="仿宋" w:eastAsia="仿宋"/>
          <w:b/>
          <w:bCs/>
          <w:color w:val="auto"/>
          <w:kern w:val="44"/>
          <w:sz w:val="28"/>
          <w:szCs w:val="28"/>
          <w:shd w:val="clear" w:color="auto" w:fill="auto"/>
        </w:rPr>
        <w:t>）的电子化公开招标公告（不见面开标）</w:t>
      </w:r>
    </w:p>
    <w:p w14:paraId="19BB66D3">
      <w:pPr>
        <w:spacing w:line="600" w:lineRule="exact"/>
        <w:jc w:val="center"/>
        <w:rPr>
          <w:rFonts w:ascii="仿宋" w:hAnsi="仿宋" w:eastAsia="仿宋"/>
          <w:color w:val="auto"/>
          <w:sz w:val="28"/>
          <w:szCs w:val="28"/>
          <w:shd w:val="clear" w:color="auto" w:fill="auto"/>
        </w:rPr>
      </w:pPr>
    </w:p>
    <w:p w14:paraId="683476B6">
      <w:pPr>
        <w:pBdr>
          <w:top w:val="single" w:color="auto" w:sz="4" w:space="1"/>
          <w:left w:val="single" w:color="auto" w:sz="4" w:space="4"/>
          <w:bottom w:val="single" w:color="auto" w:sz="4" w:space="1"/>
          <w:right w:val="single" w:color="auto" w:sz="4" w:space="18"/>
        </w:pBdr>
        <w:spacing w:line="600" w:lineRule="exact"/>
        <w:ind w:firstLine="562" w:firstLineChars="200"/>
        <w:rPr>
          <w:rFonts w:ascii="仿宋" w:hAnsi="仿宋" w:eastAsia="仿宋"/>
          <w:b/>
          <w:color w:val="auto"/>
          <w:sz w:val="28"/>
          <w:szCs w:val="28"/>
          <w:shd w:val="clear" w:color="auto" w:fill="auto"/>
        </w:rPr>
      </w:pPr>
      <w:r>
        <w:rPr>
          <w:rFonts w:hint="eastAsia" w:ascii="仿宋" w:hAnsi="仿宋" w:eastAsia="仿宋"/>
          <w:b/>
          <w:color w:val="auto"/>
          <w:sz w:val="28"/>
          <w:szCs w:val="28"/>
          <w:shd w:val="clear" w:color="auto" w:fill="auto"/>
        </w:rPr>
        <w:t>项目概况</w:t>
      </w:r>
    </w:p>
    <w:p w14:paraId="628C5EDF">
      <w:pPr>
        <w:pBdr>
          <w:top w:val="single" w:color="auto" w:sz="4" w:space="1"/>
          <w:left w:val="single" w:color="auto" w:sz="4" w:space="4"/>
          <w:bottom w:val="single" w:color="auto" w:sz="4" w:space="1"/>
          <w:right w:val="single" w:color="auto" w:sz="4" w:space="18"/>
        </w:pBdr>
        <w:spacing w:line="600" w:lineRule="exact"/>
        <w:ind w:firstLine="560" w:firstLineChars="200"/>
        <w:rPr>
          <w:rFonts w:ascii="仿宋" w:hAnsi="仿宋" w:eastAsia="仿宋"/>
          <w:bCs/>
          <w:color w:val="auto"/>
          <w:sz w:val="28"/>
          <w:szCs w:val="28"/>
          <w:u w:val="single"/>
          <w:shd w:val="clear" w:color="auto" w:fill="auto"/>
        </w:rPr>
      </w:pPr>
      <w:r>
        <w:rPr>
          <w:rFonts w:hint="eastAsia" w:ascii="仿宋" w:hAnsi="仿宋" w:eastAsia="仿宋"/>
          <w:color w:val="auto"/>
          <w:sz w:val="28"/>
          <w:szCs w:val="28"/>
          <w:u w:val="single"/>
          <w:shd w:val="clear" w:color="auto" w:fill="auto"/>
        </w:rPr>
        <w:t>(</w:t>
      </w:r>
      <w:r>
        <w:rPr>
          <w:rFonts w:hint="eastAsia" w:ascii="仿宋" w:hAnsi="仿宋" w:eastAsia="仿宋"/>
          <w:color w:val="auto"/>
          <w:sz w:val="28"/>
          <w:szCs w:val="28"/>
          <w:u w:val="single"/>
          <w:shd w:val="clear" w:color="auto" w:fill="auto"/>
          <w:lang w:eastAsia="zh-CN"/>
        </w:rPr>
        <w:t>信丰县安西镇兰田村果蔬内部品质检测机采购项目</w:t>
      </w:r>
      <w:r>
        <w:rPr>
          <w:rFonts w:ascii="仿宋" w:hAnsi="仿宋" w:eastAsia="仿宋"/>
          <w:color w:val="auto"/>
          <w:sz w:val="28"/>
          <w:szCs w:val="28"/>
          <w:u w:val="single"/>
          <w:shd w:val="clear" w:color="auto" w:fill="auto"/>
        </w:rPr>
        <w:t>)</w:t>
      </w:r>
      <w:r>
        <w:rPr>
          <w:rFonts w:hint="eastAsia" w:ascii="仿宋" w:hAnsi="仿宋" w:eastAsia="仿宋"/>
          <w:color w:val="auto"/>
          <w:sz w:val="28"/>
          <w:szCs w:val="28"/>
          <w:shd w:val="clear" w:color="auto" w:fill="auto"/>
        </w:rPr>
        <w:t>招标项目的潜在投标人应在(</w:t>
      </w:r>
      <w:r>
        <w:rPr>
          <w:rFonts w:hint="eastAsia" w:ascii="仿宋" w:hAnsi="仿宋" w:eastAsia="仿宋"/>
          <w:color w:val="auto"/>
          <w:sz w:val="28"/>
          <w:szCs w:val="28"/>
          <w:u w:val="single"/>
          <w:shd w:val="clear" w:color="auto" w:fill="auto"/>
        </w:rPr>
        <w:t>江西省公共资源交易网)</w:t>
      </w:r>
      <w:r>
        <w:rPr>
          <w:rFonts w:hint="eastAsia" w:ascii="仿宋" w:hAnsi="仿宋" w:eastAsia="仿宋"/>
          <w:color w:val="auto"/>
          <w:sz w:val="28"/>
          <w:szCs w:val="28"/>
          <w:shd w:val="clear" w:color="auto" w:fill="auto"/>
        </w:rPr>
        <w:t>获取招标文件，并于</w:t>
      </w:r>
      <w:r>
        <w:rPr>
          <w:rFonts w:hint="eastAsia" w:ascii="仿宋" w:hAnsi="仿宋" w:eastAsia="仿宋"/>
          <w:bCs/>
          <w:color w:val="auto"/>
          <w:sz w:val="28"/>
          <w:szCs w:val="28"/>
          <w:u w:val="single"/>
          <w:shd w:val="clear" w:color="auto" w:fill="auto"/>
          <w:lang w:eastAsia="zh-CN"/>
        </w:rPr>
        <w:t>2026年06月24日</w:t>
      </w:r>
      <w:r>
        <w:rPr>
          <w:rFonts w:hint="eastAsia" w:ascii="仿宋" w:hAnsi="仿宋" w:eastAsia="仿宋"/>
          <w:bCs/>
          <w:color w:val="auto"/>
          <w:sz w:val="28"/>
          <w:szCs w:val="28"/>
          <w:u w:val="single"/>
          <w:shd w:val="clear" w:color="auto" w:fill="auto"/>
        </w:rPr>
        <w:t>10点</w:t>
      </w:r>
      <w:r>
        <w:rPr>
          <w:rFonts w:hint="eastAsia" w:ascii="仿宋" w:hAnsi="仿宋" w:eastAsia="仿宋"/>
          <w:bCs/>
          <w:color w:val="auto"/>
          <w:sz w:val="28"/>
          <w:szCs w:val="28"/>
          <w:u w:val="single"/>
          <w:shd w:val="clear" w:color="auto" w:fill="auto"/>
          <w:lang w:val="en-US" w:eastAsia="zh-CN"/>
        </w:rPr>
        <w:t>0</w:t>
      </w:r>
      <w:r>
        <w:rPr>
          <w:rFonts w:hint="eastAsia" w:ascii="仿宋" w:hAnsi="仿宋" w:eastAsia="仿宋"/>
          <w:bCs/>
          <w:color w:val="auto"/>
          <w:sz w:val="28"/>
          <w:szCs w:val="28"/>
          <w:u w:val="single"/>
          <w:shd w:val="clear" w:color="auto" w:fill="auto"/>
        </w:rPr>
        <w:t>0分（北京时间）</w:t>
      </w:r>
      <w:bookmarkStart w:id="2" w:name="_Hlk24379207"/>
      <w:r>
        <w:rPr>
          <w:rFonts w:hint="eastAsia" w:ascii="仿宋" w:hAnsi="仿宋" w:eastAsia="仿宋"/>
          <w:bCs/>
          <w:color w:val="auto"/>
          <w:sz w:val="28"/>
          <w:szCs w:val="28"/>
          <w:u w:val="single"/>
          <w:shd w:val="clear" w:color="auto" w:fill="auto"/>
        </w:rPr>
        <w:t>前传电子投标文件并进行在线签到。</w:t>
      </w:r>
    </w:p>
    <w:p w14:paraId="6A13547A">
      <w:pPr>
        <w:spacing w:line="600" w:lineRule="exact"/>
        <w:rPr>
          <w:rFonts w:ascii="仿宋" w:hAnsi="仿宋" w:eastAsia="仿宋" w:cs="宋体"/>
          <w:color w:val="auto"/>
          <w:sz w:val="28"/>
          <w:szCs w:val="28"/>
          <w:shd w:val="clear" w:color="auto" w:fill="auto"/>
        </w:rPr>
      </w:pPr>
      <w:bookmarkStart w:id="3" w:name="_Toc28359002"/>
      <w:bookmarkStart w:id="4" w:name="_Toc28359079"/>
    </w:p>
    <w:p w14:paraId="2DE4E271">
      <w:pPr>
        <w:spacing w:line="600" w:lineRule="exact"/>
        <w:rPr>
          <w:rFonts w:ascii="仿宋" w:hAnsi="仿宋" w:eastAsia="仿宋"/>
          <w:b/>
          <w:color w:val="auto"/>
          <w:sz w:val="28"/>
          <w:szCs w:val="28"/>
          <w:shd w:val="clear" w:color="auto" w:fill="auto"/>
        </w:rPr>
      </w:pPr>
      <w:r>
        <w:rPr>
          <w:rFonts w:hint="eastAsia" w:ascii="仿宋" w:hAnsi="仿宋" w:eastAsia="仿宋" w:cs="宋体"/>
          <w:b/>
          <w:color w:val="auto"/>
          <w:sz w:val="28"/>
          <w:szCs w:val="28"/>
          <w:shd w:val="clear" w:color="auto" w:fill="auto"/>
        </w:rPr>
        <w:t>一、项目基本情况</w:t>
      </w:r>
      <w:bookmarkEnd w:id="3"/>
      <w:bookmarkEnd w:id="4"/>
    </w:p>
    <w:p w14:paraId="5D73C24B">
      <w:pPr>
        <w:spacing w:line="600" w:lineRule="exact"/>
        <w:ind w:firstLine="560" w:firstLineChars="200"/>
        <w:rPr>
          <w:rFonts w:hint="eastAsia" w:ascii="仿宋" w:hAnsi="仿宋" w:eastAsia="仿宋"/>
          <w:color w:val="auto"/>
          <w:sz w:val="28"/>
          <w:szCs w:val="28"/>
          <w:shd w:val="clear" w:color="auto" w:fill="auto"/>
          <w:lang w:eastAsia="zh-CN"/>
        </w:rPr>
      </w:pPr>
      <w:r>
        <w:rPr>
          <w:rFonts w:hint="eastAsia" w:ascii="仿宋" w:hAnsi="仿宋" w:eastAsia="仿宋"/>
          <w:color w:val="auto"/>
          <w:sz w:val="28"/>
          <w:szCs w:val="28"/>
          <w:shd w:val="clear" w:color="auto" w:fill="auto"/>
        </w:rPr>
        <w:t>项目编号：</w:t>
      </w:r>
      <w:r>
        <w:rPr>
          <w:rFonts w:hint="eastAsia" w:ascii="仿宋" w:hAnsi="仿宋" w:eastAsia="仿宋"/>
          <w:color w:val="auto"/>
          <w:sz w:val="28"/>
          <w:szCs w:val="28"/>
          <w:shd w:val="clear" w:color="auto" w:fill="auto"/>
          <w:lang w:eastAsia="zh-CN"/>
        </w:rPr>
        <w:t>JXCX2026-XF-G003</w:t>
      </w:r>
    </w:p>
    <w:p w14:paraId="7933EE4E">
      <w:pPr>
        <w:spacing w:line="600" w:lineRule="exact"/>
        <w:ind w:firstLine="560" w:firstLineChars="200"/>
        <w:rPr>
          <w:rFonts w:hint="eastAsia" w:ascii="仿宋" w:hAnsi="仿宋" w:eastAsia="仿宋"/>
          <w:color w:val="auto"/>
          <w:sz w:val="28"/>
          <w:szCs w:val="28"/>
          <w:shd w:val="clear" w:color="auto" w:fill="auto"/>
          <w:lang w:eastAsia="zh-CN"/>
        </w:rPr>
      </w:pPr>
      <w:r>
        <w:rPr>
          <w:rFonts w:hint="eastAsia" w:ascii="仿宋" w:hAnsi="仿宋" w:eastAsia="仿宋"/>
          <w:color w:val="auto"/>
          <w:sz w:val="28"/>
          <w:szCs w:val="28"/>
          <w:shd w:val="clear" w:color="auto" w:fill="auto"/>
        </w:rPr>
        <w:t>项目名称：</w:t>
      </w:r>
      <w:r>
        <w:rPr>
          <w:rFonts w:hint="eastAsia" w:ascii="仿宋" w:hAnsi="仿宋" w:eastAsia="仿宋"/>
          <w:color w:val="auto"/>
          <w:sz w:val="28"/>
          <w:szCs w:val="28"/>
          <w:shd w:val="clear" w:color="auto" w:fill="auto"/>
          <w:lang w:eastAsia="zh-CN"/>
        </w:rPr>
        <w:t>信丰县安西镇兰田村果蔬内部品质检测机采购项目</w:t>
      </w:r>
    </w:p>
    <w:bookmarkEnd w:id="2"/>
    <w:p w14:paraId="23626A3D">
      <w:pPr>
        <w:spacing w:line="600" w:lineRule="exact"/>
        <w:ind w:firstLine="560" w:firstLineChars="200"/>
        <w:rPr>
          <w:rFonts w:hint="eastAsia" w:ascii="仿宋" w:hAnsi="仿宋" w:eastAsia="仿宋"/>
          <w:color w:val="auto"/>
          <w:sz w:val="28"/>
          <w:szCs w:val="28"/>
          <w:u w:val="none"/>
          <w:shd w:val="clear" w:color="auto" w:fill="auto"/>
          <w:lang w:eastAsia="zh-CN"/>
        </w:rPr>
      </w:pPr>
      <w:r>
        <w:rPr>
          <w:rFonts w:hint="eastAsia" w:ascii="仿宋" w:hAnsi="仿宋" w:eastAsia="仿宋"/>
          <w:color w:val="auto"/>
          <w:sz w:val="28"/>
          <w:szCs w:val="28"/>
          <w:shd w:val="clear" w:color="auto" w:fill="auto"/>
        </w:rPr>
        <w:t>预算金额：</w:t>
      </w:r>
      <w:r>
        <w:rPr>
          <w:rFonts w:hint="eastAsia" w:ascii="仿宋" w:hAnsi="仿宋" w:eastAsia="仿宋"/>
          <w:color w:val="auto"/>
          <w:sz w:val="28"/>
          <w:szCs w:val="28"/>
          <w:shd w:val="clear" w:color="auto" w:fill="auto"/>
          <w:lang w:eastAsia="zh-CN"/>
        </w:rPr>
        <w:t>680000.00</w:t>
      </w:r>
      <w:r>
        <w:rPr>
          <w:rFonts w:hint="eastAsia" w:ascii="仿宋" w:hAnsi="仿宋" w:eastAsia="仿宋"/>
          <w:color w:val="auto"/>
          <w:sz w:val="28"/>
          <w:szCs w:val="28"/>
          <w:shd w:val="clear" w:color="auto" w:fill="auto"/>
        </w:rPr>
        <w:t>元</w:t>
      </w:r>
    </w:p>
    <w:p w14:paraId="25E60C1A">
      <w:pPr>
        <w:spacing w:line="600" w:lineRule="exact"/>
        <w:ind w:firstLine="560" w:firstLineChars="200"/>
        <w:rPr>
          <w:rFonts w:hint="eastAsia" w:ascii="仿宋" w:hAnsi="仿宋" w:eastAsia="仿宋"/>
          <w:color w:val="auto"/>
          <w:sz w:val="28"/>
          <w:szCs w:val="28"/>
          <w:shd w:val="clear" w:color="auto" w:fill="auto"/>
          <w:lang w:eastAsia="zh-CN"/>
        </w:rPr>
      </w:pPr>
      <w:r>
        <w:rPr>
          <w:rFonts w:hint="eastAsia" w:ascii="仿宋" w:hAnsi="仿宋" w:eastAsia="仿宋"/>
          <w:color w:val="auto"/>
          <w:sz w:val="28"/>
          <w:szCs w:val="28"/>
          <w:u w:val="none"/>
          <w:shd w:val="clear" w:color="auto" w:fill="auto"/>
        </w:rPr>
        <w:t>最高限价：</w:t>
      </w:r>
      <w:r>
        <w:rPr>
          <w:rFonts w:hint="eastAsia" w:ascii="仿宋" w:hAnsi="仿宋" w:eastAsia="仿宋"/>
          <w:color w:val="auto"/>
          <w:sz w:val="28"/>
          <w:szCs w:val="28"/>
          <w:u w:val="none"/>
          <w:shd w:val="clear" w:color="auto" w:fill="auto"/>
          <w:lang w:eastAsia="zh-CN"/>
        </w:rPr>
        <w:t>680000.00</w:t>
      </w:r>
      <w:r>
        <w:rPr>
          <w:rFonts w:hint="eastAsia" w:ascii="仿宋" w:hAnsi="仿宋" w:eastAsia="仿宋"/>
          <w:color w:val="auto"/>
          <w:sz w:val="28"/>
          <w:szCs w:val="28"/>
          <w:u w:val="none"/>
          <w:shd w:val="clear" w:color="auto" w:fill="auto"/>
        </w:rPr>
        <w:t>元</w:t>
      </w:r>
    </w:p>
    <w:p w14:paraId="15784583">
      <w:pPr>
        <w:spacing w:line="600" w:lineRule="exact"/>
        <w:ind w:firstLine="560" w:firstLineChars="200"/>
        <w:rPr>
          <w:rFonts w:ascii="仿宋" w:hAnsi="仿宋" w:eastAsia="仿宋"/>
          <w:color w:val="auto"/>
          <w:sz w:val="28"/>
          <w:szCs w:val="28"/>
          <w:shd w:val="clear" w:color="auto" w:fill="auto"/>
        </w:rPr>
      </w:pPr>
      <w:r>
        <w:rPr>
          <w:rFonts w:hint="eastAsia" w:ascii="仿宋" w:hAnsi="仿宋" w:eastAsia="仿宋"/>
          <w:color w:val="auto"/>
          <w:sz w:val="28"/>
          <w:szCs w:val="28"/>
          <w:shd w:val="clear" w:color="auto" w:fill="auto"/>
        </w:rPr>
        <w:t>采购需求：</w:t>
      </w:r>
    </w:p>
    <w:tbl>
      <w:tblPr>
        <w:tblStyle w:val="12"/>
        <w:tblW w:w="100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507"/>
        <w:gridCol w:w="881"/>
        <w:gridCol w:w="830"/>
        <w:gridCol w:w="1847"/>
        <w:gridCol w:w="1575"/>
        <w:gridCol w:w="1639"/>
      </w:tblGrid>
      <w:tr w14:paraId="4B137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6" w:hRule="atLeast"/>
          <w:jc w:val="center"/>
        </w:trPr>
        <w:tc>
          <w:tcPr>
            <w:tcW w:w="817" w:type="dxa"/>
            <w:vAlign w:val="center"/>
          </w:tcPr>
          <w:p w14:paraId="53E79A1C">
            <w:pPr>
              <w:widowControl/>
              <w:spacing w:line="600" w:lineRule="exact"/>
              <w:jc w:val="center"/>
              <w:rPr>
                <w:rFonts w:hint="eastAsia" w:ascii="仿宋" w:hAnsi="仿宋" w:eastAsia="仿宋" w:cs="宋体"/>
                <w:b/>
                <w:color w:val="auto"/>
                <w:sz w:val="28"/>
                <w:szCs w:val="28"/>
                <w:shd w:val="clear" w:color="auto" w:fill="auto"/>
                <w:lang w:eastAsia="zh-CN"/>
              </w:rPr>
            </w:pPr>
            <w:r>
              <w:rPr>
                <w:rFonts w:hint="eastAsia" w:ascii="仿宋" w:hAnsi="仿宋" w:eastAsia="仿宋" w:cs="宋体"/>
                <w:b/>
                <w:color w:val="auto"/>
                <w:sz w:val="28"/>
                <w:szCs w:val="28"/>
                <w:shd w:val="clear" w:color="auto" w:fill="auto"/>
                <w:lang w:eastAsia="zh-CN"/>
              </w:rPr>
              <w:t>序号</w:t>
            </w:r>
          </w:p>
        </w:tc>
        <w:tc>
          <w:tcPr>
            <w:tcW w:w="2507" w:type="dxa"/>
            <w:vAlign w:val="center"/>
          </w:tcPr>
          <w:p w14:paraId="1618377D">
            <w:pPr>
              <w:widowControl/>
              <w:spacing w:line="600" w:lineRule="exact"/>
              <w:jc w:val="center"/>
              <w:rPr>
                <w:rFonts w:ascii="仿宋" w:hAnsi="仿宋" w:eastAsia="仿宋" w:cs="宋体"/>
                <w:b/>
                <w:color w:val="auto"/>
                <w:sz w:val="28"/>
                <w:szCs w:val="28"/>
                <w:shd w:val="clear" w:color="auto" w:fill="auto"/>
              </w:rPr>
            </w:pPr>
            <w:r>
              <w:rPr>
                <w:rFonts w:hint="eastAsia" w:ascii="仿宋" w:hAnsi="仿宋" w:eastAsia="仿宋" w:cs="宋体"/>
                <w:b/>
                <w:color w:val="auto"/>
                <w:sz w:val="28"/>
                <w:szCs w:val="28"/>
                <w:shd w:val="clear" w:color="auto" w:fill="auto"/>
              </w:rPr>
              <w:t>项目名称</w:t>
            </w:r>
          </w:p>
        </w:tc>
        <w:tc>
          <w:tcPr>
            <w:tcW w:w="881" w:type="dxa"/>
            <w:vAlign w:val="center"/>
          </w:tcPr>
          <w:p w14:paraId="60B4CA93">
            <w:pPr>
              <w:widowControl/>
              <w:spacing w:line="600" w:lineRule="exact"/>
              <w:jc w:val="center"/>
              <w:rPr>
                <w:rFonts w:ascii="仿宋" w:hAnsi="仿宋" w:eastAsia="仿宋" w:cs="宋体"/>
                <w:b/>
                <w:color w:val="auto"/>
                <w:sz w:val="28"/>
                <w:szCs w:val="28"/>
                <w:shd w:val="clear" w:color="auto" w:fill="auto"/>
              </w:rPr>
            </w:pPr>
            <w:r>
              <w:rPr>
                <w:rFonts w:hint="eastAsia" w:ascii="仿宋" w:hAnsi="仿宋" w:eastAsia="仿宋" w:cs="宋体"/>
                <w:b/>
                <w:color w:val="auto"/>
                <w:sz w:val="28"/>
                <w:szCs w:val="28"/>
                <w:shd w:val="clear" w:color="auto" w:fill="auto"/>
              </w:rPr>
              <w:t>数量</w:t>
            </w:r>
          </w:p>
        </w:tc>
        <w:tc>
          <w:tcPr>
            <w:tcW w:w="830" w:type="dxa"/>
            <w:vAlign w:val="center"/>
          </w:tcPr>
          <w:p w14:paraId="1836C824">
            <w:pPr>
              <w:widowControl/>
              <w:spacing w:line="600" w:lineRule="exact"/>
              <w:jc w:val="center"/>
              <w:rPr>
                <w:rFonts w:ascii="仿宋" w:hAnsi="仿宋" w:eastAsia="仿宋" w:cs="宋体"/>
                <w:b/>
                <w:color w:val="auto"/>
                <w:sz w:val="28"/>
                <w:szCs w:val="28"/>
                <w:shd w:val="clear" w:color="auto" w:fill="auto"/>
              </w:rPr>
            </w:pPr>
            <w:r>
              <w:rPr>
                <w:rFonts w:hint="eastAsia" w:ascii="仿宋" w:hAnsi="仿宋" w:eastAsia="仿宋" w:cs="宋体"/>
                <w:b/>
                <w:color w:val="auto"/>
                <w:sz w:val="28"/>
                <w:szCs w:val="28"/>
                <w:shd w:val="clear" w:color="auto" w:fill="auto"/>
              </w:rPr>
              <w:t>单位</w:t>
            </w:r>
          </w:p>
        </w:tc>
        <w:tc>
          <w:tcPr>
            <w:tcW w:w="1847" w:type="dxa"/>
            <w:vAlign w:val="center"/>
          </w:tcPr>
          <w:p w14:paraId="48F6744F">
            <w:pPr>
              <w:widowControl/>
              <w:spacing w:line="600" w:lineRule="exact"/>
              <w:jc w:val="center"/>
              <w:rPr>
                <w:rFonts w:ascii="仿宋" w:hAnsi="仿宋" w:eastAsia="仿宋" w:cs="宋体"/>
                <w:b/>
                <w:color w:val="auto"/>
                <w:sz w:val="28"/>
                <w:szCs w:val="28"/>
                <w:shd w:val="clear" w:color="auto" w:fill="auto"/>
              </w:rPr>
            </w:pPr>
            <w:r>
              <w:rPr>
                <w:rFonts w:hint="eastAsia" w:ascii="仿宋" w:hAnsi="仿宋" w:eastAsia="仿宋" w:cs="宋体"/>
                <w:b/>
                <w:color w:val="auto"/>
                <w:sz w:val="28"/>
                <w:szCs w:val="28"/>
                <w:shd w:val="clear" w:color="auto" w:fill="auto"/>
              </w:rPr>
              <w:t>主要技术规格及要求</w:t>
            </w:r>
          </w:p>
        </w:tc>
        <w:tc>
          <w:tcPr>
            <w:tcW w:w="1575" w:type="dxa"/>
            <w:vAlign w:val="center"/>
          </w:tcPr>
          <w:p w14:paraId="1AB5F0B4">
            <w:pPr>
              <w:widowControl/>
              <w:spacing w:line="600" w:lineRule="exact"/>
              <w:jc w:val="center"/>
              <w:rPr>
                <w:rFonts w:ascii="仿宋" w:hAnsi="仿宋" w:eastAsia="仿宋" w:cs="宋体"/>
                <w:b/>
                <w:color w:val="auto"/>
                <w:kern w:val="27"/>
                <w:sz w:val="28"/>
                <w:szCs w:val="28"/>
                <w:shd w:val="clear" w:color="auto" w:fill="auto"/>
              </w:rPr>
            </w:pPr>
            <w:r>
              <w:rPr>
                <w:rFonts w:hint="eastAsia" w:ascii="仿宋" w:hAnsi="仿宋" w:eastAsia="仿宋" w:cs="宋体"/>
                <w:b/>
                <w:color w:val="auto"/>
                <w:kern w:val="27"/>
                <w:sz w:val="28"/>
                <w:szCs w:val="28"/>
                <w:shd w:val="clear" w:color="auto" w:fill="auto"/>
              </w:rPr>
              <w:t>预算金额（元）</w:t>
            </w:r>
          </w:p>
        </w:tc>
        <w:tc>
          <w:tcPr>
            <w:tcW w:w="1639" w:type="dxa"/>
            <w:vAlign w:val="center"/>
          </w:tcPr>
          <w:p w14:paraId="68D2965C">
            <w:pPr>
              <w:widowControl/>
              <w:spacing w:line="600" w:lineRule="exact"/>
              <w:jc w:val="center"/>
              <w:rPr>
                <w:rFonts w:hint="eastAsia" w:ascii="仿宋" w:hAnsi="仿宋" w:eastAsia="仿宋" w:cs="宋体"/>
                <w:b/>
                <w:color w:val="auto"/>
                <w:kern w:val="27"/>
                <w:sz w:val="28"/>
                <w:szCs w:val="28"/>
                <w:shd w:val="clear" w:color="auto" w:fill="auto"/>
              </w:rPr>
            </w:pPr>
            <w:r>
              <w:rPr>
                <w:rFonts w:hint="eastAsia" w:ascii="仿宋" w:hAnsi="仿宋" w:eastAsia="仿宋" w:cs="宋体"/>
                <w:b/>
                <w:color w:val="auto"/>
                <w:kern w:val="27"/>
                <w:sz w:val="28"/>
                <w:szCs w:val="28"/>
                <w:shd w:val="clear" w:color="auto" w:fill="auto"/>
              </w:rPr>
              <w:t>最高限价（元）</w:t>
            </w:r>
          </w:p>
        </w:tc>
      </w:tr>
      <w:tr w14:paraId="611EE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2" w:hRule="atLeast"/>
          <w:jc w:val="center"/>
        </w:trPr>
        <w:tc>
          <w:tcPr>
            <w:tcW w:w="817" w:type="dxa"/>
            <w:vAlign w:val="center"/>
          </w:tcPr>
          <w:p w14:paraId="669DC119">
            <w:pPr>
              <w:widowControl/>
              <w:spacing w:line="600" w:lineRule="exact"/>
              <w:jc w:val="center"/>
              <w:rPr>
                <w:rFonts w:hint="eastAsia" w:ascii="仿宋" w:hAnsi="仿宋" w:eastAsia="仿宋" w:cs="宋体"/>
                <w:b w:val="0"/>
                <w:bCs/>
                <w:color w:val="auto"/>
                <w:kern w:val="27"/>
                <w:sz w:val="28"/>
                <w:szCs w:val="28"/>
                <w:shd w:val="clear" w:color="auto" w:fill="auto"/>
                <w:lang w:eastAsia="zh-CN"/>
              </w:rPr>
            </w:pPr>
            <w:r>
              <w:rPr>
                <w:rFonts w:hint="eastAsia" w:ascii="仿宋" w:hAnsi="仿宋" w:eastAsia="仿宋" w:cs="宋体"/>
                <w:b w:val="0"/>
                <w:bCs/>
                <w:color w:val="auto"/>
                <w:kern w:val="27"/>
                <w:sz w:val="28"/>
                <w:szCs w:val="28"/>
                <w:shd w:val="clear" w:color="auto" w:fill="auto"/>
                <w:lang w:val="en-US" w:eastAsia="zh-CN"/>
              </w:rPr>
              <w:t>1</w:t>
            </w:r>
          </w:p>
        </w:tc>
        <w:tc>
          <w:tcPr>
            <w:tcW w:w="2507" w:type="dxa"/>
            <w:vAlign w:val="center"/>
          </w:tcPr>
          <w:p w14:paraId="23677965">
            <w:pPr>
              <w:widowControl/>
              <w:spacing w:line="600" w:lineRule="exact"/>
              <w:jc w:val="center"/>
              <w:rPr>
                <w:rFonts w:hint="eastAsia" w:ascii="仿宋" w:hAnsi="仿宋" w:eastAsia="仿宋" w:cs="宋体"/>
                <w:b w:val="0"/>
                <w:bCs/>
                <w:color w:val="auto"/>
                <w:kern w:val="27"/>
                <w:sz w:val="28"/>
                <w:szCs w:val="28"/>
                <w:shd w:val="clear" w:color="auto" w:fill="auto"/>
                <w:lang w:eastAsia="zh-CN"/>
              </w:rPr>
            </w:pPr>
            <w:r>
              <w:rPr>
                <w:rFonts w:hint="eastAsia" w:ascii="仿宋" w:hAnsi="仿宋" w:eastAsia="仿宋" w:cs="宋体"/>
                <w:b w:val="0"/>
                <w:bCs/>
                <w:color w:val="auto"/>
                <w:kern w:val="27"/>
                <w:sz w:val="28"/>
                <w:szCs w:val="28"/>
                <w:shd w:val="clear" w:color="auto" w:fill="auto"/>
                <w:lang w:eastAsia="zh-CN"/>
              </w:rPr>
              <w:t>信丰县安西镇兰田村果蔬内部品质检测机采购项目</w:t>
            </w:r>
          </w:p>
        </w:tc>
        <w:tc>
          <w:tcPr>
            <w:tcW w:w="881" w:type="dxa"/>
            <w:vAlign w:val="center"/>
          </w:tcPr>
          <w:p w14:paraId="03A1D7CE">
            <w:pPr>
              <w:widowControl/>
              <w:spacing w:line="600" w:lineRule="exact"/>
              <w:jc w:val="center"/>
              <w:rPr>
                <w:rFonts w:hint="eastAsia" w:ascii="仿宋" w:hAnsi="仿宋" w:eastAsia="仿宋" w:cs="宋体"/>
                <w:b w:val="0"/>
                <w:bCs/>
                <w:color w:val="auto"/>
                <w:kern w:val="27"/>
                <w:sz w:val="28"/>
                <w:szCs w:val="28"/>
                <w:shd w:val="clear" w:color="auto" w:fill="auto"/>
                <w:lang w:eastAsia="zh-CN"/>
              </w:rPr>
            </w:pPr>
            <w:r>
              <w:rPr>
                <w:rFonts w:hint="eastAsia" w:ascii="仿宋" w:hAnsi="仿宋" w:eastAsia="仿宋" w:cs="宋体"/>
                <w:b w:val="0"/>
                <w:bCs/>
                <w:color w:val="auto"/>
                <w:kern w:val="27"/>
                <w:sz w:val="28"/>
                <w:szCs w:val="28"/>
                <w:shd w:val="clear" w:color="auto" w:fill="auto"/>
                <w:lang w:eastAsia="zh-CN"/>
              </w:rPr>
              <w:t>1</w:t>
            </w:r>
          </w:p>
        </w:tc>
        <w:tc>
          <w:tcPr>
            <w:tcW w:w="830" w:type="dxa"/>
            <w:vAlign w:val="center"/>
          </w:tcPr>
          <w:p w14:paraId="6DA530E1">
            <w:pPr>
              <w:widowControl/>
              <w:spacing w:line="600" w:lineRule="exact"/>
              <w:jc w:val="center"/>
              <w:rPr>
                <w:rFonts w:hint="default" w:ascii="仿宋" w:hAnsi="仿宋" w:eastAsia="仿宋" w:cs="宋体"/>
                <w:b w:val="0"/>
                <w:bCs/>
                <w:color w:val="auto"/>
                <w:kern w:val="27"/>
                <w:sz w:val="28"/>
                <w:szCs w:val="28"/>
                <w:shd w:val="clear" w:color="auto" w:fill="auto"/>
                <w:lang w:val="en-US" w:eastAsia="zh-CN"/>
              </w:rPr>
            </w:pPr>
            <w:r>
              <w:rPr>
                <w:rFonts w:hint="eastAsia" w:ascii="仿宋" w:hAnsi="仿宋" w:eastAsia="仿宋" w:cs="宋体"/>
                <w:b w:val="0"/>
                <w:bCs/>
                <w:color w:val="auto"/>
                <w:kern w:val="27"/>
                <w:sz w:val="28"/>
                <w:szCs w:val="28"/>
                <w:shd w:val="clear" w:color="auto" w:fill="auto"/>
                <w:lang w:val="en-US" w:eastAsia="zh-CN"/>
              </w:rPr>
              <w:t>台</w:t>
            </w:r>
          </w:p>
        </w:tc>
        <w:tc>
          <w:tcPr>
            <w:tcW w:w="1847" w:type="dxa"/>
            <w:vAlign w:val="center"/>
          </w:tcPr>
          <w:p w14:paraId="2415BDC1">
            <w:pPr>
              <w:widowControl/>
              <w:spacing w:line="600" w:lineRule="exact"/>
              <w:jc w:val="center"/>
              <w:rPr>
                <w:rFonts w:hint="eastAsia" w:ascii="仿宋" w:hAnsi="仿宋" w:eastAsia="仿宋" w:cs="宋体"/>
                <w:b w:val="0"/>
                <w:bCs/>
                <w:color w:val="auto"/>
                <w:kern w:val="27"/>
                <w:sz w:val="28"/>
                <w:szCs w:val="28"/>
                <w:shd w:val="clear" w:color="auto" w:fill="auto"/>
                <w:lang w:eastAsia="zh-CN"/>
              </w:rPr>
            </w:pPr>
            <w:r>
              <w:rPr>
                <w:rFonts w:hint="eastAsia" w:ascii="仿宋" w:hAnsi="仿宋" w:eastAsia="仿宋" w:cs="宋体"/>
                <w:b w:val="0"/>
                <w:bCs/>
                <w:color w:val="auto"/>
                <w:kern w:val="27"/>
                <w:sz w:val="28"/>
                <w:szCs w:val="28"/>
                <w:shd w:val="clear" w:color="auto" w:fill="auto"/>
                <w:lang w:eastAsia="zh-CN"/>
              </w:rPr>
              <w:t>详见“附件”</w:t>
            </w:r>
          </w:p>
        </w:tc>
        <w:tc>
          <w:tcPr>
            <w:tcW w:w="1575" w:type="dxa"/>
            <w:vAlign w:val="center"/>
          </w:tcPr>
          <w:p w14:paraId="3CBE7AB2">
            <w:pPr>
              <w:widowControl/>
              <w:spacing w:line="600" w:lineRule="exact"/>
              <w:jc w:val="center"/>
              <w:rPr>
                <w:rFonts w:hint="eastAsia" w:ascii="仿宋" w:hAnsi="仿宋" w:eastAsia="仿宋" w:cs="宋体"/>
                <w:b w:val="0"/>
                <w:bCs/>
                <w:color w:val="auto"/>
                <w:kern w:val="27"/>
                <w:sz w:val="28"/>
                <w:szCs w:val="28"/>
                <w:shd w:val="clear" w:color="auto" w:fill="auto"/>
                <w:lang w:eastAsia="zh-CN"/>
              </w:rPr>
            </w:pPr>
            <w:r>
              <w:rPr>
                <w:rFonts w:hint="eastAsia" w:ascii="仿宋" w:hAnsi="仿宋" w:eastAsia="仿宋" w:cs="宋体"/>
                <w:b w:val="0"/>
                <w:bCs/>
                <w:color w:val="auto"/>
                <w:kern w:val="27"/>
                <w:sz w:val="28"/>
                <w:szCs w:val="28"/>
                <w:shd w:val="clear" w:color="auto" w:fill="auto"/>
                <w:lang w:eastAsia="zh-CN"/>
              </w:rPr>
              <w:t>680000.00</w:t>
            </w:r>
          </w:p>
        </w:tc>
        <w:tc>
          <w:tcPr>
            <w:tcW w:w="1639" w:type="dxa"/>
            <w:vAlign w:val="center"/>
          </w:tcPr>
          <w:p w14:paraId="38341E65">
            <w:pPr>
              <w:widowControl/>
              <w:spacing w:line="600" w:lineRule="exact"/>
              <w:jc w:val="center"/>
              <w:rPr>
                <w:rFonts w:hint="eastAsia" w:ascii="仿宋" w:hAnsi="仿宋" w:eastAsia="仿宋" w:cs="宋体"/>
                <w:b w:val="0"/>
                <w:bCs/>
                <w:color w:val="auto"/>
                <w:kern w:val="27"/>
                <w:sz w:val="28"/>
                <w:szCs w:val="28"/>
                <w:shd w:val="clear" w:color="auto" w:fill="auto"/>
                <w:lang w:eastAsia="zh-CN"/>
              </w:rPr>
            </w:pPr>
            <w:r>
              <w:rPr>
                <w:rFonts w:hint="eastAsia" w:ascii="仿宋" w:hAnsi="仿宋" w:eastAsia="仿宋" w:cs="宋体"/>
                <w:b w:val="0"/>
                <w:bCs/>
                <w:color w:val="auto"/>
                <w:kern w:val="27"/>
                <w:sz w:val="28"/>
                <w:szCs w:val="28"/>
                <w:shd w:val="clear" w:color="auto" w:fill="auto"/>
                <w:lang w:eastAsia="zh-CN"/>
              </w:rPr>
              <w:t>680000.00</w:t>
            </w:r>
          </w:p>
        </w:tc>
      </w:tr>
    </w:tbl>
    <w:p w14:paraId="5A445908">
      <w:pPr>
        <w:spacing w:line="600" w:lineRule="exact"/>
        <w:rPr>
          <w:rFonts w:hint="eastAsia" w:ascii="仿宋" w:hAnsi="仿宋" w:eastAsia="仿宋"/>
          <w:color w:val="auto"/>
          <w:sz w:val="28"/>
          <w:szCs w:val="28"/>
          <w:shd w:val="clear" w:color="auto" w:fill="auto"/>
          <w:lang w:eastAsia="zh-CN"/>
        </w:rPr>
      </w:pPr>
      <w:r>
        <w:rPr>
          <w:rFonts w:hint="eastAsia" w:ascii="仿宋" w:hAnsi="仿宋" w:eastAsia="仿宋"/>
          <w:color w:val="auto"/>
          <w:sz w:val="28"/>
          <w:szCs w:val="28"/>
          <w:shd w:val="clear" w:color="auto" w:fill="auto"/>
        </w:rPr>
        <w:t>合同履行期限：</w:t>
      </w:r>
      <w:r>
        <w:rPr>
          <w:rFonts w:hint="eastAsia" w:ascii="仿宋" w:hAnsi="仿宋" w:eastAsia="仿宋"/>
          <w:color w:val="auto"/>
          <w:sz w:val="28"/>
          <w:szCs w:val="28"/>
          <w:u w:val="single"/>
          <w:shd w:val="clear" w:color="auto" w:fill="auto"/>
          <w:lang w:eastAsia="zh-CN"/>
        </w:rPr>
        <w:t>自签订采购合同后30日内完成全部货物的供货、安装、调试并交付使用。</w:t>
      </w:r>
    </w:p>
    <w:p w14:paraId="47384F3F">
      <w:pPr>
        <w:spacing w:line="600" w:lineRule="exact"/>
        <w:rPr>
          <w:rFonts w:ascii="仿宋" w:hAnsi="仿宋" w:eastAsia="仿宋"/>
          <w:color w:val="auto"/>
          <w:sz w:val="28"/>
          <w:szCs w:val="28"/>
          <w:shd w:val="clear" w:color="auto" w:fill="auto"/>
        </w:rPr>
      </w:pPr>
      <w:r>
        <w:rPr>
          <w:rFonts w:hint="eastAsia" w:ascii="仿宋" w:hAnsi="仿宋" w:eastAsia="仿宋"/>
          <w:color w:val="auto"/>
          <w:sz w:val="28"/>
          <w:szCs w:val="28"/>
          <w:shd w:val="clear" w:color="auto" w:fill="auto"/>
        </w:rPr>
        <w:t>本项目（是/否）接受联合体投标</w:t>
      </w:r>
      <w:bookmarkStart w:id="5" w:name="_Toc28359080"/>
      <w:bookmarkStart w:id="6" w:name="_Toc28359003"/>
      <w:r>
        <w:rPr>
          <w:rFonts w:hint="eastAsia" w:ascii="仿宋" w:hAnsi="仿宋" w:eastAsia="仿宋"/>
          <w:color w:val="auto"/>
          <w:sz w:val="28"/>
          <w:szCs w:val="28"/>
          <w:shd w:val="clear" w:color="auto" w:fill="auto"/>
        </w:rPr>
        <w:t>：否。</w:t>
      </w:r>
    </w:p>
    <w:p w14:paraId="7C87397E">
      <w:pPr>
        <w:spacing w:line="600" w:lineRule="exact"/>
        <w:rPr>
          <w:rFonts w:ascii="仿宋" w:hAnsi="仿宋" w:eastAsia="仿宋"/>
          <w:b/>
          <w:color w:val="auto"/>
          <w:sz w:val="28"/>
          <w:szCs w:val="28"/>
          <w:shd w:val="clear" w:color="auto" w:fill="auto"/>
        </w:rPr>
      </w:pPr>
      <w:r>
        <w:rPr>
          <w:rFonts w:hint="eastAsia" w:ascii="仿宋" w:hAnsi="仿宋" w:eastAsia="仿宋" w:cs="宋体"/>
          <w:b/>
          <w:color w:val="auto"/>
          <w:sz w:val="28"/>
          <w:szCs w:val="28"/>
          <w:shd w:val="clear" w:color="auto" w:fill="auto"/>
        </w:rPr>
        <w:t>二、申请人的资格要求：</w:t>
      </w:r>
      <w:bookmarkEnd w:id="5"/>
      <w:bookmarkEnd w:id="6"/>
    </w:p>
    <w:p w14:paraId="04FB5721">
      <w:pPr>
        <w:spacing w:line="600" w:lineRule="exact"/>
        <w:ind w:firstLine="560" w:firstLineChars="200"/>
        <w:rPr>
          <w:rFonts w:hint="eastAsia" w:ascii="仿宋" w:hAnsi="仿宋" w:eastAsia="仿宋"/>
          <w:color w:val="auto"/>
          <w:sz w:val="28"/>
          <w:szCs w:val="28"/>
          <w:shd w:val="clear" w:color="auto" w:fill="auto"/>
        </w:rPr>
      </w:pPr>
      <w:bookmarkStart w:id="7" w:name="_Toc28359081"/>
      <w:bookmarkStart w:id="8" w:name="_Toc28359004"/>
      <w:r>
        <w:rPr>
          <w:rFonts w:hint="eastAsia" w:ascii="仿宋" w:hAnsi="仿宋" w:eastAsia="仿宋"/>
          <w:color w:val="auto"/>
          <w:sz w:val="28"/>
          <w:szCs w:val="28"/>
          <w:shd w:val="clear" w:color="auto" w:fill="auto"/>
        </w:rPr>
        <w:t>1.满足《中华人民共和国政府采购法》第二十二条规定：</w:t>
      </w:r>
    </w:p>
    <w:p w14:paraId="4FDC17B8">
      <w:pPr>
        <w:spacing w:line="600" w:lineRule="exact"/>
        <w:ind w:firstLine="560" w:firstLineChars="200"/>
        <w:rPr>
          <w:rFonts w:hint="eastAsia" w:ascii="仿宋" w:hAnsi="仿宋" w:eastAsia="仿宋"/>
          <w:color w:val="auto"/>
          <w:sz w:val="28"/>
          <w:szCs w:val="28"/>
          <w:shd w:val="clear" w:color="auto" w:fill="auto"/>
        </w:rPr>
      </w:pPr>
      <w:r>
        <w:rPr>
          <w:rFonts w:hint="eastAsia" w:ascii="仿宋" w:hAnsi="仿宋" w:eastAsia="仿宋"/>
          <w:color w:val="auto"/>
          <w:sz w:val="28"/>
          <w:szCs w:val="28"/>
          <w:shd w:val="clear" w:color="auto" w:fill="auto"/>
        </w:rPr>
        <w:t>1.1具有独立承担民事责任的能力；</w:t>
      </w:r>
    </w:p>
    <w:p w14:paraId="2448B269">
      <w:pPr>
        <w:spacing w:line="600" w:lineRule="exact"/>
        <w:ind w:firstLine="560" w:firstLineChars="200"/>
        <w:rPr>
          <w:rFonts w:hint="eastAsia" w:ascii="仿宋" w:hAnsi="仿宋" w:eastAsia="仿宋"/>
          <w:color w:val="auto"/>
          <w:sz w:val="28"/>
          <w:szCs w:val="28"/>
          <w:shd w:val="clear" w:color="auto" w:fill="auto"/>
        </w:rPr>
      </w:pPr>
      <w:r>
        <w:rPr>
          <w:rFonts w:hint="eastAsia" w:ascii="仿宋" w:hAnsi="仿宋" w:eastAsia="仿宋"/>
          <w:color w:val="auto"/>
          <w:sz w:val="28"/>
          <w:szCs w:val="28"/>
          <w:shd w:val="clear" w:color="auto" w:fill="auto"/>
        </w:rPr>
        <w:t>1.2具有良好的商业信誉和健全的财务会计制度；</w:t>
      </w:r>
    </w:p>
    <w:p w14:paraId="367528A7">
      <w:pPr>
        <w:spacing w:line="600" w:lineRule="exact"/>
        <w:ind w:firstLine="560" w:firstLineChars="200"/>
        <w:rPr>
          <w:rFonts w:hint="eastAsia" w:ascii="仿宋" w:hAnsi="仿宋" w:eastAsia="仿宋"/>
          <w:color w:val="auto"/>
          <w:sz w:val="28"/>
          <w:szCs w:val="28"/>
          <w:shd w:val="clear" w:color="auto" w:fill="auto"/>
        </w:rPr>
      </w:pPr>
      <w:r>
        <w:rPr>
          <w:rFonts w:hint="eastAsia" w:ascii="仿宋" w:hAnsi="仿宋" w:eastAsia="仿宋"/>
          <w:color w:val="auto"/>
          <w:sz w:val="28"/>
          <w:szCs w:val="28"/>
          <w:shd w:val="clear" w:color="auto" w:fill="auto"/>
        </w:rPr>
        <w:t>1.3具有履行合同所必需的设备和专业技术能力；</w:t>
      </w:r>
    </w:p>
    <w:p w14:paraId="56E080DA">
      <w:pPr>
        <w:spacing w:line="600" w:lineRule="exact"/>
        <w:ind w:firstLine="560" w:firstLineChars="200"/>
        <w:rPr>
          <w:rFonts w:hint="eastAsia" w:ascii="仿宋" w:hAnsi="仿宋" w:eastAsia="仿宋"/>
          <w:color w:val="auto"/>
          <w:sz w:val="28"/>
          <w:szCs w:val="28"/>
          <w:shd w:val="clear" w:color="auto" w:fill="auto"/>
        </w:rPr>
      </w:pPr>
      <w:r>
        <w:rPr>
          <w:rFonts w:hint="eastAsia" w:ascii="仿宋" w:hAnsi="仿宋" w:eastAsia="仿宋"/>
          <w:color w:val="auto"/>
          <w:sz w:val="28"/>
          <w:szCs w:val="28"/>
          <w:shd w:val="clear" w:color="auto" w:fill="auto"/>
        </w:rPr>
        <w:t>1.4有依法缴纳税收和社会保障资金的良好记录；</w:t>
      </w:r>
    </w:p>
    <w:p w14:paraId="0AC9746F">
      <w:pPr>
        <w:spacing w:line="600" w:lineRule="exact"/>
        <w:ind w:firstLine="560" w:firstLineChars="200"/>
        <w:rPr>
          <w:rFonts w:hint="eastAsia" w:ascii="仿宋" w:hAnsi="仿宋" w:eastAsia="仿宋"/>
          <w:color w:val="auto"/>
          <w:sz w:val="28"/>
          <w:szCs w:val="28"/>
          <w:shd w:val="clear" w:color="auto" w:fill="auto"/>
        </w:rPr>
      </w:pPr>
      <w:r>
        <w:rPr>
          <w:rFonts w:hint="eastAsia" w:ascii="仿宋" w:hAnsi="仿宋" w:eastAsia="仿宋"/>
          <w:color w:val="auto"/>
          <w:sz w:val="28"/>
          <w:szCs w:val="28"/>
          <w:shd w:val="clear" w:color="auto" w:fill="auto"/>
        </w:rPr>
        <w:t>1.5参加政府采购活动前三年内，在经营活动中没有重大违法记录。</w:t>
      </w:r>
    </w:p>
    <w:p w14:paraId="52A2E304">
      <w:pPr>
        <w:spacing w:line="600" w:lineRule="exact"/>
        <w:ind w:firstLine="560" w:firstLineChars="200"/>
        <w:rPr>
          <w:rFonts w:hint="eastAsia" w:ascii="仿宋" w:hAnsi="仿宋" w:eastAsia="仿宋"/>
          <w:color w:val="auto"/>
          <w:sz w:val="28"/>
          <w:szCs w:val="28"/>
          <w:shd w:val="clear" w:color="auto" w:fill="auto"/>
        </w:rPr>
      </w:pPr>
      <w:r>
        <w:rPr>
          <w:rFonts w:hint="eastAsia" w:ascii="仿宋" w:hAnsi="仿宋" w:eastAsia="仿宋"/>
          <w:color w:val="auto"/>
          <w:sz w:val="28"/>
          <w:szCs w:val="28"/>
          <w:shd w:val="clear" w:color="auto" w:fill="auto"/>
        </w:rPr>
        <w:t>2.落实政府采购政策需满足的资格要求：本项目为专门面向中小企业采购项目（须提供中小企业声明函）。</w:t>
      </w:r>
    </w:p>
    <w:p w14:paraId="2CC1780E">
      <w:pPr>
        <w:spacing w:line="600" w:lineRule="exact"/>
        <w:ind w:firstLine="560" w:firstLineChars="200"/>
        <w:rPr>
          <w:rFonts w:hint="eastAsia" w:ascii="仿宋" w:hAnsi="仿宋" w:eastAsia="仿宋"/>
          <w:color w:val="auto"/>
          <w:sz w:val="28"/>
          <w:szCs w:val="28"/>
          <w:shd w:val="clear" w:color="auto" w:fill="auto"/>
        </w:rPr>
      </w:pPr>
      <w:r>
        <w:rPr>
          <w:rFonts w:hint="eastAsia" w:ascii="仿宋" w:hAnsi="仿宋" w:eastAsia="仿宋"/>
          <w:color w:val="auto"/>
          <w:sz w:val="28"/>
          <w:szCs w:val="28"/>
          <w:shd w:val="clear" w:color="auto" w:fill="auto"/>
        </w:rPr>
        <w:t>3.本项目的特定资格要求：无。</w:t>
      </w:r>
    </w:p>
    <w:p w14:paraId="1D09ED19">
      <w:pPr>
        <w:spacing w:line="600" w:lineRule="exact"/>
        <w:rPr>
          <w:rFonts w:ascii="仿宋" w:hAnsi="仿宋" w:eastAsia="仿宋"/>
          <w:b/>
          <w:color w:val="auto"/>
          <w:sz w:val="28"/>
          <w:szCs w:val="28"/>
          <w:shd w:val="clear" w:color="auto" w:fill="auto"/>
        </w:rPr>
      </w:pPr>
      <w:r>
        <w:rPr>
          <w:rFonts w:hint="eastAsia" w:ascii="仿宋" w:hAnsi="仿宋" w:eastAsia="仿宋" w:cs="宋体"/>
          <w:b/>
          <w:color w:val="auto"/>
          <w:sz w:val="28"/>
          <w:szCs w:val="28"/>
          <w:shd w:val="clear" w:color="auto" w:fill="auto"/>
        </w:rPr>
        <w:t>三、获取招标文件</w:t>
      </w:r>
      <w:bookmarkEnd w:id="7"/>
      <w:bookmarkEnd w:id="8"/>
    </w:p>
    <w:p w14:paraId="10D73B20">
      <w:pPr>
        <w:spacing w:line="600" w:lineRule="exact"/>
        <w:ind w:firstLine="540"/>
        <w:jc w:val="left"/>
        <w:rPr>
          <w:rFonts w:ascii="仿宋" w:hAnsi="仿宋" w:eastAsia="仿宋" w:cs="宋体"/>
          <w:color w:val="auto"/>
          <w:sz w:val="28"/>
          <w:szCs w:val="28"/>
          <w:shd w:val="clear" w:color="auto" w:fill="auto"/>
        </w:rPr>
      </w:pPr>
      <w:r>
        <w:rPr>
          <w:rFonts w:hint="eastAsia" w:ascii="仿宋" w:hAnsi="仿宋" w:eastAsia="仿宋" w:cs="宋体"/>
          <w:color w:val="auto"/>
          <w:sz w:val="28"/>
          <w:szCs w:val="28"/>
          <w:shd w:val="clear" w:color="auto" w:fill="auto"/>
        </w:rPr>
        <w:t>时间：</w:t>
      </w:r>
      <w:r>
        <w:rPr>
          <w:rFonts w:hint="eastAsia" w:ascii="仿宋" w:hAnsi="仿宋" w:eastAsia="仿宋" w:cs="宋体"/>
          <w:color w:val="auto"/>
          <w:sz w:val="28"/>
          <w:szCs w:val="28"/>
          <w:u w:val="single"/>
          <w:shd w:val="clear" w:color="auto" w:fill="auto"/>
        </w:rPr>
        <w:t>2026年06月04日至2026年06月10日，每天上午00：00至12:00，下午12:00至2</w:t>
      </w:r>
      <w:r>
        <w:rPr>
          <w:rFonts w:hint="eastAsia" w:ascii="仿宋" w:hAnsi="仿宋" w:eastAsia="仿宋" w:cs="宋体"/>
          <w:color w:val="auto"/>
          <w:sz w:val="28"/>
          <w:szCs w:val="28"/>
          <w:u w:val="single"/>
          <w:shd w:val="clear" w:color="auto" w:fill="auto"/>
          <w:lang w:val="en-US" w:eastAsia="zh-CN"/>
        </w:rPr>
        <w:t>3</w:t>
      </w:r>
      <w:r>
        <w:rPr>
          <w:rFonts w:hint="eastAsia" w:ascii="仿宋" w:hAnsi="仿宋" w:eastAsia="仿宋" w:cs="宋体"/>
          <w:color w:val="auto"/>
          <w:sz w:val="28"/>
          <w:szCs w:val="28"/>
          <w:u w:val="single"/>
          <w:shd w:val="clear" w:color="auto" w:fill="auto"/>
        </w:rPr>
        <w:t>:</w:t>
      </w:r>
      <w:r>
        <w:rPr>
          <w:rFonts w:hint="eastAsia" w:ascii="仿宋" w:hAnsi="仿宋" w:eastAsia="仿宋" w:cs="宋体"/>
          <w:color w:val="auto"/>
          <w:sz w:val="28"/>
          <w:szCs w:val="28"/>
          <w:u w:val="single"/>
          <w:shd w:val="clear" w:color="auto" w:fill="auto"/>
          <w:lang w:val="en-US" w:eastAsia="zh-CN"/>
        </w:rPr>
        <w:t>3</w:t>
      </w:r>
      <w:r>
        <w:rPr>
          <w:rFonts w:hint="eastAsia" w:ascii="仿宋" w:hAnsi="仿宋" w:eastAsia="仿宋" w:cs="宋体"/>
          <w:color w:val="auto"/>
          <w:sz w:val="28"/>
          <w:szCs w:val="28"/>
          <w:u w:val="single"/>
          <w:shd w:val="clear" w:color="auto" w:fill="auto"/>
        </w:rPr>
        <w:t>0（北京时间，法定节假日除外）。</w:t>
      </w:r>
    </w:p>
    <w:p w14:paraId="12157615">
      <w:pPr>
        <w:spacing w:line="600" w:lineRule="exact"/>
        <w:ind w:firstLine="540"/>
        <w:rPr>
          <w:rFonts w:ascii="仿宋" w:hAnsi="仿宋" w:eastAsia="仿宋" w:cs="宋体"/>
          <w:color w:val="auto"/>
          <w:sz w:val="28"/>
          <w:szCs w:val="28"/>
          <w:u w:val="single"/>
          <w:shd w:val="clear" w:color="auto" w:fill="auto"/>
        </w:rPr>
      </w:pPr>
      <w:r>
        <w:rPr>
          <w:rFonts w:hint="eastAsia" w:ascii="仿宋" w:hAnsi="仿宋" w:eastAsia="仿宋" w:cs="宋体"/>
          <w:color w:val="auto"/>
          <w:sz w:val="28"/>
          <w:szCs w:val="28"/>
          <w:shd w:val="clear" w:color="auto" w:fill="auto"/>
        </w:rPr>
        <w:t>地点：</w:t>
      </w:r>
      <w:r>
        <w:rPr>
          <w:rFonts w:hint="eastAsia" w:ascii="仿宋" w:hAnsi="仿宋" w:eastAsia="仿宋" w:cs="宋体"/>
          <w:color w:val="auto"/>
          <w:sz w:val="28"/>
          <w:szCs w:val="28"/>
          <w:u w:val="single"/>
          <w:shd w:val="clear" w:color="auto" w:fill="auto"/>
        </w:rPr>
        <w:t>江西省公共资源交易网。</w:t>
      </w:r>
    </w:p>
    <w:p w14:paraId="73214DCA">
      <w:pPr>
        <w:spacing w:line="600" w:lineRule="exact"/>
        <w:ind w:firstLine="540"/>
        <w:rPr>
          <w:rFonts w:ascii="仿宋" w:hAnsi="仿宋" w:eastAsia="仿宋" w:cs="宋体"/>
          <w:color w:val="auto"/>
          <w:sz w:val="28"/>
          <w:szCs w:val="28"/>
          <w:u w:val="single"/>
          <w:shd w:val="clear" w:color="auto" w:fill="auto"/>
        </w:rPr>
      </w:pPr>
      <w:r>
        <w:rPr>
          <w:rFonts w:hint="eastAsia" w:ascii="仿宋" w:hAnsi="仿宋" w:eastAsia="仿宋" w:cs="宋体"/>
          <w:color w:val="auto"/>
          <w:sz w:val="28"/>
          <w:szCs w:val="28"/>
          <w:shd w:val="clear" w:color="auto" w:fill="auto"/>
        </w:rPr>
        <w:t>方式：</w:t>
      </w:r>
      <w:r>
        <w:rPr>
          <w:rFonts w:hint="eastAsia" w:ascii="仿宋" w:hAnsi="仿宋" w:eastAsia="仿宋" w:cs="宋体"/>
          <w:color w:val="auto"/>
          <w:sz w:val="28"/>
          <w:szCs w:val="28"/>
          <w:u w:val="single"/>
          <w:shd w:val="clear" w:color="auto" w:fill="auto"/>
        </w:rPr>
        <w:t>江西省公共资源交易网网上报名及下载电子招标文件。</w:t>
      </w:r>
    </w:p>
    <w:p w14:paraId="65EBD4D4">
      <w:pPr>
        <w:spacing w:line="600" w:lineRule="exact"/>
        <w:ind w:firstLine="540"/>
        <w:rPr>
          <w:rFonts w:ascii="仿宋" w:hAnsi="仿宋" w:eastAsia="仿宋" w:cs="宋体"/>
          <w:color w:val="auto"/>
          <w:sz w:val="28"/>
          <w:szCs w:val="28"/>
          <w:u w:val="single"/>
          <w:shd w:val="clear" w:color="auto" w:fill="auto"/>
        </w:rPr>
      </w:pPr>
      <w:r>
        <w:rPr>
          <w:rFonts w:hint="eastAsia" w:ascii="仿宋" w:hAnsi="仿宋" w:eastAsia="仿宋" w:cs="宋体"/>
          <w:color w:val="auto"/>
          <w:sz w:val="28"/>
          <w:szCs w:val="28"/>
          <w:shd w:val="clear" w:color="auto" w:fill="auto"/>
        </w:rPr>
        <w:t>售价：</w:t>
      </w:r>
      <w:r>
        <w:rPr>
          <w:rFonts w:hint="eastAsia" w:ascii="仿宋" w:hAnsi="仿宋" w:eastAsia="仿宋" w:cs="宋体"/>
          <w:color w:val="auto"/>
          <w:sz w:val="28"/>
          <w:szCs w:val="28"/>
          <w:u w:val="single"/>
          <w:shd w:val="clear" w:color="auto" w:fill="auto"/>
        </w:rPr>
        <w:t>0元。</w:t>
      </w:r>
    </w:p>
    <w:p w14:paraId="5EC0D768">
      <w:pPr>
        <w:spacing w:line="600" w:lineRule="exact"/>
        <w:rPr>
          <w:rFonts w:ascii="仿宋" w:hAnsi="仿宋" w:eastAsia="仿宋" w:cs="宋体"/>
          <w:b/>
          <w:bCs/>
          <w:color w:val="auto"/>
          <w:sz w:val="28"/>
          <w:szCs w:val="28"/>
          <w:shd w:val="clear" w:color="auto" w:fill="auto"/>
        </w:rPr>
      </w:pPr>
      <w:r>
        <w:rPr>
          <w:rFonts w:hint="eastAsia" w:ascii="仿宋" w:hAnsi="仿宋" w:eastAsia="仿宋" w:cs="宋体"/>
          <w:b/>
          <w:bCs/>
          <w:color w:val="auto"/>
          <w:sz w:val="28"/>
          <w:szCs w:val="28"/>
          <w:shd w:val="clear" w:color="auto" w:fill="auto"/>
        </w:rPr>
        <w:t>四、</w:t>
      </w:r>
      <w:r>
        <w:rPr>
          <w:rFonts w:hint="eastAsia" w:ascii="仿宋" w:hAnsi="仿宋" w:eastAsia="仿宋" w:cs="宋体"/>
          <w:b/>
          <w:bCs/>
          <w:color w:val="auto"/>
          <w:sz w:val="28"/>
          <w:szCs w:val="28"/>
          <w:shd w:val="clear" w:color="auto" w:fill="auto"/>
          <w:lang w:eastAsia="zh-CN"/>
        </w:rPr>
        <w:t>投标</w:t>
      </w:r>
      <w:r>
        <w:rPr>
          <w:rFonts w:hint="eastAsia" w:ascii="仿宋" w:hAnsi="仿宋" w:eastAsia="仿宋" w:cs="宋体"/>
          <w:b/>
          <w:bCs/>
          <w:color w:val="auto"/>
          <w:sz w:val="28"/>
          <w:szCs w:val="28"/>
          <w:shd w:val="clear" w:color="auto" w:fill="auto"/>
        </w:rPr>
        <w:t>截止时间、开标时间和地点：</w:t>
      </w:r>
    </w:p>
    <w:p w14:paraId="746C0A98">
      <w:pPr>
        <w:spacing w:line="600" w:lineRule="exact"/>
        <w:ind w:firstLine="560" w:firstLineChars="200"/>
        <w:rPr>
          <w:rFonts w:ascii="仿宋" w:hAnsi="仿宋" w:eastAsia="仿宋"/>
          <w:bCs/>
          <w:color w:val="auto"/>
          <w:sz w:val="28"/>
          <w:szCs w:val="28"/>
          <w:u w:val="single"/>
          <w:shd w:val="clear" w:color="auto" w:fill="auto"/>
        </w:rPr>
      </w:pPr>
      <w:r>
        <w:rPr>
          <w:rFonts w:hint="eastAsia" w:ascii="仿宋" w:hAnsi="仿宋" w:eastAsia="仿宋"/>
          <w:bCs/>
          <w:color w:val="auto"/>
          <w:sz w:val="28"/>
          <w:szCs w:val="28"/>
          <w:u w:val="none"/>
          <w:shd w:val="clear" w:color="auto" w:fill="auto"/>
        </w:rPr>
        <w:t>投标截止时间</w:t>
      </w:r>
      <w:r>
        <w:rPr>
          <w:rFonts w:hint="eastAsia" w:ascii="仿宋" w:hAnsi="仿宋" w:eastAsia="仿宋"/>
          <w:bCs/>
          <w:color w:val="auto"/>
          <w:sz w:val="28"/>
          <w:szCs w:val="28"/>
          <w:u w:val="none"/>
          <w:shd w:val="clear" w:color="auto" w:fill="auto"/>
          <w:lang w:eastAsia="zh-CN"/>
        </w:rPr>
        <w:t>、</w:t>
      </w:r>
      <w:r>
        <w:rPr>
          <w:rFonts w:hint="eastAsia" w:ascii="仿宋" w:hAnsi="仿宋" w:eastAsia="仿宋"/>
          <w:bCs/>
          <w:color w:val="auto"/>
          <w:sz w:val="28"/>
          <w:szCs w:val="28"/>
          <w:u w:val="none"/>
          <w:shd w:val="clear" w:color="auto" w:fill="auto"/>
        </w:rPr>
        <w:t>开标时间：</w:t>
      </w:r>
      <w:r>
        <w:rPr>
          <w:rFonts w:hint="eastAsia" w:ascii="仿宋" w:hAnsi="仿宋" w:eastAsia="仿宋"/>
          <w:bCs/>
          <w:color w:val="auto"/>
          <w:sz w:val="28"/>
          <w:szCs w:val="28"/>
          <w:u w:val="single"/>
          <w:shd w:val="clear" w:color="auto" w:fill="auto"/>
          <w:lang w:eastAsia="zh-CN"/>
        </w:rPr>
        <w:t>2026年06月24日</w:t>
      </w:r>
      <w:r>
        <w:rPr>
          <w:rFonts w:hint="eastAsia" w:ascii="仿宋" w:hAnsi="仿宋" w:eastAsia="仿宋"/>
          <w:bCs/>
          <w:color w:val="auto"/>
          <w:sz w:val="28"/>
          <w:szCs w:val="28"/>
          <w:u w:val="single"/>
          <w:shd w:val="clear" w:color="auto" w:fill="auto"/>
        </w:rPr>
        <w:t>10:</w:t>
      </w:r>
      <w:r>
        <w:rPr>
          <w:rFonts w:hint="eastAsia" w:ascii="仿宋" w:hAnsi="仿宋" w:eastAsia="仿宋"/>
          <w:bCs/>
          <w:color w:val="auto"/>
          <w:sz w:val="28"/>
          <w:szCs w:val="28"/>
          <w:u w:val="single"/>
          <w:shd w:val="clear" w:color="auto" w:fill="auto"/>
          <w:lang w:val="en-US" w:eastAsia="zh-CN"/>
        </w:rPr>
        <w:t>0</w:t>
      </w:r>
      <w:bookmarkStart w:id="15" w:name="_GoBack"/>
      <w:bookmarkEnd w:id="15"/>
      <w:r>
        <w:rPr>
          <w:rFonts w:hint="eastAsia" w:ascii="仿宋" w:hAnsi="仿宋" w:eastAsia="仿宋"/>
          <w:bCs/>
          <w:color w:val="auto"/>
          <w:sz w:val="28"/>
          <w:szCs w:val="28"/>
          <w:u w:val="single"/>
          <w:shd w:val="clear" w:color="auto" w:fill="auto"/>
          <w:lang w:val="en-US" w:eastAsia="zh-CN"/>
        </w:rPr>
        <w:t>0</w:t>
      </w:r>
      <w:r>
        <w:rPr>
          <w:rFonts w:hint="eastAsia" w:ascii="仿宋" w:hAnsi="仿宋" w:eastAsia="仿宋"/>
          <w:bCs/>
          <w:color w:val="auto"/>
          <w:sz w:val="28"/>
          <w:szCs w:val="28"/>
          <w:u w:val="single"/>
          <w:shd w:val="clear" w:color="auto" w:fill="auto"/>
        </w:rPr>
        <w:t>（北京时间，江西省公共资源交易网政府采购系统时间与北京时间略有差异，开标时间以江西省公共资源交易网政府采购系统显示时间为准）。</w:t>
      </w:r>
    </w:p>
    <w:p w14:paraId="58B6E6E2">
      <w:pPr>
        <w:spacing w:line="600" w:lineRule="exact"/>
        <w:ind w:firstLine="560" w:firstLineChars="200"/>
        <w:rPr>
          <w:rFonts w:hint="eastAsia" w:ascii="仿宋" w:hAnsi="仿宋" w:eastAsia="仿宋" w:cs="Times New Roman"/>
          <w:bCs/>
          <w:color w:val="auto"/>
          <w:sz w:val="28"/>
          <w:szCs w:val="28"/>
          <w:u w:val="none"/>
          <w:shd w:val="clear" w:color="auto" w:fill="auto"/>
        </w:rPr>
      </w:pPr>
      <w:bookmarkStart w:id="9" w:name="_Toc28359007"/>
      <w:bookmarkStart w:id="10" w:name="_Toc28359084"/>
      <w:r>
        <w:rPr>
          <w:rFonts w:hint="eastAsia" w:ascii="仿宋" w:hAnsi="仿宋" w:eastAsia="仿宋" w:cs="Times New Roman"/>
          <w:bCs/>
          <w:color w:val="auto"/>
          <w:sz w:val="28"/>
          <w:szCs w:val="28"/>
          <w:u w:val="none"/>
          <w:shd w:val="clear" w:color="auto" w:fill="auto"/>
        </w:rPr>
        <w:t>地点：</w:t>
      </w:r>
      <w:r>
        <w:rPr>
          <w:rFonts w:hint="eastAsia" w:ascii="仿宋" w:hAnsi="仿宋" w:eastAsia="仿宋" w:cs="Times New Roman"/>
          <w:bCs/>
          <w:color w:val="auto"/>
          <w:sz w:val="28"/>
          <w:szCs w:val="28"/>
          <w:u w:val="single"/>
          <w:shd w:val="clear" w:color="auto" w:fill="auto"/>
        </w:rPr>
        <w:t>赣州市公共资源交易中心（赣州南康区开标四室）</w:t>
      </w:r>
      <w:r>
        <w:rPr>
          <w:rFonts w:hint="eastAsia" w:ascii="仿宋" w:hAnsi="仿宋" w:eastAsia="仿宋" w:cs="Times New Roman"/>
          <w:bCs/>
          <w:color w:val="auto"/>
          <w:sz w:val="28"/>
          <w:szCs w:val="28"/>
          <w:u w:val="single"/>
          <w:shd w:val="clear" w:color="auto" w:fill="auto"/>
        </w:rPr>
        <w:t>。</w:t>
      </w:r>
    </w:p>
    <w:p w14:paraId="06A56171">
      <w:pPr>
        <w:spacing w:line="600" w:lineRule="exact"/>
        <w:rPr>
          <w:rFonts w:ascii="仿宋" w:hAnsi="仿宋" w:eastAsia="仿宋"/>
          <w:b/>
          <w:bCs/>
          <w:color w:val="auto"/>
          <w:sz w:val="28"/>
          <w:szCs w:val="28"/>
          <w:u w:val="single"/>
          <w:shd w:val="clear" w:color="auto" w:fill="auto"/>
        </w:rPr>
      </w:pPr>
      <w:r>
        <w:rPr>
          <w:rFonts w:hint="eastAsia" w:ascii="仿宋" w:hAnsi="仿宋" w:eastAsia="仿宋" w:cs="宋体"/>
          <w:b/>
          <w:color w:val="auto"/>
          <w:sz w:val="28"/>
          <w:szCs w:val="28"/>
          <w:shd w:val="clear" w:color="auto" w:fill="auto"/>
        </w:rPr>
        <w:t>五、公告期限</w:t>
      </w:r>
      <w:bookmarkEnd w:id="9"/>
      <w:bookmarkEnd w:id="10"/>
    </w:p>
    <w:p w14:paraId="58A24D8A">
      <w:pPr>
        <w:spacing w:line="600" w:lineRule="exact"/>
        <w:ind w:firstLine="420" w:firstLineChars="150"/>
        <w:rPr>
          <w:rFonts w:ascii="仿宋" w:hAnsi="仿宋" w:eastAsia="仿宋" w:cs="宋体"/>
          <w:color w:val="auto"/>
          <w:kern w:val="0"/>
          <w:sz w:val="28"/>
          <w:szCs w:val="28"/>
          <w:shd w:val="clear" w:color="auto" w:fill="auto"/>
        </w:rPr>
      </w:pPr>
      <w:r>
        <w:rPr>
          <w:rFonts w:hint="eastAsia" w:ascii="仿宋" w:hAnsi="仿宋" w:eastAsia="仿宋" w:cs="宋体"/>
          <w:color w:val="auto"/>
          <w:kern w:val="0"/>
          <w:sz w:val="28"/>
          <w:szCs w:val="28"/>
          <w:shd w:val="clear" w:color="auto" w:fill="auto"/>
        </w:rPr>
        <w:t>自本公告发布之日起5个工作日。</w:t>
      </w:r>
    </w:p>
    <w:p w14:paraId="324CEEC2">
      <w:pPr>
        <w:spacing w:line="600" w:lineRule="exact"/>
        <w:rPr>
          <w:rFonts w:ascii="仿宋" w:hAnsi="仿宋" w:eastAsia="仿宋" w:cs="宋体"/>
          <w:b/>
          <w:color w:val="auto"/>
          <w:kern w:val="0"/>
          <w:sz w:val="28"/>
          <w:szCs w:val="28"/>
          <w:shd w:val="clear" w:color="auto" w:fill="auto"/>
        </w:rPr>
      </w:pPr>
      <w:r>
        <w:rPr>
          <w:rFonts w:hint="eastAsia" w:ascii="仿宋" w:hAnsi="仿宋" w:eastAsia="仿宋" w:cs="宋体"/>
          <w:b/>
          <w:color w:val="auto"/>
          <w:kern w:val="0"/>
          <w:sz w:val="28"/>
          <w:szCs w:val="28"/>
          <w:shd w:val="clear" w:color="auto" w:fill="auto"/>
        </w:rPr>
        <w:t>六、其他补充事宜</w:t>
      </w:r>
      <w:bookmarkStart w:id="11" w:name="_Toc28359008"/>
      <w:bookmarkStart w:id="12" w:name="_Toc28359085"/>
    </w:p>
    <w:p w14:paraId="42BF9695">
      <w:pPr>
        <w:spacing w:line="600" w:lineRule="exact"/>
        <w:jc w:val="left"/>
        <w:rPr>
          <w:rFonts w:ascii="仿宋" w:hAnsi="仿宋" w:eastAsia="仿宋" w:cs="宋体"/>
          <w:color w:val="auto"/>
          <w:kern w:val="0"/>
          <w:sz w:val="28"/>
          <w:szCs w:val="28"/>
          <w:shd w:val="clear" w:color="auto" w:fill="auto"/>
        </w:rPr>
      </w:pPr>
      <w:r>
        <w:rPr>
          <w:rFonts w:hint="eastAsia" w:ascii="仿宋" w:hAnsi="仿宋" w:eastAsia="仿宋" w:cs="宋体"/>
          <w:b/>
          <w:color w:val="auto"/>
          <w:kern w:val="0"/>
          <w:sz w:val="28"/>
          <w:szCs w:val="28"/>
          <w:shd w:val="clear" w:color="auto" w:fill="auto"/>
        </w:rPr>
        <w:t>6.1投标保证金：</w:t>
      </w:r>
      <w:r>
        <w:rPr>
          <w:rFonts w:hint="eastAsia" w:ascii="仿宋" w:hAnsi="仿宋" w:eastAsia="仿宋" w:cs="宋体"/>
          <w:color w:val="auto"/>
          <w:kern w:val="0"/>
          <w:sz w:val="28"/>
          <w:szCs w:val="28"/>
          <w:u w:val="single"/>
          <w:shd w:val="clear" w:color="auto" w:fill="auto"/>
          <w:lang w:eastAsia="zh-CN"/>
        </w:rPr>
        <w:t>本项目不收取投标保证金。</w:t>
      </w:r>
    </w:p>
    <w:p w14:paraId="7C322228">
      <w:pPr>
        <w:spacing w:line="600" w:lineRule="exact"/>
        <w:rPr>
          <w:rFonts w:ascii="仿宋" w:hAnsi="仿宋" w:eastAsia="仿宋" w:cs="宋体"/>
          <w:b w:val="0"/>
          <w:bCs/>
          <w:color w:val="auto"/>
          <w:kern w:val="0"/>
          <w:sz w:val="28"/>
          <w:szCs w:val="28"/>
          <w:u w:val="single"/>
          <w:shd w:val="clear" w:color="auto" w:fill="auto"/>
        </w:rPr>
      </w:pPr>
      <w:r>
        <w:rPr>
          <w:rFonts w:hint="eastAsia" w:ascii="仿宋" w:hAnsi="仿宋" w:eastAsia="仿宋" w:cs="宋体"/>
          <w:b/>
          <w:color w:val="auto"/>
          <w:kern w:val="0"/>
          <w:sz w:val="28"/>
          <w:szCs w:val="28"/>
          <w:shd w:val="clear" w:color="auto" w:fill="auto"/>
        </w:rPr>
        <w:t>6.2采购资金的支付方式、时间、条件：</w:t>
      </w:r>
      <w:r>
        <w:rPr>
          <w:rFonts w:hint="eastAsia" w:ascii="仿宋" w:hAnsi="仿宋" w:eastAsia="仿宋" w:cs="宋体"/>
          <w:b w:val="0"/>
          <w:bCs/>
          <w:color w:val="auto"/>
          <w:kern w:val="0"/>
          <w:sz w:val="28"/>
          <w:szCs w:val="28"/>
          <w:u w:val="single"/>
          <w:shd w:val="clear" w:color="auto" w:fill="auto"/>
        </w:rPr>
        <w:t>所有产品按要求完成供货、安装、调试后，经采购单位对所有产品签署验收报告单（合格）后，采购单位收到正式全额发票及付款申请后，5个工作日内，一次性付清，不计利息。（如遇特殊情况，经双方协议同意，可顺延支付时间，不计利息）</w:t>
      </w:r>
    </w:p>
    <w:p w14:paraId="07C0B656">
      <w:pPr>
        <w:spacing w:line="600" w:lineRule="exact"/>
        <w:rPr>
          <w:rFonts w:hint="eastAsia" w:ascii="仿宋" w:hAnsi="仿宋" w:eastAsia="仿宋" w:cs="仿宋_GB2312"/>
          <w:b/>
          <w:color w:val="auto"/>
          <w:sz w:val="28"/>
          <w:szCs w:val="28"/>
          <w:shd w:val="clear" w:color="auto" w:fill="auto"/>
        </w:rPr>
      </w:pPr>
      <w:r>
        <w:rPr>
          <w:rFonts w:hint="eastAsia" w:ascii="仿宋" w:hAnsi="仿宋" w:eastAsia="仿宋" w:cs="宋体"/>
          <w:b/>
          <w:color w:val="auto"/>
          <w:kern w:val="0"/>
          <w:sz w:val="28"/>
          <w:szCs w:val="28"/>
          <w:shd w:val="clear" w:color="auto" w:fill="auto"/>
        </w:rPr>
        <w:t>6.</w:t>
      </w:r>
      <w:r>
        <w:rPr>
          <w:rFonts w:hint="eastAsia" w:ascii="仿宋" w:hAnsi="仿宋" w:eastAsia="仿宋" w:cs="宋体"/>
          <w:b/>
          <w:color w:val="auto"/>
          <w:kern w:val="0"/>
          <w:sz w:val="28"/>
          <w:szCs w:val="28"/>
          <w:shd w:val="clear" w:color="auto" w:fill="auto"/>
          <w:lang w:val="en-US" w:eastAsia="zh-CN"/>
        </w:rPr>
        <w:t>3</w:t>
      </w:r>
      <w:r>
        <w:rPr>
          <w:rFonts w:hint="eastAsia" w:ascii="仿宋" w:hAnsi="仿宋" w:eastAsia="仿宋" w:cs="宋体"/>
          <w:b/>
          <w:color w:val="auto"/>
          <w:kern w:val="0"/>
          <w:sz w:val="28"/>
          <w:szCs w:val="28"/>
          <w:shd w:val="clear" w:color="auto" w:fill="auto"/>
        </w:rPr>
        <w:t>履约保证金：</w:t>
      </w:r>
      <w:r>
        <w:rPr>
          <w:rFonts w:hint="eastAsia" w:ascii="仿宋" w:hAnsi="仿宋" w:eastAsia="仿宋" w:cs="宋体"/>
          <w:color w:val="auto"/>
          <w:kern w:val="0"/>
          <w:sz w:val="28"/>
          <w:szCs w:val="28"/>
          <w:u w:val="single"/>
          <w:shd w:val="clear" w:color="auto" w:fill="auto"/>
          <w:lang w:eastAsia="zh-CN"/>
        </w:rPr>
        <w:t>本项目不收取履约保证金。</w:t>
      </w:r>
    </w:p>
    <w:p w14:paraId="531C48D0">
      <w:pPr>
        <w:spacing w:line="600" w:lineRule="exact"/>
        <w:rPr>
          <w:rFonts w:hint="eastAsia" w:ascii="仿宋" w:hAnsi="仿宋" w:eastAsia="仿宋" w:cs="宋体"/>
          <w:kern w:val="0"/>
          <w:sz w:val="28"/>
          <w:szCs w:val="28"/>
        </w:rPr>
      </w:pPr>
      <w:r>
        <w:rPr>
          <w:rFonts w:hint="eastAsia" w:ascii="仿宋" w:hAnsi="仿宋" w:eastAsia="仿宋" w:cs="仿宋_GB2312"/>
          <w:b/>
          <w:sz w:val="28"/>
          <w:szCs w:val="28"/>
        </w:rPr>
        <w:t>6.</w:t>
      </w:r>
      <w:r>
        <w:rPr>
          <w:rFonts w:hint="eastAsia" w:ascii="仿宋" w:hAnsi="仿宋" w:eastAsia="仿宋" w:cs="仿宋_GB2312"/>
          <w:b/>
          <w:sz w:val="28"/>
          <w:szCs w:val="28"/>
          <w:lang w:val="en-US" w:eastAsia="zh-CN"/>
        </w:rPr>
        <w:t>4</w:t>
      </w:r>
      <w:r>
        <w:rPr>
          <w:rFonts w:hint="eastAsia" w:ascii="仿宋" w:hAnsi="仿宋" w:eastAsia="仿宋" w:cs="仿宋_GB2312"/>
          <w:b/>
          <w:bCs/>
          <w:sz w:val="28"/>
          <w:szCs w:val="28"/>
        </w:rPr>
        <w:t>政府采购政策：</w:t>
      </w:r>
      <w:r>
        <w:rPr>
          <w:rFonts w:hint="eastAsia" w:ascii="仿宋" w:hAnsi="仿宋" w:eastAsia="仿宋"/>
          <w:color w:val="333333"/>
          <w:sz w:val="28"/>
          <w:szCs w:val="28"/>
        </w:rPr>
        <w:t>本项目采购将落实小微企业、监狱企业、残疾人福利性单位等政府采购政策，具体规定详见招标文件。</w:t>
      </w:r>
    </w:p>
    <w:p w14:paraId="00D19250">
      <w:pPr>
        <w:spacing w:line="600" w:lineRule="exact"/>
        <w:rPr>
          <w:rFonts w:hint="eastAsia" w:ascii="仿宋" w:hAnsi="仿宋" w:eastAsia="仿宋"/>
          <w:color w:val="333333"/>
          <w:sz w:val="28"/>
          <w:szCs w:val="28"/>
        </w:rPr>
      </w:pPr>
      <w:r>
        <w:rPr>
          <w:rFonts w:hint="eastAsia" w:ascii="仿宋" w:hAnsi="仿宋" w:eastAsia="仿宋"/>
          <w:color w:val="333333"/>
          <w:sz w:val="28"/>
          <w:szCs w:val="28"/>
        </w:rPr>
        <w:t xml:space="preserve">6.5为充分发挥政府采购扶持中小微企业发展的政策功能，缓解中小微企业融资难、融资贵的问题，根据《关于深入推进信丰县政府采购合同线上融资工作的通知》（信财购字〔2023〕2号）、《关于深入推进赣州市政府采购合同线上融资工作的通知》（赣市财购字（2022）20号）文件精神，有融资需求的供应商可根据自身情况，在赣州市财政局官网查询金融机构及融资产品信息，注册登入中征平台（网址：https://www.crcrfsp.com/index.do），或在江西省政府采购电子卖场的“金融服务系统”凭《中标通知书》等资料发起线上融资申请。 </w:t>
      </w:r>
    </w:p>
    <w:p w14:paraId="1D631870">
      <w:pPr>
        <w:spacing w:line="600" w:lineRule="exact"/>
        <w:rPr>
          <w:rFonts w:hint="eastAsia" w:ascii="仿宋" w:hAnsi="仿宋" w:eastAsia="仿宋"/>
          <w:color w:val="333333"/>
          <w:sz w:val="28"/>
          <w:szCs w:val="28"/>
        </w:rPr>
      </w:pPr>
      <w:r>
        <w:rPr>
          <w:rFonts w:hint="eastAsia" w:ascii="仿宋" w:hAnsi="仿宋" w:eastAsia="仿宋"/>
          <w:color w:val="333333"/>
          <w:sz w:val="28"/>
          <w:szCs w:val="28"/>
        </w:rPr>
        <w:t>6.6不见面开标：①本项目采用不见面开标系统开标，投标供应商不需要到现场参加开标，现场开标环节（包括但不限于现场签到、现场解锁、递交保函、答疑等）全部转为不见面开标系统线上操作，现场签到环节改为网上签到，各投标供应商须在投标截止时间前进入江西省公共资源交易不见面开标系统进行线上签到，否则无法进行后续的开标环节，未按时网上签到视为自动放弃投标。登入网址：</w:t>
      </w:r>
    </w:p>
    <w:p w14:paraId="7C520BEF">
      <w:pPr>
        <w:spacing w:line="600" w:lineRule="exact"/>
        <w:rPr>
          <w:rFonts w:hint="eastAsia" w:ascii="仿宋" w:hAnsi="仿宋" w:eastAsia="仿宋"/>
          <w:color w:val="333333"/>
          <w:sz w:val="28"/>
          <w:szCs w:val="28"/>
        </w:rPr>
      </w:pPr>
      <w:r>
        <w:rPr>
          <w:rFonts w:hint="eastAsia" w:ascii="仿宋" w:hAnsi="仿宋" w:eastAsia="仿宋"/>
          <w:color w:val="333333"/>
          <w:sz w:val="28"/>
          <w:szCs w:val="28"/>
        </w:rPr>
        <w:t>https://shop.ganzhou.gov.cn:41839/BidOpening/bidopeninghallaction/hall/login。</w:t>
      </w:r>
    </w:p>
    <w:p w14:paraId="40FAFB91">
      <w:pPr>
        <w:spacing w:line="600" w:lineRule="exact"/>
        <w:rPr>
          <w:rFonts w:hint="eastAsia" w:ascii="仿宋" w:hAnsi="仿宋" w:eastAsia="仿宋"/>
          <w:color w:val="333333"/>
          <w:sz w:val="28"/>
          <w:szCs w:val="28"/>
        </w:rPr>
      </w:pPr>
      <w:r>
        <w:rPr>
          <w:rFonts w:hint="eastAsia" w:ascii="仿宋" w:hAnsi="仿宋" w:eastAsia="仿宋"/>
          <w:color w:val="333333"/>
          <w:sz w:val="28"/>
          <w:szCs w:val="28"/>
        </w:rPr>
        <w:t>②各投标供应商的法定代表人（负责人）或者授权代表必须符合招标文件要求并且熟悉新点软件不见面开标系统的操作流程，因投标供应商业务不熟悉而导致的一切后果由投标供应商自行承担。各投标供应商须在项目开、评标期间必须保持在线状态，随时准备着通过“不见面开标”系统接收评标委员会的询标等信息。</w:t>
      </w:r>
    </w:p>
    <w:p w14:paraId="3DE6AB06">
      <w:pPr>
        <w:spacing w:line="600" w:lineRule="exact"/>
        <w:rPr>
          <w:rFonts w:hint="eastAsia" w:ascii="仿宋" w:hAnsi="仿宋" w:eastAsia="仿宋"/>
          <w:color w:val="333333"/>
          <w:sz w:val="28"/>
          <w:szCs w:val="28"/>
        </w:rPr>
      </w:pPr>
      <w:r>
        <w:rPr>
          <w:rFonts w:hint="eastAsia" w:ascii="仿宋" w:hAnsi="仿宋" w:eastAsia="仿宋"/>
          <w:color w:val="333333"/>
          <w:sz w:val="28"/>
          <w:szCs w:val="28"/>
        </w:rPr>
        <w:t>③本项目投标文件解密时间为10分钟，各投标供应商须在主持人设置的投标解密时长内完成在线解密，否则视为放弃投标处理，系统将其投标文件退回。</w:t>
      </w:r>
    </w:p>
    <w:p w14:paraId="09E0B831">
      <w:pPr>
        <w:spacing w:line="600" w:lineRule="exact"/>
        <w:rPr>
          <w:rFonts w:hint="eastAsia" w:ascii="仿宋" w:hAnsi="仿宋" w:eastAsia="仿宋"/>
          <w:color w:val="333333"/>
          <w:sz w:val="28"/>
          <w:szCs w:val="28"/>
        </w:rPr>
      </w:pPr>
      <w:r>
        <w:rPr>
          <w:rFonts w:hint="eastAsia" w:ascii="仿宋" w:hAnsi="仿宋" w:eastAsia="仿宋"/>
          <w:color w:val="333333"/>
          <w:sz w:val="28"/>
          <w:szCs w:val="28"/>
        </w:rPr>
        <w:t>④具体操作手册（赣州市不见面开标大厅-投标人操作手册）由投标供应商自行下载学习，软件咨询电话（客服电话）：400-998-0000。</w:t>
      </w:r>
    </w:p>
    <w:p w14:paraId="0F276C07">
      <w:pPr>
        <w:spacing w:line="600" w:lineRule="exact"/>
        <w:rPr>
          <w:rFonts w:hint="eastAsia" w:ascii="仿宋" w:hAnsi="仿宋" w:eastAsia="仿宋"/>
          <w:color w:val="333333"/>
          <w:sz w:val="28"/>
          <w:szCs w:val="28"/>
        </w:rPr>
      </w:pPr>
    </w:p>
    <w:p w14:paraId="1A422547">
      <w:pPr>
        <w:spacing w:line="600" w:lineRule="exact"/>
        <w:rPr>
          <w:rFonts w:ascii="仿宋" w:hAnsi="仿宋" w:eastAsia="仿宋" w:cs="宋体"/>
          <w:b/>
          <w:color w:val="auto"/>
          <w:kern w:val="0"/>
          <w:sz w:val="28"/>
          <w:szCs w:val="28"/>
          <w:shd w:val="clear" w:color="auto" w:fill="auto"/>
        </w:rPr>
      </w:pPr>
      <w:r>
        <w:rPr>
          <w:rFonts w:hint="eastAsia" w:ascii="仿宋" w:hAnsi="仿宋" w:eastAsia="仿宋" w:cs="宋体"/>
          <w:b/>
          <w:color w:val="auto"/>
          <w:kern w:val="0"/>
          <w:sz w:val="28"/>
          <w:szCs w:val="28"/>
          <w:shd w:val="clear" w:color="auto" w:fill="auto"/>
        </w:rPr>
        <w:t>七、</w:t>
      </w:r>
      <w:r>
        <w:rPr>
          <w:rFonts w:hint="eastAsia" w:ascii="仿宋" w:hAnsi="仿宋" w:eastAsia="仿宋" w:cs="宋体"/>
          <w:b/>
          <w:color w:val="auto"/>
          <w:sz w:val="28"/>
          <w:szCs w:val="28"/>
          <w:shd w:val="clear" w:color="auto" w:fill="auto"/>
        </w:rPr>
        <w:t>对本次招标提出询问，请按</w:t>
      </w:r>
      <w:r>
        <w:rPr>
          <w:rFonts w:ascii="仿宋" w:hAnsi="仿宋" w:eastAsia="仿宋" w:cs="宋体"/>
          <w:b/>
          <w:color w:val="auto"/>
          <w:sz w:val="28"/>
          <w:szCs w:val="28"/>
          <w:shd w:val="clear" w:color="auto" w:fill="auto"/>
        </w:rPr>
        <w:t>以下方式</w:t>
      </w:r>
      <w:r>
        <w:rPr>
          <w:rFonts w:hint="eastAsia" w:ascii="仿宋" w:hAnsi="仿宋" w:eastAsia="仿宋" w:cs="宋体"/>
          <w:b/>
          <w:color w:val="auto"/>
          <w:sz w:val="28"/>
          <w:szCs w:val="28"/>
          <w:shd w:val="clear" w:color="auto" w:fill="auto"/>
        </w:rPr>
        <w:t>联系。</w:t>
      </w:r>
      <w:bookmarkEnd w:id="11"/>
      <w:bookmarkEnd w:id="12"/>
    </w:p>
    <w:p w14:paraId="7A877975">
      <w:pPr>
        <w:widowControl/>
        <w:spacing w:line="600" w:lineRule="exact"/>
        <w:ind w:firstLine="840" w:firstLineChars="300"/>
        <w:jc w:val="left"/>
        <w:rPr>
          <w:rFonts w:ascii="仿宋" w:hAnsi="仿宋" w:eastAsia="仿宋"/>
          <w:color w:val="auto"/>
          <w:sz w:val="28"/>
          <w:szCs w:val="28"/>
          <w:shd w:val="clear" w:color="auto" w:fill="auto"/>
        </w:rPr>
      </w:pPr>
      <w:r>
        <w:rPr>
          <w:rFonts w:hint="eastAsia" w:ascii="仿宋" w:hAnsi="仿宋" w:eastAsia="仿宋" w:cs="宋体"/>
          <w:color w:val="auto"/>
          <w:sz w:val="28"/>
          <w:szCs w:val="28"/>
          <w:shd w:val="clear" w:color="auto" w:fill="auto"/>
        </w:rPr>
        <w:t>1、采购人信息</w:t>
      </w:r>
    </w:p>
    <w:p w14:paraId="5EAB1966">
      <w:pPr>
        <w:spacing w:line="600" w:lineRule="exact"/>
        <w:ind w:left="210" w:leftChars="100" w:firstLine="700" w:firstLineChars="250"/>
        <w:jc w:val="left"/>
        <w:rPr>
          <w:rFonts w:hint="eastAsia" w:ascii="仿宋" w:hAnsi="仿宋" w:eastAsia="仿宋"/>
          <w:color w:val="auto"/>
          <w:sz w:val="28"/>
          <w:szCs w:val="28"/>
          <w:shd w:val="clear" w:color="auto" w:fill="auto"/>
          <w:lang w:eastAsia="zh-CN"/>
        </w:rPr>
      </w:pPr>
      <w:r>
        <w:rPr>
          <w:rFonts w:hint="eastAsia" w:ascii="仿宋" w:hAnsi="仿宋" w:eastAsia="仿宋"/>
          <w:color w:val="auto"/>
          <w:sz w:val="28"/>
          <w:szCs w:val="28"/>
          <w:shd w:val="clear" w:color="auto" w:fill="auto"/>
        </w:rPr>
        <w:t xml:space="preserve">名 </w:t>
      </w:r>
      <w:r>
        <w:rPr>
          <w:rFonts w:ascii="仿宋" w:hAnsi="仿宋" w:eastAsia="仿宋"/>
          <w:color w:val="auto"/>
          <w:sz w:val="28"/>
          <w:szCs w:val="28"/>
          <w:shd w:val="clear" w:color="auto" w:fill="auto"/>
        </w:rPr>
        <w:t xml:space="preserve">   </w:t>
      </w:r>
      <w:r>
        <w:rPr>
          <w:rFonts w:hint="eastAsia" w:ascii="仿宋" w:hAnsi="仿宋" w:eastAsia="仿宋"/>
          <w:color w:val="auto"/>
          <w:sz w:val="28"/>
          <w:szCs w:val="28"/>
          <w:shd w:val="clear" w:color="auto" w:fill="auto"/>
        </w:rPr>
        <w:t>称：</w:t>
      </w:r>
      <w:r>
        <w:rPr>
          <w:rFonts w:hint="eastAsia" w:ascii="仿宋" w:hAnsi="仿宋" w:eastAsia="仿宋"/>
          <w:color w:val="auto"/>
          <w:sz w:val="28"/>
          <w:szCs w:val="28"/>
          <w:shd w:val="clear" w:color="auto" w:fill="auto"/>
          <w:lang w:eastAsia="zh-CN"/>
        </w:rPr>
        <w:t>信丰县安西镇人民政府</w:t>
      </w:r>
    </w:p>
    <w:p w14:paraId="7654E635">
      <w:pPr>
        <w:spacing w:line="600" w:lineRule="exact"/>
        <w:ind w:left="210" w:leftChars="100" w:firstLine="700" w:firstLineChars="250"/>
        <w:jc w:val="left"/>
        <w:rPr>
          <w:rFonts w:hint="eastAsia" w:ascii="仿宋" w:hAnsi="仿宋" w:eastAsia="仿宋"/>
          <w:color w:val="auto"/>
          <w:sz w:val="28"/>
          <w:szCs w:val="28"/>
          <w:shd w:val="clear" w:color="auto" w:fill="auto"/>
          <w:lang w:eastAsia="zh-CN"/>
        </w:rPr>
      </w:pPr>
      <w:r>
        <w:rPr>
          <w:rFonts w:hint="eastAsia" w:ascii="仿宋" w:hAnsi="仿宋" w:eastAsia="仿宋"/>
          <w:color w:val="auto"/>
          <w:sz w:val="28"/>
          <w:szCs w:val="28"/>
          <w:shd w:val="clear" w:color="auto" w:fill="auto"/>
        </w:rPr>
        <w:t>地    址：信丰县安西镇</w:t>
      </w:r>
    </w:p>
    <w:p w14:paraId="033C303B">
      <w:pPr>
        <w:spacing w:line="600" w:lineRule="exact"/>
        <w:ind w:left="210" w:leftChars="100" w:firstLine="700" w:firstLineChars="250"/>
        <w:jc w:val="left"/>
        <w:rPr>
          <w:rFonts w:hint="default" w:ascii="仿宋" w:hAnsi="仿宋" w:eastAsia="仿宋"/>
          <w:color w:val="auto"/>
          <w:sz w:val="28"/>
          <w:szCs w:val="28"/>
          <w:shd w:val="clear" w:color="auto" w:fill="auto"/>
          <w:lang w:val="en-US" w:eastAsia="zh-CN"/>
        </w:rPr>
      </w:pPr>
      <w:r>
        <w:rPr>
          <w:rFonts w:hint="eastAsia" w:ascii="仿宋" w:hAnsi="仿宋" w:eastAsia="仿宋"/>
          <w:color w:val="auto"/>
          <w:sz w:val="28"/>
          <w:szCs w:val="28"/>
          <w:shd w:val="clear" w:color="auto" w:fill="auto"/>
        </w:rPr>
        <w:t>联</w:t>
      </w:r>
      <w:r>
        <w:rPr>
          <w:rFonts w:hint="eastAsia" w:ascii="仿宋" w:hAnsi="仿宋" w:eastAsia="仿宋"/>
          <w:color w:val="auto"/>
          <w:sz w:val="28"/>
          <w:szCs w:val="28"/>
          <w:shd w:val="clear" w:color="auto" w:fill="auto"/>
          <w:lang w:val="en-US" w:eastAsia="zh-CN"/>
        </w:rPr>
        <w:t xml:space="preserve"> </w:t>
      </w:r>
      <w:r>
        <w:rPr>
          <w:rFonts w:hint="eastAsia" w:ascii="仿宋" w:hAnsi="仿宋" w:eastAsia="仿宋"/>
          <w:color w:val="auto"/>
          <w:sz w:val="28"/>
          <w:szCs w:val="28"/>
          <w:shd w:val="clear" w:color="auto" w:fill="auto"/>
        </w:rPr>
        <w:t>系</w:t>
      </w:r>
      <w:r>
        <w:rPr>
          <w:rFonts w:hint="eastAsia" w:ascii="仿宋" w:hAnsi="仿宋" w:eastAsia="仿宋"/>
          <w:color w:val="auto"/>
          <w:sz w:val="28"/>
          <w:szCs w:val="28"/>
          <w:shd w:val="clear" w:color="auto" w:fill="auto"/>
          <w:lang w:val="en-US" w:eastAsia="zh-CN"/>
        </w:rPr>
        <w:t xml:space="preserve"> </w:t>
      </w:r>
      <w:r>
        <w:rPr>
          <w:rFonts w:hint="eastAsia" w:ascii="仿宋" w:hAnsi="仿宋" w:eastAsia="仿宋"/>
          <w:color w:val="auto"/>
          <w:sz w:val="28"/>
          <w:szCs w:val="28"/>
          <w:shd w:val="clear" w:color="auto" w:fill="auto"/>
          <w:lang w:eastAsia="zh-CN"/>
        </w:rPr>
        <w:t>人：赖先生</w:t>
      </w:r>
    </w:p>
    <w:p w14:paraId="3A912C60">
      <w:pPr>
        <w:spacing w:line="600" w:lineRule="exact"/>
        <w:ind w:left="210" w:leftChars="100" w:firstLine="700" w:firstLineChars="250"/>
        <w:jc w:val="left"/>
        <w:rPr>
          <w:rFonts w:ascii="仿宋" w:hAnsi="仿宋" w:eastAsia="仿宋"/>
          <w:i/>
          <w:color w:val="auto"/>
          <w:sz w:val="28"/>
          <w:szCs w:val="28"/>
          <w:shd w:val="clear" w:color="auto" w:fill="auto"/>
        </w:rPr>
      </w:pPr>
      <w:r>
        <w:rPr>
          <w:rFonts w:hint="eastAsia" w:ascii="仿宋" w:hAnsi="仿宋" w:eastAsia="仿宋"/>
          <w:color w:val="auto"/>
          <w:sz w:val="28"/>
          <w:szCs w:val="28"/>
          <w:shd w:val="clear" w:color="auto" w:fill="auto"/>
        </w:rPr>
        <w:t>联系</w:t>
      </w:r>
      <w:r>
        <w:rPr>
          <w:rFonts w:hint="eastAsia" w:ascii="仿宋" w:hAnsi="仿宋" w:eastAsia="仿宋"/>
          <w:color w:val="auto"/>
          <w:sz w:val="28"/>
          <w:szCs w:val="28"/>
          <w:shd w:val="clear" w:color="auto" w:fill="auto"/>
          <w:lang w:eastAsia="zh-CN"/>
        </w:rPr>
        <w:t>电话</w:t>
      </w:r>
      <w:r>
        <w:rPr>
          <w:rFonts w:hint="eastAsia" w:ascii="仿宋" w:hAnsi="仿宋" w:eastAsia="仿宋"/>
          <w:color w:val="auto"/>
          <w:sz w:val="28"/>
          <w:szCs w:val="28"/>
          <w:shd w:val="clear" w:color="auto" w:fill="auto"/>
        </w:rPr>
        <w:t>：</w:t>
      </w:r>
      <w:bookmarkStart w:id="13" w:name="_Toc28359009"/>
      <w:bookmarkStart w:id="14" w:name="_Toc28359086"/>
      <w:r>
        <w:rPr>
          <w:rFonts w:hint="eastAsia" w:ascii="仿宋" w:hAnsi="仿宋" w:eastAsia="仿宋"/>
          <w:color w:val="auto"/>
          <w:sz w:val="28"/>
          <w:szCs w:val="28"/>
          <w:shd w:val="clear" w:color="auto" w:fill="auto"/>
        </w:rPr>
        <w:t>18046673990</w:t>
      </w:r>
    </w:p>
    <w:p w14:paraId="547A639A">
      <w:pPr>
        <w:spacing w:line="600" w:lineRule="exact"/>
        <w:ind w:firstLine="840" w:firstLineChars="300"/>
        <w:jc w:val="left"/>
        <w:rPr>
          <w:rFonts w:ascii="仿宋" w:hAnsi="仿宋" w:eastAsia="仿宋"/>
          <w:color w:val="auto"/>
          <w:sz w:val="28"/>
          <w:szCs w:val="28"/>
          <w:shd w:val="clear" w:color="auto" w:fill="auto"/>
        </w:rPr>
      </w:pPr>
      <w:r>
        <w:rPr>
          <w:rFonts w:hint="eastAsia" w:ascii="仿宋" w:hAnsi="仿宋" w:eastAsia="仿宋" w:cs="宋体"/>
          <w:color w:val="auto"/>
          <w:sz w:val="28"/>
          <w:szCs w:val="28"/>
          <w:shd w:val="clear" w:color="auto" w:fill="auto"/>
        </w:rPr>
        <w:t>2、采购代理机构信息</w:t>
      </w:r>
      <w:bookmarkEnd w:id="13"/>
      <w:bookmarkEnd w:id="14"/>
      <w:r>
        <w:rPr>
          <w:rFonts w:hint="eastAsia" w:ascii="仿宋" w:hAnsi="仿宋" w:eastAsia="仿宋" w:cs="宋体"/>
          <w:color w:val="auto"/>
          <w:sz w:val="28"/>
          <w:szCs w:val="28"/>
          <w:shd w:val="clear" w:color="auto" w:fill="auto"/>
        </w:rPr>
        <w:t>:</w:t>
      </w:r>
    </w:p>
    <w:p w14:paraId="091B93FC">
      <w:pPr>
        <w:spacing w:line="600" w:lineRule="exact"/>
        <w:ind w:firstLine="840" w:firstLineChars="300"/>
        <w:jc w:val="left"/>
        <w:rPr>
          <w:rFonts w:hint="eastAsia" w:ascii="仿宋" w:hAnsi="仿宋" w:eastAsia="仿宋"/>
          <w:color w:val="auto"/>
          <w:sz w:val="28"/>
          <w:szCs w:val="28"/>
          <w:shd w:val="clear" w:color="auto" w:fill="auto"/>
          <w:lang w:eastAsia="zh-CN"/>
        </w:rPr>
      </w:pPr>
      <w:r>
        <w:rPr>
          <w:rFonts w:hint="eastAsia" w:ascii="仿宋" w:hAnsi="仿宋" w:eastAsia="仿宋"/>
          <w:color w:val="auto"/>
          <w:sz w:val="28"/>
          <w:szCs w:val="28"/>
          <w:shd w:val="clear" w:color="auto" w:fill="auto"/>
        </w:rPr>
        <w:t xml:space="preserve">名 </w:t>
      </w:r>
      <w:r>
        <w:rPr>
          <w:rFonts w:ascii="仿宋" w:hAnsi="仿宋" w:eastAsia="仿宋"/>
          <w:color w:val="auto"/>
          <w:sz w:val="28"/>
          <w:szCs w:val="28"/>
          <w:shd w:val="clear" w:color="auto" w:fill="auto"/>
        </w:rPr>
        <w:t xml:space="preserve">   </w:t>
      </w:r>
      <w:r>
        <w:rPr>
          <w:rFonts w:hint="eastAsia" w:ascii="仿宋" w:hAnsi="仿宋" w:eastAsia="仿宋"/>
          <w:color w:val="auto"/>
          <w:sz w:val="28"/>
          <w:szCs w:val="28"/>
          <w:shd w:val="clear" w:color="auto" w:fill="auto"/>
        </w:rPr>
        <w:t>称：</w:t>
      </w:r>
      <w:r>
        <w:rPr>
          <w:rFonts w:hint="eastAsia" w:ascii="仿宋" w:hAnsi="仿宋" w:eastAsia="仿宋"/>
          <w:color w:val="auto"/>
          <w:sz w:val="28"/>
          <w:szCs w:val="28"/>
          <w:shd w:val="clear" w:color="auto" w:fill="auto"/>
          <w:lang w:eastAsia="zh-CN"/>
        </w:rPr>
        <w:t>江西橙乡工程管理有限公司</w:t>
      </w:r>
    </w:p>
    <w:p w14:paraId="512EAF71">
      <w:pPr>
        <w:spacing w:line="600" w:lineRule="exact"/>
        <w:ind w:firstLine="840" w:firstLineChars="300"/>
        <w:jc w:val="left"/>
        <w:rPr>
          <w:rFonts w:ascii="仿宋" w:hAnsi="仿宋" w:eastAsia="仿宋"/>
          <w:color w:val="auto"/>
          <w:sz w:val="28"/>
          <w:szCs w:val="28"/>
          <w:shd w:val="clear" w:color="auto" w:fill="auto"/>
        </w:rPr>
      </w:pPr>
      <w:r>
        <w:rPr>
          <w:rFonts w:hint="eastAsia" w:ascii="仿宋" w:hAnsi="仿宋" w:eastAsia="仿宋"/>
          <w:color w:val="auto"/>
          <w:sz w:val="28"/>
          <w:szCs w:val="28"/>
          <w:shd w:val="clear" w:color="auto" w:fill="auto"/>
        </w:rPr>
        <w:t>地　  址：江西省信丰县迎宾大道奥信水果批发市场正门对面兴欣荣汽修厂二楼</w:t>
      </w:r>
    </w:p>
    <w:p w14:paraId="5EC6DDEC">
      <w:pPr>
        <w:spacing w:line="600" w:lineRule="exact"/>
        <w:ind w:left="210" w:leftChars="100" w:firstLine="700" w:firstLineChars="250"/>
        <w:jc w:val="left"/>
        <w:rPr>
          <w:rFonts w:hint="eastAsia" w:ascii="仿宋" w:hAnsi="仿宋" w:eastAsia="仿宋"/>
          <w:color w:val="auto"/>
          <w:sz w:val="28"/>
          <w:szCs w:val="28"/>
          <w:shd w:val="clear" w:color="auto" w:fill="auto"/>
          <w:lang w:eastAsia="zh-CN"/>
        </w:rPr>
      </w:pPr>
      <w:r>
        <w:rPr>
          <w:rFonts w:hint="eastAsia" w:ascii="仿宋" w:hAnsi="仿宋" w:eastAsia="仿宋"/>
          <w:color w:val="auto"/>
          <w:sz w:val="28"/>
          <w:szCs w:val="28"/>
          <w:shd w:val="clear" w:color="auto" w:fill="auto"/>
        </w:rPr>
        <w:t>联</w:t>
      </w:r>
      <w:r>
        <w:rPr>
          <w:rFonts w:hint="eastAsia" w:ascii="仿宋" w:hAnsi="仿宋" w:eastAsia="仿宋"/>
          <w:color w:val="auto"/>
          <w:sz w:val="28"/>
          <w:szCs w:val="28"/>
          <w:shd w:val="clear" w:color="auto" w:fill="auto"/>
          <w:lang w:val="en-US" w:eastAsia="zh-CN"/>
        </w:rPr>
        <w:t xml:space="preserve"> </w:t>
      </w:r>
      <w:r>
        <w:rPr>
          <w:rFonts w:hint="eastAsia" w:ascii="仿宋" w:hAnsi="仿宋" w:eastAsia="仿宋"/>
          <w:color w:val="auto"/>
          <w:sz w:val="28"/>
          <w:szCs w:val="28"/>
          <w:shd w:val="clear" w:color="auto" w:fill="auto"/>
        </w:rPr>
        <w:t>系</w:t>
      </w:r>
      <w:r>
        <w:rPr>
          <w:rFonts w:hint="eastAsia" w:ascii="仿宋" w:hAnsi="仿宋" w:eastAsia="仿宋"/>
          <w:color w:val="auto"/>
          <w:sz w:val="28"/>
          <w:szCs w:val="28"/>
          <w:shd w:val="clear" w:color="auto" w:fill="auto"/>
          <w:lang w:val="en-US" w:eastAsia="zh-CN"/>
        </w:rPr>
        <w:t xml:space="preserve"> </w:t>
      </w:r>
      <w:r>
        <w:rPr>
          <w:rFonts w:hint="eastAsia" w:ascii="仿宋" w:hAnsi="仿宋" w:eastAsia="仿宋"/>
          <w:color w:val="auto"/>
          <w:sz w:val="28"/>
          <w:szCs w:val="28"/>
          <w:shd w:val="clear" w:color="auto" w:fill="auto"/>
          <w:lang w:eastAsia="zh-CN"/>
        </w:rPr>
        <w:t>人：谢女士</w:t>
      </w:r>
    </w:p>
    <w:p w14:paraId="3C820C7D">
      <w:pPr>
        <w:spacing w:line="600" w:lineRule="exact"/>
        <w:ind w:left="210" w:leftChars="100" w:firstLine="700" w:firstLineChars="250"/>
        <w:jc w:val="left"/>
        <w:rPr>
          <w:rFonts w:hint="default" w:ascii="仿宋" w:hAnsi="仿宋" w:eastAsia="仿宋"/>
          <w:i/>
          <w:color w:val="auto"/>
          <w:sz w:val="28"/>
          <w:szCs w:val="28"/>
          <w:shd w:val="clear" w:color="auto" w:fill="auto"/>
          <w:lang w:val="en-US" w:eastAsia="zh-CN"/>
        </w:rPr>
      </w:pPr>
      <w:r>
        <w:rPr>
          <w:rFonts w:hint="eastAsia" w:ascii="仿宋" w:hAnsi="仿宋" w:eastAsia="仿宋"/>
          <w:color w:val="auto"/>
          <w:sz w:val="28"/>
          <w:szCs w:val="28"/>
          <w:shd w:val="clear" w:color="auto" w:fill="auto"/>
        </w:rPr>
        <w:t>联系</w:t>
      </w:r>
      <w:r>
        <w:rPr>
          <w:rFonts w:hint="eastAsia" w:ascii="仿宋" w:hAnsi="仿宋" w:eastAsia="仿宋"/>
          <w:color w:val="auto"/>
          <w:sz w:val="28"/>
          <w:szCs w:val="28"/>
          <w:shd w:val="clear" w:color="auto" w:fill="auto"/>
          <w:lang w:eastAsia="zh-CN"/>
        </w:rPr>
        <w:t>电话</w:t>
      </w:r>
      <w:r>
        <w:rPr>
          <w:rFonts w:hint="eastAsia" w:ascii="仿宋" w:hAnsi="仿宋" w:eastAsia="仿宋"/>
          <w:color w:val="auto"/>
          <w:sz w:val="28"/>
          <w:szCs w:val="28"/>
          <w:shd w:val="clear" w:color="auto" w:fill="auto"/>
        </w:rPr>
        <w:t>：0797-</w:t>
      </w:r>
      <w:r>
        <w:rPr>
          <w:rFonts w:hint="eastAsia" w:ascii="仿宋" w:hAnsi="仿宋" w:eastAsia="仿宋"/>
          <w:color w:val="auto"/>
          <w:sz w:val="28"/>
          <w:szCs w:val="28"/>
          <w:shd w:val="clear" w:color="auto" w:fill="auto"/>
          <w:lang w:val="en-US" w:eastAsia="zh-CN"/>
        </w:rPr>
        <w:t>3371008</w:t>
      </w:r>
    </w:p>
    <w:p w14:paraId="56B0505C">
      <w:pPr>
        <w:spacing w:line="600" w:lineRule="exact"/>
        <w:ind w:firstLine="840" w:firstLineChars="300"/>
        <w:rPr>
          <w:rFonts w:ascii="仿宋" w:hAnsi="仿宋" w:eastAsia="仿宋"/>
          <w:color w:val="auto"/>
          <w:sz w:val="28"/>
          <w:szCs w:val="28"/>
          <w:shd w:val="clear" w:color="auto" w:fill="auto"/>
        </w:rPr>
      </w:pPr>
      <w:r>
        <w:rPr>
          <w:rFonts w:hint="eastAsia" w:ascii="仿宋" w:hAnsi="仿宋" w:eastAsia="仿宋"/>
          <w:color w:val="auto"/>
          <w:sz w:val="28"/>
          <w:szCs w:val="28"/>
          <w:shd w:val="clear" w:color="auto" w:fill="auto"/>
        </w:rPr>
        <w:t xml:space="preserve">邮 </w:t>
      </w:r>
      <w:r>
        <w:rPr>
          <w:rFonts w:ascii="仿宋" w:hAnsi="仿宋" w:eastAsia="仿宋"/>
          <w:color w:val="auto"/>
          <w:sz w:val="28"/>
          <w:szCs w:val="28"/>
          <w:shd w:val="clear" w:color="auto" w:fill="auto"/>
        </w:rPr>
        <w:t xml:space="preserve">   </w:t>
      </w:r>
      <w:r>
        <w:rPr>
          <w:rFonts w:hint="eastAsia" w:ascii="仿宋" w:hAnsi="仿宋" w:eastAsia="仿宋"/>
          <w:color w:val="auto"/>
          <w:sz w:val="28"/>
          <w:szCs w:val="28"/>
          <w:shd w:val="clear" w:color="auto" w:fill="auto"/>
        </w:rPr>
        <w:t>箱：chengxiang3371008@163.com</w:t>
      </w:r>
    </w:p>
    <w:bookmarkEnd w:id="0"/>
    <w:bookmarkEnd w:id="1"/>
    <w:p w14:paraId="4EBFA0B7">
      <w:pPr>
        <w:spacing w:line="600" w:lineRule="exact"/>
        <w:rPr>
          <w:rFonts w:hint="eastAsia" w:ascii="仿宋" w:hAnsi="仿宋" w:eastAsia="仿宋"/>
          <w:color w:val="auto"/>
          <w:sz w:val="28"/>
          <w:szCs w:val="28"/>
          <w:shd w:val="clear" w:color="auto" w:fill="auto"/>
        </w:rPr>
      </w:pPr>
    </w:p>
    <w:p w14:paraId="7338220D">
      <w:pPr>
        <w:spacing w:line="600" w:lineRule="exact"/>
        <w:rPr>
          <w:rFonts w:hint="eastAsia" w:ascii="仿宋" w:hAnsi="仿宋" w:eastAsia="仿宋"/>
          <w:color w:val="auto"/>
          <w:sz w:val="28"/>
          <w:szCs w:val="28"/>
          <w:shd w:val="clear" w:color="auto" w:fill="auto"/>
          <w:lang w:eastAsia="zh-CN"/>
        </w:rPr>
      </w:pPr>
    </w:p>
    <w:p w14:paraId="42F184F9">
      <w:pPr>
        <w:spacing w:line="600" w:lineRule="exact"/>
        <w:rPr>
          <w:rFonts w:hint="eastAsia" w:ascii="仿宋" w:hAnsi="仿宋" w:eastAsia="仿宋"/>
          <w:color w:val="auto"/>
          <w:sz w:val="28"/>
          <w:szCs w:val="28"/>
          <w:shd w:val="clear" w:color="auto" w:fill="auto"/>
          <w:lang w:eastAsia="zh-CN"/>
        </w:rPr>
      </w:pPr>
      <w:r>
        <w:rPr>
          <w:rFonts w:hint="eastAsia" w:ascii="仿宋" w:hAnsi="仿宋" w:eastAsia="仿宋"/>
          <w:color w:val="auto"/>
          <w:sz w:val="28"/>
          <w:szCs w:val="28"/>
          <w:shd w:val="clear" w:color="auto" w:fill="auto"/>
          <w:lang w:eastAsia="zh-CN"/>
        </w:rPr>
        <w:t>附件：</w:t>
      </w:r>
    </w:p>
    <w:p w14:paraId="6DD69E25">
      <w:pPr>
        <w:spacing w:line="400" w:lineRule="exact"/>
        <w:jc w:val="left"/>
        <w:rPr>
          <w:rFonts w:ascii="宋体" w:hAnsi="宋体" w:cs="宋体"/>
          <w:b/>
          <w:bCs/>
          <w:color w:val="auto"/>
          <w:kern w:val="0"/>
          <w:sz w:val="24"/>
          <w:highlight w:val="none"/>
        </w:rPr>
      </w:pPr>
      <w:r>
        <w:rPr>
          <w:rFonts w:hint="eastAsia" w:ascii="宋体" w:hAnsi="宋体" w:cs="宋体"/>
          <w:b/>
          <w:bCs/>
          <w:color w:val="auto"/>
          <w:kern w:val="0"/>
          <w:sz w:val="24"/>
          <w:highlight w:val="none"/>
        </w:rPr>
        <w:t>1.技术部分</w:t>
      </w:r>
    </w:p>
    <w:p w14:paraId="3CEA2F37">
      <w:pPr>
        <w:spacing w:line="400" w:lineRule="exact"/>
        <w:jc w:val="left"/>
        <w:rPr>
          <w:rFonts w:hint="eastAsia" w:ascii="宋体" w:hAnsi="宋体" w:cs="宋体"/>
          <w:b/>
          <w:bCs/>
          <w:color w:val="auto"/>
          <w:kern w:val="0"/>
          <w:sz w:val="24"/>
          <w:highlight w:val="none"/>
        </w:rPr>
      </w:pPr>
      <w:r>
        <w:rPr>
          <w:rFonts w:hint="eastAsia" w:ascii="宋体" w:hAnsi="宋体" w:cs="宋体"/>
          <w:color w:val="auto"/>
          <w:kern w:val="0"/>
          <w:sz w:val="24"/>
          <w:highlight w:val="none"/>
        </w:rPr>
        <w:t>1.1投标供应商须提供全新、原装，并符合质量标准的货物。</w:t>
      </w:r>
    </w:p>
    <w:p w14:paraId="405916BE">
      <w:pPr>
        <w:spacing w:line="400" w:lineRule="exact"/>
        <w:jc w:val="left"/>
        <w:rPr>
          <w:rFonts w:hint="eastAsia" w:ascii="宋体" w:hAnsi="宋体" w:cs="宋体"/>
          <w:color w:val="auto"/>
          <w:kern w:val="0"/>
          <w:sz w:val="24"/>
          <w:highlight w:val="none"/>
        </w:rPr>
      </w:pPr>
      <w:r>
        <w:rPr>
          <w:rFonts w:hint="eastAsia" w:ascii="宋体" w:hAnsi="宋体" w:cs="宋体"/>
          <w:color w:val="auto"/>
          <w:kern w:val="0"/>
          <w:sz w:val="24"/>
          <w:highlight w:val="none"/>
        </w:rPr>
        <w:t>1.2货物如为某单位的专利或特有产品，请投标供应商在答疑期内告知政府采购代理机构。</w:t>
      </w:r>
    </w:p>
    <w:p w14:paraId="7DC3EEC3">
      <w:pPr>
        <w:spacing w:line="400" w:lineRule="exact"/>
        <w:jc w:val="left"/>
        <w:rPr>
          <w:rFonts w:hint="eastAsia" w:ascii="宋体" w:hAnsi="宋体" w:cs="宋体"/>
          <w:color w:val="auto"/>
          <w:kern w:val="0"/>
          <w:sz w:val="24"/>
          <w:highlight w:val="none"/>
        </w:rPr>
      </w:pPr>
      <w:r>
        <w:rPr>
          <w:rFonts w:hint="eastAsia" w:ascii="宋体" w:hAnsi="宋体" w:cs="宋体"/>
          <w:color w:val="auto"/>
          <w:kern w:val="0"/>
          <w:sz w:val="24"/>
          <w:highlight w:val="none"/>
        </w:rPr>
        <w:t>1.3所有货物的知识产权问题，由各投标供应商自行负责。</w:t>
      </w:r>
    </w:p>
    <w:p w14:paraId="059A42BA">
      <w:pPr>
        <w:spacing w:line="400" w:lineRule="exact"/>
        <w:jc w:val="left"/>
        <w:rPr>
          <w:rFonts w:hint="eastAsia" w:ascii="宋体" w:hAnsi="宋体" w:cs="宋体"/>
          <w:color w:val="auto"/>
          <w:kern w:val="0"/>
          <w:sz w:val="24"/>
          <w:highlight w:val="none"/>
        </w:rPr>
      </w:pPr>
      <w:r>
        <w:rPr>
          <w:rFonts w:hint="eastAsia" w:ascii="宋体" w:hAnsi="宋体" w:cs="宋体"/>
          <w:color w:val="auto"/>
          <w:kern w:val="0"/>
          <w:sz w:val="24"/>
          <w:highlight w:val="none"/>
        </w:rPr>
        <w:t>1.4本招标文件提出的是最低限度的要求，投标供应商的方案应达到或优于本招标文件要求，且符合国家有关标准和规范要求，低于招标文件要求的，投标无效；</w:t>
      </w:r>
    </w:p>
    <w:p w14:paraId="6F678E5E">
      <w:pPr>
        <w:spacing w:line="400" w:lineRule="exact"/>
        <w:jc w:val="left"/>
        <w:rPr>
          <w:rFonts w:hint="eastAsia" w:ascii="宋体" w:hAnsi="宋体" w:eastAsia="宋体" w:cs="宋体"/>
          <w:color w:val="auto"/>
          <w:kern w:val="0"/>
          <w:sz w:val="24"/>
          <w:highlight w:val="none"/>
          <w:lang w:eastAsia="zh-CN"/>
        </w:rPr>
      </w:pPr>
      <w:r>
        <w:rPr>
          <w:rFonts w:hint="eastAsia" w:ascii="宋体" w:hAnsi="宋体" w:cs="宋体"/>
          <w:color w:val="auto"/>
          <w:kern w:val="0"/>
          <w:sz w:val="24"/>
          <w:highlight w:val="none"/>
        </w:rPr>
        <w:t>1.5采购项目需执行国家相关标准、行业标准、地方标准或者其他标准、规范</w:t>
      </w:r>
      <w:r>
        <w:rPr>
          <w:rFonts w:hint="eastAsia" w:ascii="宋体" w:hAnsi="宋体" w:cs="宋体"/>
          <w:color w:val="auto"/>
          <w:kern w:val="0"/>
          <w:sz w:val="24"/>
          <w:highlight w:val="none"/>
          <w:lang w:eastAsia="zh-CN"/>
        </w:rPr>
        <w:t>；</w:t>
      </w:r>
    </w:p>
    <w:p w14:paraId="139F2209">
      <w:pPr>
        <w:spacing w:line="400" w:lineRule="exact"/>
        <w:jc w:val="left"/>
        <w:rPr>
          <w:rFonts w:hint="eastAsia" w:ascii="宋体" w:hAnsi="宋体" w:cs="宋体"/>
          <w:color w:val="auto"/>
          <w:kern w:val="0"/>
          <w:sz w:val="24"/>
          <w:highlight w:val="none"/>
        </w:rPr>
      </w:pPr>
      <w:r>
        <w:rPr>
          <w:rFonts w:hint="eastAsia" w:ascii="宋体" w:hAnsi="宋体" w:cs="宋体"/>
          <w:color w:val="auto"/>
          <w:kern w:val="0"/>
          <w:sz w:val="24"/>
          <w:highlight w:val="none"/>
        </w:rPr>
        <w:t>1.5.</w:t>
      </w:r>
      <w:r>
        <w:rPr>
          <w:rFonts w:hint="eastAsia" w:ascii="宋体" w:hAnsi="宋体" w:cs="宋体"/>
          <w:color w:val="auto"/>
          <w:kern w:val="0"/>
          <w:sz w:val="24"/>
          <w:highlight w:val="none"/>
          <w:lang w:val="en-US" w:eastAsia="zh-CN"/>
        </w:rPr>
        <w:t>1</w:t>
      </w:r>
      <w:r>
        <w:rPr>
          <w:rFonts w:hint="eastAsia" w:ascii="宋体" w:hAnsi="宋体" w:cs="宋体"/>
          <w:color w:val="auto"/>
          <w:kern w:val="0"/>
          <w:sz w:val="24"/>
          <w:highlight w:val="none"/>
        </w:rPr>
        <w:t xml:space="preserve"> 国家、省市县规范文件、其他相关标准、规范及采购单位的要求，如在项目采购活动期间，国家发布新标准或规范，按新要求执行。</w:t>
      </w:r>
    </w:p>
    <w:p w14:paraId="1640B54E">
      <w:pPr>
        <w:spacing w:line="400" w:lineRule="exact"/>
        <w:jc w:val="left"/>
        <w:rPr>
          <w:rFonts w:hint="eastAsia" w:ascii="宋体" w:hAnsi="宋体" w:cs="宋体"/>
          <w:b/>
          <w:bCs/>
          <w:color w:val="auto"/>
          <w:kern w:val="0"/>
          <w:sz w:val="24"/>
          <w:highlight w:val="none"/>
        </w:rPr>
      </w:pPr>
      <w:r>
        <w:rPr>
          <w:rFonts w:hint="eastAsia" w:ascii="宋体" w:hAnsi="宋体" w:cs="宋体"/>
          <w:color w:val="auto"/>
          <w:kern w:val="0"/>
          <w:sz w:val="24"/>
          <w:highlight w:val="none"/>
        </w:rPr>
        <w:t>1.</w:t>
      </w:r>
      <w:r>
        <w:rPr>
          <w:rFonts w:hint="eastAsia" w:ascii="宋体" w:hAnsi="宋体" w:cs="宋体"/>
          <w:color w:val="auto"/>
          <w:kern w:val="0"/>
          <w:sz w:val="24"/>
          <w:highlight w:val="none"/>
          <w:lang w:val="en-US" w:eastAsia="zh-CN"/>
        </w:rPr>
        <w:t>6</w:t>
      </w:r>
      <w:r>
        <w:rPr>
          <w:rFonts w:hint="eastAsia" w:ascii="宋体" w:hAnsi="宋体" w:cs="宋体"/>
          <w:color w:val="auto"/>
          <w:kern w:val="0"/>
          <w:sz w:val="24"/>
          <w:highlight w:val="none"/>
        </w:rPr>
        <w:t>采购项目清单、数量及采购标的需满足的技术规格等要求：</w:t>
      </w:r>
    </w:p>
    <w:tbl>
      <w:tblPr>
        <w:tblStyle w:val="12"/>
        <w:tblW w:w="98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8"/>
        <w:gridCol w:w="1150"/>
        <w:gridCol w:w="6253"/>
        <w:gridCol w:w="954"/>
        <w:gridCol w:w="958"/>
      </w:tblGrid>
      <w:tr w14:paraId="1F9AF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578" w:type="dxa"/>
            <w:noWrap/>
            <w:vAlign w:val="center"/>
          </w:tcPr>
          <w:p w14:paraId="77A8E607">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1150" w:type="dxa"/>
            <w:noWrap w:val="0"/>
            <w:vAlign w:val="center"/>
          </w:tcPr>
          <w:p w14:paraId="721CB6CE">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产品名称</w:t>
            </w:r>
          </w:p>
        </w:tc>
        <w:tc>
          <w:tcPr>
            <w:tcW w:w="6253" w:type="dxa"/>
            <w:noWrap w:val="0"/>
            <w:vAlign w:val="center"/>
          </w:tcPr>
          <w:p w14:paraId="3801FD73">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sz w:val="21"/>
                <w:szCs w:val="21"/>
                <w:highlight w:val="none"/>
                <w:u w:val="none"/>
              </w:rPr>
              <w:t>技术参数</w:t>
            </w:r>
            <w:r>
              <w:rPr>
                <w:rFonts w:hint="eastAsia" w:ascii="宋体" w:hAnsi="宋体" w:eastAsia="宋体" w:cs="宋体"/>
                <w:b/>
                <w:bCs/>
                <w:i w:val="0"/>
                <w:iCs w:val="0"/>
                <w:color w:val="auto"/>
                <w:sz w:val="21"/>
                <w:szCs w:val="21"/>
                <w:highlight w:val="none"/>
                <w:u w:val="none"/>
                <w:lang w:eastAsia="zh-CN"/>
              </w:rPr>
              <w:t>及</w:t>
            </w:r>
            <w:r>
              <w:rPr>
                <w:rFonts w:hint="eastAsia" w:ascii="宋体" w:hAnsi="宋体" w:eastAsia="宋体" w:cs="宋体"/>
                <w:b/>
                <w:bCs/>
                <w:i w:val="0"/>
                <w:iCs w:val="0"/>
                <w:color w:val="auto"/>
                <w:sz w:val="21"/>
                <w:szCs w:val="21"/>
                <w:highlight w:val="none"/>
                <w:u w:val="none"/>
              </w:rPr>
              <w:t>要求</w:t>
            </w:r>
          </w:p>
        </w:tc>
        <w:tc>
          <w:tcPr>
            <w:tcW w:w="954" w:type="dxa"/>
            <w:noWrap/>
            <w:vAlign w:val="center"/>
          </w:tcPr>
          <w:p w14:paraId="2D965DB9">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数量</w:t>
            </w:r>
          </w:p>
        </w:tc>
        <w:tc>
          <w:tcPr>
            <w:tcW w:w="958" w:type="dxa"/>
            <w:noWrap w:val="0"/>
            <w:vAlign w:val="center"/>
          </w:tcPr>
          <w:p w14:paraId="4D7FFC4A">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单位</w:t>
            </w:r>
          </w:p>
        </w:tc>
      </w:tr>
      <w:tr w14:paraId="6153D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578" w:type="dxa"/>
            <w:noWrap w:val="0"/>
            <w:vAlign w:val="center"/>
          </w:tcPr>
          <w:p w14:paraId="32A6652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1150" w:type="dxa"/>
            <w:noWrap w:val="0"/>
            <w:vAlign w:val="center"/>
          </w:tcPr>
          <w:p w14:paraId="60F4FE4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果蔬内部品质检测机</w:t>
            </w:r>
          </w:p>
        </w:tc>
        <w:tc>
          <w:tcPr>
            <w:tcW w:w="6253" w:type="dxa"/>
            <w:noWrap w:val="0"/>
            <w:vAlign w:val="center"/>
          </w:tcPr>
          <w:p w14:paraId="4C71772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一、设备外形：</w:t>
            </w:r>
          </w:p>
          <w:p w14:paraId="3B5CEE0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1、最大外形宽度≤1350mm；</w:t>
            </w:r>
          </w:p>
          <w:p w14:paraId="5CFE1C6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2、最大外形高度≤900mm；</w:t>
            </w:r>
          </w:p>
          <w:p w14:paraId="35797FCA">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3、最大外形长度≤1050mm；</w:t>
            </w:r>
          </w:p>
          <w:p w14:paraId="20BBD864">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4、允许对接分选线高度：</w:t>
            </w:r>
          </w:p>
          <w:p w14:paraId="2ABF8BD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4.1安装平面距离果杯平面80±5mm；</w:t>
            </w:r>
          </w:p>
          <w:p w14:paraId="22D57F0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4.2匹配的分选线间隔：320±2mm；</w:t>
            </w:r>
          </w:p>
          <w:p w14:paraId="79C8F4E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4.3匹配的果杯节距：95-114mm；</w:t>
            </w:r>
          </w:p>
          <w:p w14:paraId="15DD0970">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二、技术描述：</w:t>
            </w:r>
          </w:p>
          <w:p w14:paraId="6B43AC8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1、采用近红外传感器；</w:t>
            </w:r>
          </w:p>
          <w:p w14:paraId="3EA1E62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2、搭配光机检测机构；</w:t>
            </w:r>
          </w:p>
          <w:p w14:paraId="675855C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3、采用光谱前处理算法；</w:t>
            </w:r>
          </w:p>
          <w:p w14:paraId="20113839">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4、对每个果蔬都能动态调整光谱采集参数；</w:t>
            </w:r>
          </w:p>
          <w:p w14:paraId="20E9EBA0">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5、具有自动光谱校准功能；</w:t>
            </w:r>
          </w:p>
          <w:p w14:paraId="421EB4D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6、配备上位机操作软件，融合分选系统；</w:t>
            </w:r>
          </w:p>
          <w:p w14:paraId="1EE1FD8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7、使用Ethernet通讯接口；</w:t>
            </w:r>
          </w:p>
          <w:p w14:paraId="482D3DE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8、糖度标准误差（SEP）：≤0.6Brix（表示大量抽检中±1Birx偏差范围内占比≥90%）；</w:t>
            </w:r>
          </w:p>
          <w:p w14:paraId="666C1AA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9、糖度测量范围：3-23Brix；</w:t>
            </w:r>
          </w:p>
          <w:p w14:paraId="4E72C8E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10、最佳检测果实直径要求：40mm-70mm；</w:t>
            </w:r>
          </w:p>
          <w:p w14:paraId="7566BB7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11、最佳检测分选速度:≥400个果杯/分钟；</w:t>
            </w:r>
          </w:p>
          <w:p w14:paraId="44C1199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12、使用环境要求：温度处于-5℃-40℃之间，湿度在20%-80%之间，水果表面无结霜现象。</w:t>
            </w:r>
          </w:p>
          <w:p w14:paraId="2C889B8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eastAsia="zh-CN"/>
              </w:rPr>
              <w:t>三、分选系统</w:t>
            </w:r>
          </w:p>
          <w:p w14:paraId="7FB52B8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1、嵌入式多波段近红外光谱透射检测系统：</w:t>
            </w:r>
          </w:p>
          <w:p w14:paraId="0FFED3AC">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采用嵌入式光谱检测架构，集成多波段近红外光源阵列与低功耗信号处理模块，实现毫秒级高速在线光谱采集。</w:t>
            </w:r>
          </w:p>
          <w:p w14:paraId="25285BB0">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2、一机多指标同步预测的全检能力：</w:t>
            </w:r>
          </w:p>
          <w:p w14:paraId="0EBA329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基于单次透射光谱采集，通过多变量光谱解析模型同步输出糖度、病变、枯水等多项内部品质指标。</w:t>
            </w:r>
          </w:p>
          <w:p w14:paraId="0FABB25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3、动态自适应高精度光谱解析算法：</w:t>
            </w:r>
          </w:p>
          <w:p w14:paraId="024F4843">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集成多项果蔬近红外检测核心部件的系统，对每个水果动态调整信号采集参数，结合大规模行业数据训练的光谱-品质关联模型，抑制个体差异与工况漂移。</w:t>
            </w:r>
          </w:p>
          <w:p w14:paraId="1AEE36AF">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4、个性化品质分级引擎：</w:t>
            </w:r>
          </w:p>
          <w:p w14:paraId="1117797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lang w:val="en-US" w:eastAsia="zh-CN"/>
              </w:rPr>
            </w:pPr>
            <w:r>
              <w:rPr>
                <w:rFonts w:hint="eastAsia" w:ascii="宋体" w:hAnsi="宋体" w:eastAsia="宋体" w:cs="宋体"/>
                <w:i w:val="0"/>
                <w:iCs w:val="0"/>
                <w:color w:val="auto"/>
                <w:sz w:val="21"/>
                <w:szCs w:val="21"/>
                <w:highlight w:val="none"/>
                <w:u w:val="none"/>
                <w:lang w:val="en-US" w:eastAsia="zh-CN"/>
              </w:rPr>
              <w:t>支持自定义分级规则、数值设定与多指标权重配置，精准匹配个性化消费需求，实现从"标准化检测"到"定制化品控"的分选要求。</w:t>
            </w:r>
          </w:p>
        </w:tc>
        <w:tc>
          <w:tcPr>
            <w:tcW w:w="954" w:type="dxa"/>
            <w:noWrap w:val="0"/>
            <w:vAlign w:val="center"/>
          </w:tcPr>
          <w:p w14:paraId="2AF9636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lang w:eastAsia="zh-CN"/>
              </w:rPr>
            </w:pPr>
            <w:r>
              <w:rPr>
                <w:rFonts w:hint="eastAsia" w:ascii="宋体" w:hAnsi="宋体" w:eastAsia="宋体" w:cs="宋体"/>
                <w:i w:val="0"/>
                <w:iCs w:val="0"/>
                <w:color w:val="auto"/>
                <w:sz w:val="21"/>
                <w:szCs w:val="21"/>
                <w:highlight w:val="none"/>
                <w:u w:val="none"/>
                <w:lang w:val="en-US" w:eastAsia="zh-CN"/>
              </w:rPr>
              <w:t>1</w:t>
            </w:r>
          </w:p>
        </w:tc>
        <w:tc>
          <w:tcPr>
            <w:tcW w:w="958" w:type="dxa"/>
            <w:noWrap w:val="0"/>
            <w:vAlign w:val="center"/>
          </w:tcPr>
          <w:p w14:paraId="169A292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台</w:t>
            </w:r>
          </w:p>
        </w:tc>
      </w:tr>
    </w:tbl>
    <w:p w14:paraId="3DB59B56">
      <w:pPr>
        <w:spacing w:line="600" w:lineRule="exact"/>
        <w:rPr>
          <w:rFonts w:hint="eastAsia" w:ascii="仿宋" w:hAnsi="仿宋" w:eastAsia="仿宋"/>
          <w:color w:val="auto"/>
          <w:sz w:val="28"/>
          <w:szCs w:val="28"/>
          <w:shd w:val="clear" w:color="auto" w:fill="auto"/>
          <w:lang w:eastAsia="zh-CN"/>
        </w:rPr>
      </w:pPr>
    </w:p>
    <w:p w14:paraId="1BEEB10A">
      <w:pPr>
        <w:spacing w:line="600" w:lineRule="exact"/>
        <w:rPr>
          <w:rFonts w:hint="eastAsia" w:ascii="仿宋" w:hAnsi="仿宋" w:eastAsia="仿宋"/>
          <w:color w:val="auto"/>
          <w:sz w:val="28"/>
          <w:szCs w:val="28"/>
          <w:shd w:val="clear" w:color="auto" w:fill="auto"/>
        </w:rPr>
      </w:pPr>
    </w:p>
    <w:p w14:paraId="5846E4B5">
      <w:pPr>
        <w:spacing w:line="600" w:lineRule="exact"/>
        <w:rPr>
          <w:rFonts w:hint="eastAsia" w:ascii="仿宋" w:hAnsi="仿宋" w:eastAsia="仿宋"/>
          <w:color w:val="auto"/>
          <w:sz w:val="28"/>
          <w:szCs w:val="28"/>
          <w:shd w:val="clear" w:color="auto" w:fill="auto"/>
          <w:lang w:eastAsia="zh-CN"/>
        </w:rPr>
      </w:pPr>
    </w:p>
    <w:sectPr>
      <w:footerReference r:id="rId3" w:type="default"/>
      <w:pgSz w:w="11906" w:h="16838"/>
      <w:pgMar w:top="1440" w:right="1134" w:bottom="1440" w:left="113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S UI Gothic">
    <w:panose1 w:val="020B0600070205080204"/>
    <w:charset w:val="80"/>
    <w:family w:val="swiss"/>
    <w:pitch w:val="default"/>
    <w:sig w:usb0="E00002FF" w:usb1="6AC7FDFB" w:usb2="08000012" w:usb3="00000000" w:csb0="4002009F" w:csb1="DFD7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B56438">
    <w:pPr>
      <w:pStyle w:val="8"/>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E4C274C">
                <w:pPr>
                  <w:pStyle w:val="8"/>
                </w:pPr>
                <w:r>
                  <w:fldChar w:fldCharType="begin"/>
                </w:r>
                <w:r>
                  <w:instrText xml:space="preserve"> PAGE  \* MERGEFORMAT </w:instrText>
                </w:r>
                <w:r>
                  <w:fldChar w:fldCharType="separate"/>
                </w:r>
                <w:r>
                  <w:t>1</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2ExYWQzMDA3MWRlMjQyMGNlNTU3MzgzYjVmMWM5M2EifQ=="/>
  </w:docVars>
  <w:rsids>
    <w:rsidRoot w:val="00E45F9B"/>
    <w:rsid w:val="00062310"/>
    <w:rsid w:val="00093357"/>
    <w:rsid w:val="000A2842"/>
    <w:rsid w:val="00123070"/>
    <w:rsid w:val="00184758"/>
    <w:rsid w:val="001C2F74"/>
    <w:rsid w:val="002010AB"/>
    <w:rsid w:val="00221702"/>
    <w:rsid w:val="00222094"/>
    <w:rsid w:val="00226907"/>
    <w:rsid w:val="00296A16"/>
    <w:rsid w:val="002A6A49"/>
    <w:rsid w:val="002D3955"/>
    <w:rsid w:val="003347D3"/>
    <w:rsid w:val="00334E3C"/>
    <w:rsid w:val="003A584C"/>
    <w:rsid w:val="00425923"/>
    <w:rsid w:val="00442EAF"/>
    <w:rsid w:val="004D09F0"/>
    <w:rsid w:val="005B7284"/>
    <w:rsid w:val="005E20E3"/>
    <w:rsid w:val="00627B80"/>
    <w:rsid w:val="006461AD"/>
    <w:rsid w:val="006A067A"/>
    <w:rsid w:val="006A111D"/>
    <w:rsid w:val="00721310"/>
    <w:rsid w:val="0072681D"/>
    <w:rsid w:val="00747619"/>
    <w:rsid w:val="007D17CE"/>
    <w:rsid w:val="007E2ED7"/>
    <w:rsid w:val="008165C1"/>
    <w:rsid w:val="008919C3"/>
    <w:rsid w:val="00931877"/>
    <w:rsid w:val="00961FFD"/>
    <w:rsid w:val="0097703E"/>
    <w:rsid w:val="009B45C9"/>
    <w:rsid w:val="00A003E6"/>
    <w:rsid w:val="00A33C9B"/>
    <w:rsid w:val="00A34FC7"/>
    <w:rsid w:val="00A9670F"/>
    <w:rsid w:val="00B31AB2"/>
    <w:rsid w:val="00B560E3"/>
    <w:rsid w:val="00BD5DFB"/>
    <w:rsid w:val="00BE2969"/>
    <w:rsid w:val="00C23AA0"/>
    <w:rsid w:val="00C35670"/>
    <w:rsid w:val="00C43181"/>
    <w:rsid w:val="00C921F7"/>
    <w:rsid w:val="00CC2646"/>
    <w:rsid w:val="00D86689"/>
    <w:rsid w:val="00D87AFD"/>
    <w:rsid w:val="00DB5CE5"/>
    <w:rsid w:val="00E45F9B"/>
    <w:rsid w:val="00E87E37"/>
    <w:rsid w:val="00ED0D50"/>
    <w:rsid w:val="00EF3911"/>
    <w:rsid w:val="00F71C54"/>
    <w:rsid w:val="00FA246C"/>
    <w:rsid w:val="018604AA"/>
    <w:rsid w:val="023F42AD"/>
    <w:rsid w:val="03123C0F"/>
    <w:rsid w:val="046C6894"/>
    <w:rsid w:val="05825F78"/>
    <w:rsid w:val="0589707A"/>
    <w:rsid w:val="08603026"/>
    <w:rsid w:val="09302822"/>
    <w:rsid w:val="098679FA"/>
    <w:rsid w:val="09CE2B9D"/>
    <w:rsid w:val="0AAA3E09"/>
    <w:rsid w:val="0C163B7D"/>
    <w:rsid w:val="0D2C5584"/>
    <w:rsid w:val="0D471D44"/>
    <w:rsid w:val="0F3C0C5B"/>
    <w:rsid w:val="0F566B92"/>
    <w:rsid w:val="0FCC6DA4"/>
    <w:rsid w:val="0FF71D87"/>
    <w:rsid w:val="104017C9"/>
    <w:rsid w:val="105F1BF0"/>
    <w:rsid w:val="10736036"/>
    <w:rsid w:val="11040C98"/>
    <w:rsid w:val="124564AC"/>
    <w:rsid w:val="1282120A"/>
    <w:rsid w:val="14BA6A89"/>
    <w:rsid w:val="165B0299"/>
    <w:rsid w:val="1697385F"/>
    <w:rsid w:val="171B1040"/>
    <w:rsid w:val="178F2477"/>
    <w:rsid w:val="17D820A0"/>
    <w:rsid w:val="17EE02E1"/>
    <w:rsid w:val="19484FB2"/>
    <w:rsid w:val="1A2C475F"/>
    <w:rsid w:val="1A6C65C7"/>
    <w:rsid w:val="1ADE360E"/>
    <w:rsid w:val="1B253C4C"/>
    <w:rsid w:val="1C6D0617"/>
    <w:rsid w:val="1E7323CB"/>
    <w:rsid w:val="1FBE0AC6"/>
    <w:rsid w:val="20A21955"/>
    <w:rsid w:val="22214838"/>
    <w:rsid w:val="22E66AA6"/>
    <w:rsid w:val="22EE2E34"/>
    <w:rsid w:val="230C2D31"/>
    <w:rsid w:val="24220B9C"/>
    <w:rsid w:val="26F729F3"/>
    <w:rsid w:val="272B77FB"/>
    <w:rsid w:val="28331E94"/>
    <w:rsid w:val="2BCA04EF"/>
    <w:rsid w:val="2D231203"/>
    <w:rsid w:val="2FF66D80"/>
    <w:rsid w:val="303C3F45"/>
    <w:rsid w:val="305877A5"/>
    <w:rsid w:val="3108458A"/>
    <w:rsid w:val="31DA08EB"/>
    <w:rsid w:val="32523976"/>
    <w:rsid w:val="339A6443"/>
    <w:rsid w:val="33A50E60"/>
    <w:rsid w:val="33F91A3D"/>
    <w:rsid w:val="35ED159D"/>
    <w:rsid w:val="374C3AE9"/>
    <w:rsid w:val="37903F12"/>
    <w:rsid w:val="3ABF234A"/>
    <w:rsid w:val="3B056FBD"/>
    <w:rsid w:val="3B0937DC"/>
    <w:rsid w:val="3D350976"/>
    <w:rsid w:val="3E2979AC"/>
    <w:rsid w:val="3FB84DD6"/>
    <w:rsid w:val="3FFA75B2"/>
    <w:rsid w:val="41CF4659"/>
    <w:rsid w:val="41D45168"/>
    <w:rsid w:val="41EE61E1"/>
    <w:rsid w:val="42002D46"/>
    <w:rsid w:val="43880A81"/>
    <w:rsid w:val="461D0109"/>
    <w:rsid w:val="47142FE8"/>
    <w:rsid w:val="47775577"/>
    <w:rsid w:val="47CE00F6"/>
    <w:rsid w:val="48190A18"/>
    <w:rsid w:val="482F53B4"/>
    <w:rsid w:val="483613EA"/>
    <w:rsid w:val="484D3E8E"/>
    <w:rsid w:val="48D551A3"/>
    <w:rsid w:val="48E155D5"/>
    <w:rsid w:val="4B6B4210"/>
    <w:rsid w:val="4C7A5441"/>
    <w:rsid w:val="4D185106"/>
    <w:rsid w:val="4D705788"/>
    <w:rsid w:val="4FB261C5"/>
    <w:rsid w:val="4FD2293F"/>
    <w:rsid w:val="501B16D8"/>
    <w:rsid w:val="548B248D"/>
    <w:rsid w:val="54AC3518"/>
    <w:rsid w:val="56B65AD9"/>
    <w:rsid w:val="5892535D"/>
    <w:rsid w:val="59283001"/>
    <w:rsid w:val="5AAB6989"/>
    <w:rsid w:val="5D5E7A84"/>
    <w:rsid w:val="5F304B91"/>
    <w:rsid w:val="5FBE54FC"/>
    <w:rsid w:val="62140B89"/>
    <w:rsid w:val="631F6EB3"/>
    <w:rsid w:val="637E4610"/>
    <w:rsid w:val="63E113F3"/>
    <w:rsid w:val="65D00B7A"/>
    <w:rsid w:val="66616B74"/>
    <w:rsid w:val="67AB6E4B"/>
    <w:rsid w:val="693A02A1"/>
    <w:rsid w:val="6AA123CD"/>
    <w:rsid w:val="6AC328DF"/>
    <w:rsid w:val="6ADC3672"/>
    <w:rsid w:val="6C493BBD"/>
    <w:rsid w:val="6CC87B57"/>
    <w:rsid w:val="6D5E670D"/>
    <w:rsid w:val="6E2B25A8"/>
    <w:rsid w:val="6F0B0F94"/>
    <w:rsid w:val="70BC5EF9"/>
    <w:rsid w:val="712E6BB1"/>
    <w:rsid w:val="726A29D5"/>
    <w:rsid w:val="74BF5CE3"/>
    <w:rsid w:val="75E82E4A"/>
    <w:rsid w:val="78597355"/>
    <w:rsid w:val="79340004"/>
    <w:rsid w:val="7B03153F"/>
    <w:rsid w:val="7B98003C"/>
    <w:rsid w:val="7C907665"/>
    <w:rsid w:val="7D7A30EF"/>
    <w:rsid w:val="7DCE7E4F"/>
    <w:rsid w:val="7F24079F"/>
    <w:rsid w:val="7F7937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name="Normal (Web)"/>
    <w:lsdException w:qFormat="1"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qFormat="1" w:uiPriority="99" w:name="HTML Typewriter"/>
    <w:lsdException w:qFormat="1"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qFormat/>
    <w:uiPriority w:val="0"/>
    <w:pPr>
      <w:keepNext/>
      <w:keepLines/>
      <w:spacing w:before="260" w:after="260" w:line="415" w:lineRule="auto"/>
      <w:outlineLvl w:val="1"/>
    </w:pPr>
    <w:rPr>
      <w:rFonts w:ascii="Arial" w:hAnsi="Arial" w:eastAsia="黑体" w:cs="Arial"/>
      <w:b/>
      <w:bCs/>
      <w:sz w:val="32"/>
      <w:szCs w:val="32"/>
    </w:rPr>
  </w:style>
  <w:style w:type="paragraph" w:styleId="4">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Body Text"/>
    <w:basedOn w:val="1"/>
    <w:next w:val="1"/>
    <w:qFormat/>
    <w:uiPriority w:val="0"/>
    <w:pPr>
      <w:spacing w:after="120"/>
    </w:pPr>
  </w:style>
  <w:style w:type="paragraph" w:styleId="6">
    <w:name w:val="Plain Text"/>
    <w:basedOn w:val="1"/>
    <w:link w:val="30"/>
    <w:qFormat/>
    <w:uiPriority w:val="0"/>
    <w:rPr>
      <w:rFonts w:ascii="宋体" w:hAnsi="Courier New" w:eastAsiaTheme="minorEastAsia" w:cstheme="minorBidi"/>
      <w:szCs w:val="22"/>
    </w:rPr>
  </w:style>
  <w:style w:type="paragraph" w:styleId="7">
    <w:name w:val="Body Text Indent 2"/>
    <w:basedOn w:val="1"/>
    <w:qFormat/>
    <w:uiPriority w:val="0"/>
    <w:pPr>
      <w:spacing w:after="120" w:line="480" w:lineRule="auto"/>
      <w:ind w:left="420" w:leftChars="200"/>
    </w:pPr>
  </w:style>
  <w:style w:type="paragraph" w:styleId="8">
    <w:name w:val="footer"/>
    <w:basedOn w:val="1"/>
    <w:link w:val="32"/>
    <w:semiHidden/>
    <w:unhideWhenUsed/>
    <w:qFormat/>
    <w:uiPriority w:val="99"/>
    <w:pPr>
      <w:tabs>
        <w:tab w:val="center" w:pos="4153"/>
        <w:tab w:val="right" w:pos="8306"/>
      </w:tabs>
      <w:snapToGrid w:val="0"/>
      <w:jc w:val="left"/>
    </w:pPr>
    <w:rPr>
      <w:sz w:val="18"/>
      <w:szCs w:val="18"/>
    </w:rPr>
  </w:style>
  <w:style w:type="paragraph" w:styleId="9">
    <w:name w:val="header"/>
    <w:basedOn w:val="1"/>
    <w:link w:val="31"/>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semiHidden/>
    <w:unhideWhenUsed/>
    <w:qFormat/>
    <w:uiPriority w:val="99"/>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paragraph" w:styleId="11">
    <w:name w:val="Body Text First Indent"/>
    <w:basedOn w:val="5"/>
    <w:unhideWhenUsed/>
    <w:qFormat/>
    <w:uiPriority w:val="99"/>
    <w:pPr>
      <w:ind w:firstLine="420" w:firstLineChars="100"/>
    </w:pPr>
  </w:style>
  <w:style w:type="table" w:styleId="13">
    <w:name w:val="Table Grid"/>
    <w:basedOn w:val="1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22"/>
  </w:style>
  <w:style w:type="character" w:styleId="16">
    <w:name w:val="FollowedHyperlink"/>
    <w:basedOn w:val="14"/>
    <w:semiHidden/>
    <w:unhideWhenUsed/>
    <w:qFormat/>
    <w:uiPriority w:val="99"/>
    <w:rPr>
      <w:color w:val="800080"/>
      <w:u w:val="none"/>
    </w:rPr>
  </w:style>
  <w:style w:type="character" w:styleId="17">
    <w:name w:val="Emphasis"/>
    <w:basedOn w:val="14"/>
    <w:qFormat/>
    <w:uiPriority w:val="20"/>
  </w:style>
  <w:style w:type="character" w:styleId="18">
    <w:name w:val="HTML Definition"/>
    <w:basedOn w:val="14"/>
    <w:semiHidden/>
    <w:unhideWhenUsed/>
    <w:qFormat/>
    <w:uiPriority w:val="99"/>
  </w:style>
  <w:style w:type="character" w:styleId="19">
    <w:name w:val="HTML Typewriter"/>
    <w:basedOn w:val="14"/>
    <w:semiHidden/>
    <w:unhideWhenUsed/>
    <w:qFormat/>
    <w:uiPriority w:val="99"/>
    <w:rPr>
      <w:rFonts w:hint="default" w:ascii="monospace" w:hAnsi="monospace" w:eastAsia="monospace" w:cs="monospace"/>
      <w:sz w:val="20"/>
    </w:rPr>
  </w:style>
  <w:style w:type="character" w:styleId="20">
    <w:name w:val="HTML Acronym"/>
    <w:basedOn w:val="14"/>
    <w:semiHidden/>
    <w:unhideWhenUsed/>
    <w:qFormat/>
    <w:uiPriority w:val="99"/>
  </w:style>
  <w:style w:type="character" w:styleId="21">
    <w:name w:val="HTML Variable"/>
    <w:basedOn w:val="14"/>
    <w:semiHidden/>
    <w:unhideWhenUsed/>
    <w:qFormat/>
    <w:uiPriority w:val="99"/>
  </w:style>
  <w:style w:type="character" w:styleId="22">
    <w:name w:val="Hyperlink"/>
    <w:basedOn w:val="14"/>
    <w:semiHidden/>
    <w:unhideWhenUsed/>
    <w:qFormat/>
    <w:uiPriority w:val="99"/>
    <w:rPr>
      <w:color w:val="0000FF"/>
      <w:u w:val="none"/>
    </w:rPr>
  </w:style>
  <w:style w:type="character" w:styleId="23">
    <w:name w:val="HTML Code"/>
    <w:basedOn w:val="14"/>
    <w:semiHidden/>
    <w:unhideWhenUsed/>
    <w:qFormat/>
    <w:uiPriority w:val="99"/>
    <w:rPr>
      <w:rFonts w:hint="default" w:ascii="monospace" w:hAnsi="monospace" w:eastAsia="monospace" w:cs="monospace"/>
      <w:sz w:val="20"/>
    </w:rPr>
  </w:style>
  <w:style w:type="character" w:styleId="24">
    <w:name w:val="HTML Cite"/>
    <w:basedOn w:val="14"/>
    <w:semiHidden/>
    <w:unhideWhenUsed/>
    <w:qFormat/>
    <w:uiPriority w:val="99"/>
  </w:style>
  <w:style w:type="character" w:styleId="25">
    <w:name w:val="HTML Keyboard"/>
    <w:basedOn w:val="14"/>
    <w:semiHidden/>
    <w:unhideWhenUsed/>
    <w:qFormat/>
    <w:uiPriority w:val="99"/>
    <w:rPr>
      <w:rFonts w:hint="default" w:ascii="monospace" w:hAnsi="monospace" w:eastAsia="monospace" w:cs="monospace"/>
      <w:sz w:val="20"/>
    </w:rPr>
  </w:style>
  <w:style w:type="character" w:styleId="26">
    <w:name w:val="HTML Sample"/>
    <w:basedOn w:val="14"/>
    <w:semiHidden/>
    <w:unhideWhenUsed/>
    <w:qFormat/>
    <w:uiPriority w:val="99"/>
    <w:rPr>
      <w:rFonts w:ascii="monospace" w:hAnsi="monospace" w:eastAsia="monospace" w:cs="monospace"/>
    </w:rPr>
  </w:style>
  <w:style w:type="paragraph" w:customStyle="1" w:styleId="27">
    <w:name w:val="Default"/>
    <w:qFormat/>
    <w:uiPriority w:val="0"/>
    <w:pPr>
      <w:widowControl w:val="0"/>
      <w:autoSpaceDE w:val="0"/>
      <w:autoSpaceDN w:val="0"/>
      <w:adjustRightInd w:val="0"/>
    </w:pPr>
    <w:rPr>
      <w:rFonts w:ascii="楷体_GB2312" w:hAnsi="Times New Roman" w:eastAsia="楷体_GB2312" w:cs="Times New Roman"/>
      <w:color w:val="000000"/>
      <w:sz w:val="24"/>
      <w:lang w:val="en-US" w:eastAsia="zh-CN" w:bidi="ar-SA"/>
    </w:rPr>
  </w:style>
  <w:style w:type="character" w:customStyle="1" w:styleId="28">
    <w:name w:val="标题 1 Char"/>
    <w:basedOn w:val="14"/>
    <w:link w:val="2"/>
    <w:qFormat/>
    <w:uiPriority w:val="9"/>
    <w:rPr>
      <w:rFonts w:ascii="Times New Roman" w:hAnsi="Times New Roman" w:eastAsia="宋体" w:cs="Times New Roman"/>
      <w:b/>
      <w:bCs/>
      <w:kern w:val="44"/>
      <w:sz w:val="44"/>
      <w:szCs w:val="44"/>
    </w:rPr>
  </w:style>
  <w:style w:type="character" w:customStyle="1" w:styleId="29">
    <w:name w:val="标题 2 Char"/>
    <w:basedOn w:val="14"/>
    <w:link w:val="3"/>
    <w:qFormat/>
    <w:uiPriority w:val="0"/>
    <w:rPr>
      <w:rFonts w:ascii="Arial" w:hAnsi="Arial" w:eastAsia="黑体" w:cs="Arial"/>
      <w:b/>
      <w:bCs/>
      <w:sz w:val="32"/>
      <w:szCs w:val="32"/>
    </w:rPr>
  </w:style>
  <w:style w:type="character" w:customStyle="1" w:styleId="30">
    <w:name w:val="纯文本 Char"/>
    <w:basedOn w:val="14"/>
    <w:link w:val="6"/>
    <w:qFormat/>
    <w:uiPriority w:val="0"/>
    <w:rPr>
      <w:rFonts w:ascii="宋体" w:hAnsi="Courier New"/>
    </w:rPr>
  </w:style>
  <w:style w:type="character" w:customStyle="1" w:styleId="31">
    <w:name w:val="页眉 Char"/>
    <w:basedOn w:val="14"/>
    <w:link w:val="9"/>
    <w:semiHidden/>
    <w:qFormat/>
    <w:uiPriority w:val="99"/>
    <w:rPr>
      <w:rFonts w:ascii="Times New Roman" w:hAnsi="Times New Roman" w:eastAsia="宋体" w:cs="Times New Roman"/>
      <w:sz w:val="18"/>
      <w:szCs w:val="18"/>
    </w:rPr>
  </w:style>
  <w:style w:type="character" w:customStyle="1" w:styleId="32">
    <w:name w:val="页脚 Char"/>
    <w:basedOn w:val="14"/>
    <w:link w:val="8"/>
    <w:semiHidden/>
    <w:qFormat/>
    <w:uiPriority w:val="99"/>
    <w:rPr>
      <w:rFonts w:ascii="Times New Roman" w:hAnsi="Times New Roman" w:eastAsia="宋体" w:cs="Times New Roman"/>
      <w:sz w:val="18"/>
      <w:szCs w:val="18"/>
    </w:rPr>
  </w:style>
  <w:style w:type="paragraph" w:styleId="33">
    <w:name w:val="List Paragraph"/>
    <w:basedOn w:val="1"/>
    <w:link w:val="34"/>
    <w:qFormat/>
    <w:uiPriority w:val="0"/>
    <w:pPr>
      <w:ind w:firstLine="420" w:firstLineChars="200"/>
    </w:pPr>
  </w:style>
  <w:style w:type="character" w:customStyle="1" w:styleId="34">
    <w:name w:val="列出段落 Char"/>
    <w:link w:val="33"/>
    <w:qFormat/>
    <w:locked/>
    <w:uiPriority w:val="0"/>
    <w:rPr>
      <w:rFonts w:ascii="Times New Roman" w:hAnsi="Times New Roman" w:eastAsia="宋体" w:cs="Times New Roman"/>
      <w:szCs w:val="21"/>
    </w:rPr>
  </w:style>
  <w:style w:type="paragraph" w:customStyle="1" w:styleId="35">
    <w:name w:val="Table Paragraph"/>
    <w:basedOn w:val="1"/>
    <w:qFormat/>
    <w:uiPriority w:val="1"/>
    <w:rPr>
      <w:rFonts w:ascii="MS UI Gothic" w:hAnsi="MS UI Gothic" w:eastAsia="MS UI Gothic" w:cs="MS UI Gothic"/>
      <w:lang w:val="zh-CN" w:eastAsia="zh-CN" w:bidi="zh-CN"/>
    </w:rPr>
  </w:style>
  <w:style w:type="character" w:customStyle="1" w:styleId="36">
    <w:name w:val="font131"/>
    <w:basedOn w:val="14"/>
    <w:qFormat/>
    <w:uiPriority w:val="0"/>
    <w:rPr>
      <w:rFonts w:ascii="Arial" w:hAnsi="Arial" w:cs="Arial"/>
      <w:color w:val="000000"/>
      <w:sz w:val="18"/>
      <w:szCs w:val="18"/>
      <w:u w:val="none"/>
    </w:rPr>
  </w:style>
  <w:style w:type="character" w:customStyle="1" w:styleId="37">
    <w:name w:val="font71"/>
    <w:basedOn w:val="14"/>
    <w:qFormat/>
    <w:uiPriority w:val="0"/>
    <w:rPr>
      <w:rFonts w:hint="eastAsia" w:ascii="宋体" w:hAnsi="宋体" w:eastAsia="宋体" w:cs="宋体"/>
      <w:color w:val="000000"/>
      <w:sz w:val="18"/>
      <w:szCs w:val="18"/>
      <w:u w:val="none"/>
    </w:rPr>
  </w:style>
  <w:style w:type="character" w:customStyle="1" w:styleId="38">
    <w:name w:val="font101"/>
    <w:basedOn w:val="14"/>
    <w:qFormat/>
    <w:uiPriority w:val="0"/>
    <w:rPr>
      <w:rFonts w:hint="eastAsia" w:ascii="宋体" w:hAnsi="宋体" w:eastAsia="宋体" w:cs="宋体"/>
      <w:color w:val="FF0000"/>
      <w:sz w:val="18"/>
      <w:szCs w:val="18"/>
      <w:u w:val="none"/>
    </w:rPr>
  </w:style>
  <w:style w:type="character" w:customStyle="1" w:styleId="39">
    <w:name w:val="font151"/>
    <w:basedOn w:val="14"/>
    <w:qFormat/>
    <w:uiPriority w:val="0"/>
    <w:rPr>
      <w:rFonts w:hint="eastAsia" w:ascii="宋体" w:hAnsi="宋体" w:eastAsia="宋体" w:cs="宋体"/>
      <w:color w:val="000000"/>
      <w:sz w:val="18"/>
      <w:szCs w:val="18"/>
      <w:u w:val="none"/>
    </w:rPr>
  </w:style>
  <w:style w:type="character" w:customStyle="1" w:styleId="40">
    <w:name w:val="layui-layer-tabnow"/>
    <w:basedOn w:val="14"/>
    <w:qFormat/>
    <w:uiPriority w:val="0"/>
    <w:rPr>
      <w:bdr w:val="single" w:color="CCCCCC" w:sz="6" w:space="0"/>
      <w:shd w:val="clear" w:fill="FFFFFF"/>
    </w:rPr>
  </w:style>
  <w:style w:type="character" w:customStyle="1" w:styleId="41">
    <w:name w:val="first-child"/>
    <w:basedOn w:val="14"/>
    <w:qFormat/>
    <w:uiPriority w:val="0"/>
  </w:style>
  <w:style w:type="character" w:customStyle="1" w:styleId="42">
    <w:name w:val="layui-this2"/>
    <w:basedOn w:val="14"/>
    <w:qFormat/>
    <w:uiPriority w:val="0"/>
    <w:rPr>
      <w:bdr w:val="single" w:color="EEEEEE" w:sz="6" w:space="0"/>
      <w:shd w:val="clear" w:fill="FFFFFF"/>
    </w:rPr>
  </w:style>
  <w:style w:type="character" w:customStyle="1" w:styleId="43">
    <w:name w:val="layui-this"/>
    <w:basedOn w:val="14"/>
    <w:qFormat/>
    <w:uiPriority w:val="0"/>
    <w:rPr>
      <w:bdr w:val="single" w:color="EEEEEE" w:sz="6" w:space="0"/>
      <w:shd w:val="clear" w:fill="FFFFFF"/>
    </w:rPr>
  </w:style>
  <w:style w:type="character" w:customStyle="1" w:styleId="44">
    <w:name w:val="font81"/>
    <w:qFormat/>
    <w:uiPriority w:val="0"/>
    <w:rPr>
      <w:rFonts w:hint="default" w:ascii="等线" w:hAnsi="等线" w:eastAsia="等线" w:cs="等线"/>
      <w:color w:val="000000"/>
      <w:sz w:val="20"/>
      <w:szCs w:val="20"/>
      <w:u w:val="none"/>
    </w:rPr>
  </w:style>
  <w:style w:type="character" w:customStyle="1" w:styleId="45">
    <w:name w:val="font141"/>
    <w:qFormat/>
    <w:uiPriority w:val="0"/>
    <w:rPr>
      <w:rFonts w:hint="eastAsia" w:ascii="宋体" w:hAnsi="宋体" w:eastAsia="宋体" w:cs="宋体"/>
      <w:color w:val="C00000"/>
      <w:sz w:val="18"/>
      <w:szCs w:val="18"/>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4571</Words>
  <Characters>5643</Characters>
  <Lines>35</Lines>
  <Paragraphs>9</Paragraphs>
  <TotalTime>28</TotalTime>
  <ScaleCrop>false</ScaleCrop>
  <LinksUpToDate>false</LinksUpToDate>
  <CharactersWithSpaces>5722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2020-06-08T02:49:00Z</dcterms:created>
  <dc:creator>AutoBVT</dc:creator>
  <cp:lastModifiedBy>WPS_1178221026</cp:lastModifiedBy>
  <dcterms:modified xsi:type="dcterms:W3CDTF">2026-06-02T09:26:31Z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866C10CB4F894FAF833168CB118D5029</vt:lpwstr>
  </property>
  <property fmtid="{D5CDD505-2E9C-101B-9397-08002B2CF9AE}" pid="4" name="KSOTemplateDocerSaveRecord">
    <vt:lpwstr>eyJoZGlkIjoiNGVkODkzNTk4YjAyNDg5YjQ2NDAwZGQwNjU5ZWZkMGIiLCJ1c2VySWQiOiIxMTc4MjIxMDI2In0=</vt:lpwstr>
  </property>
</Properties>
</file>