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2BCFF3">
      <w:pPr>
        <w:pStyle w:val="2"/>
        <w:kinsoku/>
        <w:rPr>
          <w:rFonts w:ascii="宋体" w:hAnsi="宋体" w:cs="宋体"/>
          <w:lang w:eastAsia="zh-CN"/>
        </w:rPr>
      </w:pPr>
      <w:r>
        <w:rPr>
          <w:rFonts w:hint="eastAsia" w:ascii="宋体" w:hAnsi="宋体" w:cs="宋体"/>
          <w:lang w:eastAsia="zh-CN"/>
        </w:rPr>
        <w:t>采购需求</w:t>
      </w:r>
    </w:p>
    <w:p w14:paraId="170DAF21">
      <w:pPr>
        <w:widowControl w:val="0"/>
        <w:kinsoku/>
        <w:spacing w:line="309" w:lineRule="auto"/>
        <w:rPr>
          <w:rFonts w:ascii="宋体" w:hAnsi="宋体" w:eastAsia="宋体" w:cs="宋体"/>
          <w:color w:val="auto"/>
          <w:lang w:eastAsia="zh-CN"/>
        </w:rPr>
      </w:pPr>
    </w:p>
    <w:p w14:paraId="3D9B9CF2">
      <w:pPr>
        <w:widowControl w:val="0"/>
        <w:kinsoku/>
        <w:spacing w:line="309" w:lineRule="auto"/>
        <w:rPr>
          <w:rFonts w:ascii="宋体" w:hAnsi="宋体" w:eastAsia="宋体" w:cs="宋体"/>
          <w:color w:val="auto"/>
          <w:lang w:eastAsia="zh-CN"/>
        </w:rPr>
      </w:pPr>
    </w:p>
    <w:p w14:paraId="55327C6D">
      <w:pPr>
        <w:keepNext/>
        <w:keepLines/>
        <w:widowControl w:val="0"/>
        <w:spacing w:line="500" w:lineRule="exact"/>
        <w:jc w:val="center"/>
        <w:outlineLvl w:val="1"/>
        <w:rPr>
          <w:rFonts w:ascii="宋体" w:hAnsi="宋体" w:eastAsia="宋体" w:cs="宋体"/>
          <w:b/>
          <w:bCs/>
          <w:sz w:val="28"/>
          <w:szCs w:val="28"/>
          <w:lang w:eastAsia="zh-CN"/>
        </w:rPr>
      </w:pPr>
      <w:bookmarkStart w:id="0" w:name="_Toc7721"/>
      <w:bookmarkStart w:id="1" w:name="_Toc3036"/>
      <w:bookmarkStart w:id="2" w:name="_Toc3982"/>
      <w:bookmarkStart w:id="3" w:name="_Toc31111"/>
      <w:bookmarkStart w:id="4" w:name="_Toc28313"/>
      <w:bookmarkStart w:id="5" w:name="_Toc16333"/>
      <w:bookmarkStart w:id="6" w:name="_Toc6437"/>
      <w:bookmarkStart w:id="7" w:name="_Toc31234"/>
      <w:bookmarkStart w:id="8" w:name="_Toc22565"/>
      <w:bookmarkStart w:id="9" w:name="_Toc13890"/>
      <w:r>
        <w:rPr>
          <w:rFonts w:hint="eastAsia" w:ascii="宋体" w:hAnsi="宋体" w:eastAsia="宋体" w:cs="宋体"/>
          <w:b/>
          <w:bCs/>
          <w:sz w:val="28"/>
          <w:szCs w:val="28"/>
          <w:lang w:eastAsia="zh-CN"/>
        </w:rPr>
        <w:t>一、标的清单</w:t>
      </w:r>
      <w:bookmarkEnd w:id="0"/>
      <w:bookmarkEnd w:id="1"/>
      <w:bookmarkEnd w:id="2"/>
      <w:bookmarkEnd w:id="3"/>
    </w:p>
    <w:tbl>
      <w:tblPr>
        <w:tblStyle w:val="7"/>
        <w:tblW w:w="95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4436"/>
        <w:gridCol w:w="995"/>
        <w:gridCol w:w="995"/>
        <w:gridCol w:w="2177"/>
      </w:tblGrid>
      <w:tr w14:paraId="06B01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46536C41">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bookmarkStart w:id="10" w:name="_Toc30591"/>
            <w:r>
              <w:rPr>
                <w:rFonts w:hint="eastAsia" w:ascii="宋体" w:hAnsi="宋体" w:eastAsia="宋体" w:cs="宋体"/>
                <w:b/>
                <w:bCs/>
                <w:color w:val="000000"/>
                <w:kern w:val="0"/>
                <w:sz w:val="24"/>
                <w:szCs w:val="24"/>
                <w:highlight w:val="none"/>
                <w:vertAlign w:val="baseline"/>
                <w:lang w:val="en-US" w:eastAsia="zh-CN" w:bidi="ar-SA"/>
              </w:rPr>
              <w:t>序号</w:t>
            </w:r>
            <w:bookmarkEnd w:id="10"/>
          </w:p>
        </w:tc>
        <w:tc>
          <w:tcPr>
            <w:tcW w:w="4436" w:type="dxa"/>
            <w:noWrap w:val="0"/>
            <w:vAlign w:val="center"/>
          </w:tcPr>
          <w:p w14:paraId="21A94362">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bookmarkStart w:id="11" w:name="_Toc4137"/>
            <w:r>
              <w:rPr>
                <w:rFonts w:hint="eastAsia" w:ascii="宋体" w:hAnsi="宋体" w:eastAsia="宋体" w:cs="宋体"/>
                <w:b/>
                <w:bCs/>
                <w:color w:val="000000"/>
                <w:kern w:val="0"/>
                <w:sz w:val="24"/>
                <w:szCs w:val="24"/>
                <w:highlight w:val="none"/>
                <w:vertAlign w:val="baseline"/>
                <w:lang w:val="en-US" w:eastAsia="zh-CN" w:bidi="ar-SA"/>
              </w:rPr>
              <w:t>采购标的名称</w:t>
            </w:r>
            <w:bookmarkEnd w:id="11"/>
          </w:p>
        </w:tc>
        <w:tc>
          <w:tcPr>
            <w:tcW w:w="995" w:type="dxa"/>
            <w:noWrap w:val="0"/>
            <w:vAlign w:val="center"/>
          </w:tcPr>
          <w:p w14:paraId="7A1AD71E">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bookmarkStart w:id="12" w:name="_Toc19481"/>
            <w:r>
              <w:rPr>
                <w:rFonts w:hint="eastAsia" w:ascii="宋体" w:hAnsi="宋体" w:eastAsia="宋体" w:cs="宋体"/>
                <w:b/>
                <w:bCs/>
                <w:color w:val="000000"/>
                <w:kern w:val="0"/>
                <w:sz w:val="24"/>
                <w:szCs w:val="24"/>
                <w:highlight w:val="none"/>
                <w:vertAlign w:val="baseline"/>
                <w:lang w:val="en-US" w:eastAsia="zh-CN" w:bidi="ar-SA"/>
              </w:rPr>
              <w:t>数量</w:t>
            </w:r>
            <w:bookmarkEnd w:id="12"/>
          </w:p>
        </w:tc>
        <w:tc>
          <w:tcPr>
            <w:tcW w:w="995" w:type="dxa"/>
            <w:noWrap w:val="0"/>
            <w:vAlign w:val="center"/>
          </w:tcPr>
          <w:p w14:paraId="001FBBC9">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bookmarkStart w:id="13" w:name="_Toc27318"/>
            <w:r>
              <w:rPr>
                <w:rFonts w:hint="eastAsia" w:ascii="宋体" w:hAnsi="宋体" w:eastAsia="宋体" w:cs="宋体"/>
                <w:b/>
                <w:bCs/>
                <w:color w:val="000000"/>
                <w:kern w:val="0"/>
                <w:sz w:val="24"/>
                <w:szCs w:val="24"/>
                <w:highlight w:val="none"/>
                <w:vertAlign w:val="baseline"/>
                <w:lang w:val="en-US" w:eastAsia="zh-CN" w:bidi="ar-SA"/>
              </w:rPr>
              <w:t>单位</w:t>
            </w:r>
            <w:bookmarkEnd w:id="13"/>
          </w:p>
        </w:tc>
        <w:tc>
          <w:tcPr>
            <w:tcW w:w="2177" w:type="dxa"/>
            <w:noWrap w:val="0"/>
            <w:vAlign w:val="center"/>
          </w:tcPr>
          <w:p w14:paraId="3604ABCF">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r>
              <w:rPr>
                <w:rFonts w:hint="eastAsia" w:ascii="宋体" w:hAnsi="宋体" w:eastAsia="宋体" w:cs="宋体"/>
                <w:b/>
                <w:bCs/>
                <w:color w:val="000000"/>
                <w:kern w:val="0"/>
                <w:sz w:val="24"/>
                <w:szCs w:val="24"/>
                <w:highlight w:val="none"/>
                <w:vertAlign w:val="baseline"/>
                <w:lang w:val="en-US" w:eastAsia="zh-CN" w:bidi="ar-SA"/>
              </w:rPr>
              <w:t>单价最高限价</w:t>
            </w:r>
          </w:p>
          <w:p w14:paraId="72AE2FA6">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bCs/>
                <w:color w:val="000000"/>
                <w:kern w:val="0"/>
                <w:sz w:val="24"/>
                <w:szCs w:val="24"/>
                <w:highlight w:val="none"/>
                <w:vertAlign w:val="baseline"/>
                <w:lang w:val="en-US" w:eastAsia="zh-CN" w:bidi="ar-SA"/>
              </w:rPr>
            </w:pPr>
            <w:r>
              <w:rPr>
                <w:rFonts w:hint="eastAsia" w:ascii="宋体" w:hAnsi="宋体" w:eastAsia="宋体" w:cs="宋体"/>
                <w:b/>
                <w:bCs/>
                <w:color w:val="000000"/>
                <w:kern w:val="0"/>
                <w:sz w:val="24"/>
                <w:szCs w:val="24"/>
                <w:highlight w:val="none"/>
                <w:vertAlign w:val="baseline"/>
                <w:lang w:val="en-US" w:eastAsia="zh-CN" w:bidi="ar-SA"/>
              </w:rPr>
              <w:t>（人民币/元）</w:t>
            </w:r>
          </w:p>
        </w:tc>
      </w:tr>
      <w:tr w14:paraId="17931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4F30502">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bookmarkStart w:id="14" w:name="_Toc7003"/>
            <w:r>
              <w:rPr>
                <w:rFonts w:hint="eastAsia" w:ascii="宋体" w:hAnsi="宋体" w:eastAsia="宋体" w:cs="宋体"/>
                <w:b w:val="0"/>
                <w:bCs w:val="0"/>
                <w:color w:val="000000"/>
                <w:kern w:val="0"/>
                <w:sz w:val="24"/>
                <w:szCs w:val="24"/>
                <w:highlight w:val="none"/>
                <w:vertAlign w:val="baseline"/>
                <w:lang w:val="en-US" w:eastAsia="zh-CN" w:bidi="ar-SA"/>
              </w:rPr>
              <w:t>1</w:t>
            </w:r>
            <w:bookmarkEnd w:id="14"/>
          </w:p>
        </w:tc>
        <w:tc>
          <w:tcPr>
            <w:tcW w:w="4436" w:type="dxa"/>
            <w:noWrap w:val="0"/>
            <w:vAlign w:val="center"/>
          </w:tcPr>
          <w:p w14:paraId="3A31B049">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2026年度大气环保技术服务项目</w:t>
            </w:r>
          </w:p>
        </w:tc>
        <w:tc>
          <w:tcPr>
            <w:tcW w:w="995" w:type="dxa"/>
            <w:noWrap w:val="0"/>
            <w:vAlign w:val="center"/>
          </w:tcPr>
          <w:p w14:paraId="233E2151">
            <w:pPr>
              <w:pageBreakBefore w:val="0"/>
              <w:kinsoku/>
              <w:wordWrap/>
              <w:overflowPunct/>
              <w:topLinePunct w:val="0"/>
              <w:bidi w:val="0"/>
              <w:spacing w:line="460" w:lineRule="exact"/>
              <w:jc w:val="center"/>
              <w:textAlignment w:val="baseline"/>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i w:val="0"/>
                <w:iCs w:val="0"/>
                <w:color w:val="auto"/>
                <w:sz w:val="24"/>
                <w:szCs w:val="24"/>
                <w:lang w:val="en-US" w:eastAsia="zh-CN"/>
              </w:rPr>
              <w:t>1</w:t>
            </w:r>
          </w:p>
        </w:tc>
        <w:tc>
          <w:tcPr>
            <w:tcW w:w="995" w:type="dxa"/>
            <w:noWrap w:val="0"/>
            <w:vAlign w:val="center"/>
          </w:tcPr>
          <w:p w14:paraId="04C306F7">
            <w:pPr>
              <w:pageBreakBefore w:val="0"/>
              <w:kinsoku/>
              <w:wordWrap/>
              <w:overflowPunct/>
              <w:topLinePunct w:val="0"/>
              <w:bidi w:val="0"/>
              <w:spacing w:line="460" w:lineRule="exact"/>
              <w:jc w:val="center"/>
              <w:textAlignment w:val="baseline"/>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i w:val="0"/>
                <w:iCs w:val="0"/>
                <w:color w:val="auto"/>
                <w:sz w:val="24"/>
                <w:szCs w:val="24"/>
                <w:lang w:val="en-US" w:eastAsia="zh-CN"/>
              </w:rPr>
              <w:t>项</w:t>
            </w:r>
          </w:p>
        </w:tc>
        <w:tc>
          <w:tcPr>
            <w:tcW w:w="2177" w:type="dxa"/>
            <w:noWrap w:val="0"/>
            <w:vAlign w:val="center"/>
          </w:tcPr>
          <w:p w14:paraId="0A13B4D6">
            <w:pPr>
              <w:pageBreakBefore w:val="0"/>
              <w:kinsoku/>
              <w:wordWrap/>
              <w:overflowPunct/>
              <w:topLinePunct w:val="0"/>
              <w:bidi w:val="0"/>
              <w:spacing w:line="460" w:lineRule="exact"/>
              <w:jc w:val="center"/>
              <w:textAlignment w:val="baseline"/>
              <w:rPr>
                <w:rFonts w:hint="eastAsia" w:ascii="宋体" w:hAnsi="宋体" w:eastAsia="宋体" w:cs="宋体"/>
                <w:b w:val="0"/>
                <w:bCs w:val="0"/>
                <w:i w:val="0"/>
                <w:iCs w:val="0"/>
                <w:color w:val="auto"/>
                <w:sz w:val="24"/>
                <w:szCs w:val="24"/>
                <w:lang w:val="en-US" w:eastAsia="zh-CN"/>
              </w:rPr>
            </w:pPr>
            <w:r>
              <w:rPr>
                <w:rFonts w:hint="eastAsia" w:ascii="宋体" w:hAnsi="宋体" w:eastAsia="宋体" w:cs="宋体"/>
                <w:b w:val="0"/>
                <w:bCs w:val="0"/>
                <w:i w:val="0"/>
                <w:iCs w:val="0"/>
                <w:color w:val="auto"/>
                <w:sz w:val="24"/>
                <w:szCs w:val="24"/>
                <w:lang w:val="en-US" w:eastAsia="zh-CN"/>
              </w:rPr>
              <w:t>/</w:t>
            </w:r>
          </w:p>
        </w:tc>
      </w:tr>
      <w:tr w14:paraId="731F2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59" w:type="dxa"/>
            <w:gridSpan w:val="5"/>
            <w:noWrap w:val="0"/>
            <w:vAlign w:val="center"/>
          </w:tcPr>
          <w:p w14:paraId="2309DF19">
            <w:pPr>
              <w:pageBreakBefore w:val="0"/>
              <w:kinsoku/>
              <w:wordWrap/>
              <w:overflowPunct/>
              <w:topLinePunct w:val="0"/>
              <w:bidi w:val="0"/>
              <w:spacing w:line="460" w:lineRule="exact"/>
              <w:jc w:val="both"/>
              <w:textAlignment w:val="baseline"/>
              <w:rPr>
                <w:rFonts w:hint="default" w:ascii="宋体" w:hAnsi="宋体" w:eastAsia="宋体" w:cs="宋体"/>
                <w:b w:val="0"/>
                <w:bCs w:val="0"/>
                <w:i w:val="0"/>
                <w:iCs w:val="0"/>
                <w:color w:val="auto"/>
                <w:sz w:val="24"/>
                <w:szCs w:val="24"/>
                <w:lang w:val="en-US" w:eastAsia="zh-CN"/>
              </w:rPr>
            </w:pPr>
            <w:r>
              <w:rPr>
                <w:rFonts w:hint="eastAsia" w:ascii="宋体" w:hAnsi="宋体" w:eastAsia="宋体" w:cs="宋体"/>
                <w:b w:val="0"/>
                <w:bCs w:val="0"/>
                <w:i w:val="0"/>
                <w:iCs w:val="0"/>
                <w:color w:val="auto"/>
                <w:sz w:val="24"/>
                <w:szCs w:val="24"/>
                <w:lang w:val="en-US" w:eastAsia="zh-CN"/>
              </w:rPr>
              <w:t>包含：</w:t>
            </w:r>
          </w:p>
        </w:tc>
      </w:tr>
      <w:tr w14:paraId="2C378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5F76C641">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1.1</w:t>
            </w:r>
          </w:p>
        </w:tc>
        <w:tc>
          <w:tcPr>
            <w:tcW w:w="4436" w:type="dxa"/>
            <w:noWrap w:val="0"/>
            <w:vAlign w:val="center"/>
          </w:tcPr>
          <w:p w14:paraId="7F482756">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微型监测站运维服务（PM</w:t>
            </w:r>
            <w:r>
              <w:rPr>
                <w:rFonts w:hint="eastAsia" w:ascii="宋体" w:hAnsi="宋体" w:eastAsia="宋体" w:cs="宋体"/>
                <w:color w:val="auto"/>
                <w:kern w:val="0"/>
                <w:sz w:val="24"/>
                <w:szCs w:val="24"/>
                <w:highlight w:val="none"/>
                <w:vertAlign w:val="subscript"/>
                <w:lang w:val="en-US" w:eastAsia="zh-CN"/>
              </w:rPr>
              <w:t>2.5</w:t>
            </w:r>
            <w:r>
              <w:rPr>
                <w:rFonts w:hint="eastAsia" w:ascii="宋体" w:hAnsi="宋体" w:eastAsia="宋体" w:cs="宋体"/>
                <w:color w:val="auto"/>
                <w:kern w:val="0"/>
                <w:sz w:val="24"/>
                <w:szCs w:val="24"/>
                <w:highlight w:val="none"/>
                <w:lang w:val="en-US" w:eastAsia="zh-CN"/>
              </w:rPr>
              <w:t>/PM</w:t>
            </w:r>
            <w:r>
              <w:rPr>
                <w:rFonts w:hint="eastAsia" w:ascii="宋体" w:hAnsi="宋体" w:eastAsia="宋体" w:cs="宋体"/>
                <w:color w:val="auto"/>
                <w:kern w:val="0"/>
                <w:sz w:val="24"/>
                <w:szCs w:val="24"/>
                <w:highlight w:val="none"/>
                <w:vertAlign w:val="subscript"/>
                <w:lang w:val="en-US" w:eastAsia="zh-CN"/>
              </w:rPr>
              <w:t>10</w:t>
            </w:r>
            <w:r>
              <w:rPr>
                <w:rFonts w:hint="eastAsia" w:ascii="宋体" w:hAnsi="宋体" w:eastAsia="宋体" w:cs="宋体"/>
                <w:color w:val="auto"/>
                <w:kern w:val="0"/>
                <w:sz w:val="24"/>
                <w:szCs w:val="24"/>
                <w:highlight w:val="none"/>
                <w:lang w:val="en-US" w:eastAsia="zh-CN"/>
              </w:rPr>
              <w:t>）</w:t>
            </w:r>
          </w:p>
        </w:tc>
        <w:tc>
          <w:tcPr>
            <w:tcW w:w="995" w:type="dxa"/>
            <w:noWrap w:val="0"/>
            <w:vAlign w:val="center"/>
          </w:tcPr>
          <w:p w14:paraId="5BB0E3E3">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42</w:t>
            </w:r>
          </w:p>
        </w:tc>
        <w:tc>
          <w:tcPr>
            <w:tcW w:w="995" w:type="dxa"/>
            <w:noWrap w:val="0"/>
            <w:vAlign w:val="center"/>
          </w:tcPr>
          <w:p w14:paraId="2632FBAB">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套/年</w:t>
            </w:r>
          </w:p>
        </w:tc>
        <w:tc>
          <w:tcPr>
            <w:tcW w:w="2177" w:type="dxa"/>
            <w:noWrap w:val="0"/>
            <w:vAlign w:val="center"/>
          </w:tcPr>
          <w:p w14:paraId="6A067242">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3500.00</w:t>
            </w:r>
          </w:p>
        </w:tc>
      </w:tr>
      <w:tr w14:paraId="40BF0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vMerge w:val="restart"/>
            <w:noWrap w:val="0"/>
            <w:vAlign w:val="center"/>
          </w:tcPr>
          <w:p w14:paraId="275F2A2D">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1.2</w:t>
            </w:r>
          </w:p>
        </w:tc>
        <w:tc>
          <w:tcPr>
            <w:tcW w:w="4436" w:type="dxa"/>
            <w:noWrap w:val="0"/>
            <w:vAlign w:val="center"/>
          </w:tcPr>
          <w:p w14:paraId="389935D9">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微型监测站监测服务（敏感点）</w:t>
            </w:r>
          </w:p>
          <w:p w14:paraId="50766A27">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（NO</w:t>
            </w:r>
            <w:r>
              <w:rPr>
                <w:rFonts w:hint="eastAsia" w:ascii="宋体" w:hAnsi="宋体" w:eastAsia="宋体" w:cs="宋体"/>
                <w:color w:val="auto"/>
                <w:kern w:val="0"/>
                <w:sz w:val="24"/>
                <w:szCs w:val="24"/>
                <w:highlight w:val="none"/>
                <w:vertAlign w:val="subscript"/>
                <w:lang w:val="en-US" w:eastAsia="zh-CN"/>
              </w:rPr>
              <w:t>2</w:t>
            </w:r>
            <w:r>
              <w:rPr>
                <w:rFonts w:hint="eastAsia" w:ascii="宋体" w:hAnsi="宋体" w:eastAsia="宋体" w:cs="宋体"/>
                <w:color w:val="auto"/>
                <w:kern w:val="0"/>
                <w:sz w:val="24"/>
                <w:szCs w:val="24"/>
                <w:highlight w:val="none"/>
                <w:lang w:val="en-US" w:eastAsia="zh-CN"/>
              </w:rPr>
              <w:t>/O</w:t>
            </w:r>
            <w:r>
              <w:rPr>
                <w:rFonts w:hint="eastAsia" w:ascii="宋体" w:hAnsi="宋体" w:eastAsia="宋体" w:cs="宋体"/>
                <w:color w:val="auto"/>
                <w:kern w:val="0"/>
                <w:sz w:val="24"/>
                <w:szCs w:val="24"/>
                <w:highlight w:val="none"/>
                <w:vertAlign w:val="subscript"/>
                <w:lang w:val="en-US" w:eastAsia="zh-CN"/>
              </w:rPr>
              <w:t>3</w:t>
            </w:r>
            <w:r>
              <w:rPr>
                <w:rFonts w:hint="eastAsia" w:ascii="宋体" w:hAnsi="宋体" w:eastAsia="宋体" w:cs="宋体"/>
                <w:color w:val="auto"/>
                <w:kern w:val="0"/>
                <w:sz w:val="24"/>
                <w:szCs w:val="24"/>
                <w:highlight w:val="none"/>
                <w:lang w:val="en-US" w:eastAsia="zh-CN"/>
              </w:rPr>
              <w:t>/CO）</w:t>
            </w:r>
          </w:p>
        </w:tc>
        <w:tc>
          <w:tcPr>
            <w:tcW w:w="995" w:type="dxa"/>
            <w:noWrap w:val="0"/>
            <w:vAlign w:val="center"/>
          </w:tcPr>
          <w:p w14:paraId="595D49D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4</w:t>
            </w:r>
          </w:p>
        </w:tc>
        <w:tc>
          <w:tcPr>
            <w:tcW w:w="995" w:type="dxa"/>
            <w:noWrap w:val="0"/>
            <w:vAlign w:val="center"/>
          </w:tcPr>
          <w:p w14:paraId="7225C257">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套/年</w:t>
            </w:r>
          </w:p>
        </w:tc>
        <w:tc>
          <w:tcPr>
            <w:tcW w:w="2177" w:type="dxa"/>
            <w:noWrap w:val="0"/>
            <w:vAlign w:val="center"/>
          </w:tcPr>
          <w:p w14:paraId="6347A4CB">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13000.00</w:t>
            </w:r>
          </w:p>
        </w:tc>
      </w:tr>
      <w:tr w14:paraId="4F184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vMerge w:val="continue"/>
            <w:noWrap w:val="0"/>
            <w:vAlign w:val="center"/>
          </w:tcPr>
          <w:p w14:paraId="05A10D17">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p>
        </w:tc>
        <w:tc>
          <w:tcPr>
            <w:tcW w:w="4436" w:type="dxa"/>
            <w:noWrap w:val="0"/>
            <w:vAlign w:val="center"/>
          </w:tcPr>
          <w:p w14:paraId="1135B98F">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微型监测站监测服务（重点源）</w:t>
            </w:r>
          </w:p>
          <w:p w14:paraId="3D29E61C">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（NO</w:t>
            </w:r>
            <w:r>
              <w:rPr>
                <w:rFonts w:hint="eastAsia" w:ascii="宋体" w:hAnsi="宋体" w:eastAsia="宋体" w:cs="宋体"/>
                <w:color w:val="auto"/>
                <w:kern w:val="0"/>
                <w:sz w:val="24"/>
                <w:szCs w:val="24"/>
                <w:highlight w:val="none"/>
                <w:vertAlign w:val="subscript"/>
                <w:lang w:val="en-US" w:eastAsia="zh-CN"/>
              </w:rPr>
              <w:t>2</w:t>
            </w:r>
            <w:r>
              <w:rPr>
                <w:rFonts w:hint="eastAsia" w:ascii="宋体" w:hAnsi="宋体" w:eastAsia="宋体" w:cs="宋体"/>
                <w:color w:val="auto"/>
                <w:kern w:val="0"/>
                <w:sz w:val="24"/>
                <w:szCs w:val="24"/>
                <w:highlight w:val="none"/>
                <w:lang w:val="en-US" w:eastAsia="zh-CN"/>
              </w:rPr>
              <w:t>/TVOC）</w:t>
            </w:r>
          </w:p>
        </w:tc>
        <w:tc>
          <w:tcPr>
            <w:tcW w:w="995" w:type="dxa"/>
            <w:noWrap w:val="0"/>
            <w:vAlign w:val="center"/>
          </w:tcPr>
          <w:p w14:paraId="3BFF395B">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4</w:t>
            </w:r>
          </w:p>
        </w:tc>
        <w:tc>
          <w:tcPr>
            <w:tcW w:w="995" w:type="dxa"/>
            <w:noWrap w:val="0"/>
            <w:vAlign w:val="center"/>
          </w:tcPr>
          <w:p w14:paraId="26B96872">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套/年</w:t>
            </w:r>
          </w:p>
        </w:tc>
        <w:tc>
          <w:tcPr>
            <w:tcW w:w="2177" w:type="dxa"/>
            <w:noWrap w:val="0"/>
            <w:vAlign w:val="center"/>
          </w:tcPr>
          <w:p w14:paraId="3C29DDE3">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11000.00</w:t>
            </w:r>
          </w:p>
        </w:tc>
      </w:tr>
      <w:tr w14:paraId="52B3E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8D8299E">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1.3</w:t>
            </w:r>
          </w:p>
        </w:tc>
        <w:tc>
          <w:tcPr>
            <w:tcW w:w="4436" w:type="dxa"/>
            <w:noWrap w:val="0"/>
            <w:vAlign w:val="center"/>
          </w:tcPr>
          <w:p w14:paraId="4A8879EC">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便携空气质量监测服务</w:t>
            </w:r>
          </w:p>
        </w:tc>
        <w:tc>
          <w:tcPr>
            <w:tcW w:w="995" w:type="dxa"/>
            <w:noWrap w:val="0"/>
            <w:vAlign w:val="center"/>
          </w:tcPr>
          <w:p w14:paraId="2EBF5495">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0B42E7EB">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70F033DB">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60000.00</w:t>
            </w:r>
          </w:p>
        </w:tc>
      </w:tr>
      <w:tr w14:paraId="5A14F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A0D82AA">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1.4</w:t>
            </w:r>
          </w:p>
        </w:tc>
        <w:tc>
          <w:tcPr>
            <w:tcW w:w="4436" w:type="dxa"/>
            <w:noWrap w:val="0"/>
            <w:vAlign w:val="center"/>
          </w:tcPr>
          <w:p w14:paraId="488CDD8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便携</w:t>
            </w:r>
            <w:r>
              <w:rPr>
                <w:rFonts w:hint="eastAsia" w:ascii="宋体" w:hAnsi="宋体" w:eastAsia="宋体" w:cs="宋体"/>
                <w:color w:val="auto"/>
                <w:sz w:val="24"/>
                <w:szCs w:val="24"/>
                <w:highlight w:val="none"/>
                <w:lang w:eastAsia="zh-CN"/>
              </w:rPr>
              <w:t>餐饮油烟检测服务</w:t>
            </w:r>
          </w:p>
        </w:tc>
        <w:tc>
          <w:tcPr>
            <w:tcW w:w="995" w:type="dxa"/>
            <w:noWrap w:val="0"/>
            <w:vAlign w:val="center"/>
          </w:tcPr>
          <w:p w14:paraId="6ADD37F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212AD909">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3720080A">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28000</w:t>
            </w:r>
            <w:r>
              <w:rPr>
                <w:rFonts w:hint="eastAsia" w:ascii="宋体" w:hAnsi="宋体" w:eastAsia="宋体" w:cs="宋体"/>
                <w:i w:val="0"/>
                <w:iCs w:val="0"/>
                <w:color w:val="000000"/>
                <w:kern w:val="0"/>
                <w:sz w:val="24"/>
                <w:szCs w:val="24"/>
                <w:highlight w:val="none"/>
                <w:u w:val="none"/>
                <w:lang w:val="en-US" w:eastAsia="zh-CN" w:bidi="ar"/>
              </w:rPr>
              <w:t>.00</w:t>
            </w:r>
          </w:p>
        </w:tc>
      </w:tr>
      <w:tr w14:paraId="53357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6CE299D7">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1.5</w:t>
            </w:r>
          </w:p>
        </w:tc>
        <w:tc>
          <w:tcPr>
            <w:tcW w:w="4436" w:type="dxa"/>
            <w:noWrap w:val="0"/>
            <w:vAlign w:val="center"/>
          </w:tcPr>
          <w:p w14:paraId="29361534">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手持式VOC检测服务</w:t>
            </w:r>
          </w:p>
        </w:tc>
        <w:tc>
          <w:tcPr>
            <w:tcW w:w="995" w:type="dxa"/>
            <w:noWrap w:val="0"/>
            <w:vAlign w:val="center"/>
          </w:tcPr>
          <w:p w14:paraId="719E5845">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6690136D">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7D545D7A">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12000.00</w:t>
            </w:r>
          </w:p>
        </w:tc>
      </w:tr>
      <w:tr w14:paraId="04B9F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CEC3577">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1.6</w:t>
            </w:r>
          </w:p>
        </w:tc>
        <w:tc>
          <w:tcPr>
            <w:tcW w:w="4436" w:type="dxa"/>
            <w:noWrap w:val="0"/>
            <w:vAlign w:val="center"/>
          </w:tcPr>
          <w:p w14:paraId="47BF494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便携式恶臭监测服务</w:t>
            </w:r>
          </w:p>
        </w:tc>
        <w:tc>
          <w:tcPr>
            <w:tcW w:w="995" w:type="dxa"/>
            <w:noWrap w:val="0"/>
            <w:vAlign w:val="center"/>
          </w:tcPr>
          <w:p w14:paraId="273C056C">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6D68A823">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06AB5812">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60000.00</w:t>
            </w:r>
          </w:p>
        </w:tc>
      </w:tr>
      <w:tr w14:paraId="6D3B0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F739367">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1.7</w:t>
            </w:r>
          </w:p>
        </w:tc>
        <w:tc>
          <w:tcPr>
            <w:tcW w:w="4436" w:type="dxa"/>
            <w:noWrap w:val="0"/>
            <w:vAlign w:val="center"/>
          </w:tcPr>
          <w:p w14:paraId="3EC273CB">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非道路移动机械及柴油货车检测服务</w:t>
            </w:r>
          </w:p>
        </w:tc>
        <w:tc>
          <w:tcPr>
            <w:tcW w:w="995" w:type="dxa"/>
            <w:noWrap w:val="0"/>
            <w:vAlign w:val="center"/>
          </w:tcPr>
          <w:p w14:paraId="5D2C1B30">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53261C40">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72E3FE14">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20000</w:t>
            </w:r>
            <w:r>
              <w:rPr>
                <w:rFonts w:hint="eastAsia" w:ascii="宋体" w:hAnsi="宋体" w:eastAsia="宋体" w:cs="宋体"/>
                <w:i w:val="0"/>
                <w:iCs w:val="0"/>
                <w:color w:val="000000"/>
                <w:kern w:val="0"/>
                <w:sz w:val="24"/>
                <w:szCs w:val="24"/>
                <w:highlight w:val="none"/>
                <w:u w:val="none"/>
                <w:lang w:val="en-US" w:eastAsia="zh-CN" w:bidi="ar"/>
              </w:rPr>
              <w:t>.00</w:t>
            </w:r>
          </w:p>
        </w:tc>
      </w:tr>
      <w:tr w14:paraId="558CF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011A8095">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1.8</w:t>
            </w:r>
          </w:p>
        </w:tc>
        <w:tc>
          <w:tcPr>
            <w:tcW w:w="4436" w:type="dxa"/>
            <w:noWrap w:val="0"/>
            <w:vAlign w:val="center"/>
          </w:tcPr>
          <w:p w14:paraId="3C34D160">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高空瞭望监测服务</w:t>
            </w:r>
          </w:p>
        </w:tc>
        <w:tc>
          <w:tcPr>
            <w:tcW w:w="995" w:type="dxa"/>
            <w:noWrap w:val="0"/>
            <w:vAlign w:val="center"/>
          </w:tcPr>
          <w:p w14:paraId="6A1DA786">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4</w:t>
            </w:r>
          </w:p>
        </w:tc>
        <w:tc>
          <w:tcPr>
            <w:tcW w:w="995" w:type="dxa"/>
            <w:noWrap w:val="0"/>
            <w:vAlign w:val="center"/>
          </w:tcPr>
          <w:p w14:paraId="68E5E2D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套/年</w:t>
            </w:r>
          </w:p>
        </w:tc>
        <w:tc>
          <w:tcPr>
            <w:tcW w:w="2177" w:type="dxa"/>
            <w:noWrap w:val="0"/>
            <w:vAlign w:val="center"/>
          </w:tcPr>
          <w:p w14:paraId="6EB7A0C8">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40000.00</w:t>
            </w:r>
          </w:p>
        </w:tc>
      </w:tr>
      <w:tr w14:paraId="63CC9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74BEB4EE">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1.9</w:t>
            </w:r>
          </w:p>
        </w:tc>
        <w:tc>
          <w:tcPr>
            <w:tcW w:w="4436" w:type="dxa"/>
            <w:noWrap w:val="0"/>
            <w:vAlign w:val="center"/>
          </w:tcPr>
          <w:p w14:paraId="44F83787">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道路积尘负荷走航监测服务</w:t>
            </w:r>
          </w:p>
        </w:tc>
        <w:tc>
          <w:tcPr>
            <w:tcW w:w="995" w:type="dxa"/>
            <w:noWrap w:val="0"/>
            <w:vAlign w:val="center"/>
          </w:tcPr>
          <w:p w14:paraId="3523883E">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6</w:t>
            </w:r>
          </w:p>
        </w:tc>
        <w:tc>
          <w:tcPr>
            <w:tcW w:w="995" w:type="dxa"/>
            <w:noWrap w:val="0"/>
            <w:vAlign w:val="center"/>
          </w:tcPr>
          <w:p w14:paraId="0344A51C">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次</w:t>
            </w:r>
            <w:r>
              <w:rPr>
                <w:rFonts w:hint="eastAsia" w:ascii="宋体" w:hAnsi="宋体" w:eastAsia="宋体" w:cs="宋体"/>
                <w:color w:val="auto"/>
                <w:sz w:val="24"/>
                <w:szCs w:val="24"/>
                <w:highlight w:val="none"/>
                <w:lang w:eastAsia="zh-CN"/>
              </w:rPr>
              <w:t>/年</w:t>
            </w:r>
          </w:p>
        </w:tc>
        <w:tc>
          <w:tcPr>
            <w:tcW w:w="2177" w:type="dxa"/>
            <w:noWrap w:val="0"/>
            <w:vAlign w:val="center"/>
          </w:tcPr>
          <w:p w14:paraId="7CC8652F">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15000.00</w:t>
            </w:r>
          </w:p>
        </w:tc>
      </w:tr>
      <w:tr w14:paraId="0DB36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2FE1136A">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1.10</w:t>
            </w:r>
          </w:p>
        </w:tc>
        <w:tc>
          <w:tcPr>
            <w:tcW w:w="4436" w:type="dxa"/>
            <w:noWrap w:val="0"/>
            <w:vAlign w:val="center"/>
          </w:tcPr>
          <w:p w14:paraId="16E39C39">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无人机巡查服务</w:t>
            </w:r>
          </w:p>
        </w:tc>
        <w:tc>
          <w:tcPr>
            <w:tcW w:w="995" w:type="dxa"/>
            <w:noWrap w:val="0"/>
            <w:vAlign w:val="center"/>
          </w:tcPr>
          <w:p w14:paraId="145BEC5E">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313A1975">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1B421C80">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36000.00</w:t>
            </w:r>
          </w:p>
        </w:tc>
      </w:tr>
      <w:tr w14:paraId="54967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4F234613">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1.11</w:t>
            </w:r>
          </w:p>
        </w:tc>
        <w:tc>
          <w:tcPr>
            <w:tcW w:w="4436" w:type="dxa"/>
            <w:noWrap w:val="0"/>
            <w:vAlign w:val="center"/>
          </w:tcPr>
          <w:p w14:paraId="29D51AAD">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专业技术服务</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lang w:eastAsia="zh-CN"/>
              </w:rPr>
              <w:t>数据分析报告</w:t>
            </w:r>
          </w:p>
        </w:tc>
        <w:tc>
          <w:tcPr>
            <w:tcW w:w="995" w:type="dxa"/>
            <w:noWrap w:val="0"/>
            <w:vAlign w:val="center"/>
          </w:tcPr>
          <w:p w14:paraId="21AD9719">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27B02DB7">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年</w:t>
            </w:r>
          </w:p>
        </w:tc>
        <w:tc>
          <w:tcPr>
            <w:tcW w:w="2177" w:type="dxa"/>
            <w:noWrap w:val="0"/>
            <w:vAlign w:val="center"/>
          </w:tcPr>
          <w:p w14:paraId="1CD57F34">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890000</w:t>
            </w:r>
            <w:r>
              <w:rPr>
                <w:rFonts w:hint="eastAsia" w:ascii="宋体" w:hAnsi="宋体" w:eastAsia="宋体" w:cs="宋体"/>
                <w:i w:val="0"/>
                <w:iCs w:val="0"/>
                <w:color w:val="000000"/>
                <w:kern w:val="0"/>
                <w:sz w:val="24"/>
                <w:szCs w:val="24"/>
                <w:highlight w:val="none"/>
                <w:u w:val="none"/>
                <w:lang w:val="en-US" w:eastAsia="zh-CN" w:bidi="ar"/>
              </w:rPr>
              <w:t>.00</w:t>
            </w:r>
          </w:p>
        </w:tc>
      </w:tr>
      <w:tr w14:paraId="7570A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0F873338">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1.12</w:t>
            </w:r>
          </w:p>
        </w:tc>
        <w:tc>
          <w:tcPr>
            <w:tcW w:w="4436" w:type="dxa"/>
            <w:noWrap w:val="0"/>
            <w:vAlign w:val="center"/>
          </w:tcPr>
          <w:p w14:paraId="7E0FCAA3">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涉气企业帮扶指导服务</w:t>
            </w:r>
          </w:p>
        </w:tc>
        <w:tc>
          <w:tcPr>
            <w:tcW w:w="995" w:type="dxa"/>
            <w:noWrap w:val="0"/>
            <w:vAlign w:val="center"/>
          </w:tcPr>
          <w:p w14:paraId="29175FB3">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17C87362">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项</w:t>
            </w:r>
          </w:p>
        </w:tc>
        <w:tc>
          <w:tcPr>
            <w:tcW w:w="2177" w:type="dxa"/>
            <w:noWrap w:val="0"/>
            <w:vAlign w:val="center"/>
          </w:tcPr>
          <w:p w14:paraId="10151DAC">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40000.00</w:t>
            </w:r>
          </w:p>
        </w:tc>
      </w:tr>
      <w:tr w14:paraId="66820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6EF364A8">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000000"/>
                <w:kern w:val="0"/>
                <w:sz w:val="24"/>
                <w:szCs w:val="24"/>
                <w:highlight w:val="none"/>
                <w:vertAlign w:val="baseline"/>
                <w:lang w:val="en-US" w:eastAsia="zh-CN" w:bidi="ar-SA"/>
              </w:rPr>
            </w:pPr>
            <w:r>
              <w:rPr>
                <w:rFonts w:hint="eastAsia" w:ascii="宋体" w:hAnsi="宋体" w:eastAsia="宋体" w:cs="宋体"/>
                <w:b w:val="0"/>
                <w:bCs w:val="0"/>
                <w:color w:val="000000"/>
                <w:kern w:val="0"/>
                <w:sz w:val="24"/>
                <w:szCs w:val="24"/>
                <w:highlight w:val="none"/>
                <w:vertAlign w:val="baseline"/>
                <w:lang w:val="en-US" w:eastAsia="zh-CN" w:bidi="ar-SA"/>
              </w:rPr>
              <w:t>1.13</w:t>
            </w:r>
          </w:p>
        </w:tc>
        <w:tc>
          <w:tcPr>
            <w:tcW w:w="4436" w:type="dxa"/>
            <w:noWrap w:val="0"/>
            <w:vAlign w:val="center"/>
          </w:tcPr>
          <w:p w14:paraId="71F7E13F">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bookmarkStart w:id="15" w:name="_Toc13590"/>
            <w:r>
              <w:rPr>
                <w:rFonts w:hint="eastAsia" w:ascii="宋体" w:hAnsi="宋体" w:eastAsia="宋体" w:cs="宋体"/>
                <w:color w:val="auto"/>
                <w:sz w:val="24"/>
                <w:szCs w:val="24"/>
                <w:highlight w:val="none"/>
                <w:lang w:val="en-US" w:eastAsia="zh-CN"/>
              </w:rPr>
              <w:t>大气污染源清单（含异味清单）</w:t>
            </w:r>
            <w:bookmarkEnd w:id="15"/>
            <w:r>
              <w:rPr>
                <w:rFonts w:hint="eastAsia" w:ascii="宋体" w:hAnsi="宋体" w:eastAsia="宋体" w:cs="宋体"/>
                <w:color w:val="auto"/>
                <w:sz w:val="24"/>
                <w:szCs w:val="24"/>
                <w:highlight w:val="none"/>
                <w:lang w:val="en-US" w:eastAsia="zh-CN"/>
              </w:rPr>
              <w:t>更新及相关服务</w:t>
            </w:r>
          </w:p>
        </w:tc>
        <w:tc>
          <w:tcPr>
            <w:tcW w:w="995" w:type="dxa"/>
            <w:noWrap w:val="0"/>
            <w:vAlign w:val="center"/>
          </w:tcPr>
          <w:p w14:paraId="1F490D6A">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53B0F59E">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5D7FDF02">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150000.00</w:t>
            </w:r>
          </w:p>
        </w:tc>
      </w:tr>
      <w:tr w14:paraId="0F69A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6A9693D2">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auto"/>
                <w:kern w:val="0"/>
                <w:sz w:val="24"/>
                <w:szCs w:val="24"/>
                <w:highlight w:val="none"/>
                <w:vertAlign w:val="baseline"/>
                <w:lang w:val="en-US" w:eastAsia="zh-CN" w:bidi="ar-SA"/>
              </w:rPr>
            </w:pPr>
            <w:r>
              <w:rPr>
                <w:rFonts w:hint="eastAsia" w:ascii="宋体" w:hAnsi="宋体" w:eastAsia="宋体" w:cs="宋体"/>
                <w:b w:val="0"/>
                <w:bCs w:val="0"/>
                <w:color w:val="auto"/>
                <w:kern w:val="0"/>
                <w:sz w:val="24"/>
                <w:szCs w:val="24"/>
                <w:highlight w:val="none"/>
                <w:vertAlign w:val="baseline"/>
                <w:lang w:val="en-US" w:eastAsia="zh-CN" w:bidi="ar-SA"/>
              </w:rPr>
              <w:t>1.14</w:t>
            </w:r>
          </w:p>
        </w:tc>
        <w:tc>
          <w:tcPr>
            <w:tcW w:w="4436" w:type="dxa"/>
            <w:noWrap w:val="0"/>
            <w:vAlign w:val="center"/>
          </w:tcPr>
          <w:p w14:paraId="3C605B08">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w:t>
            </w:r>
            <w:r>
              <w:rPr>
                <w:rFonts w:hint="eastAsia" w:ascii="宋体" w:hAnsi="宋体" w:eastAsia="宋体" w:cs="宋体"/>
                <w:b w:val="0"/>
                <w:bCs w:val="0"/>
                <w:color w:val="auto"/>
                <w:sz w:val="24"/>
                <w:szCs w:val="24"/>
                <w:highlight w:val="none"/>
                <w:lang w:val="en-US" w:eastAsia="zh-CN"/>
              </w:rPr>
              <w:t>涉气企业现场管理手册</w:t>
            </w:r>
            <w:r>
              <w:rPr>
                <w:rFonts w:hint="eastAsia" w:ascii="宋体" w:hAnsi="宋体" w:eastAsia="宋体" w:cs="宋体"/>
                <w:color w:val="auto"/>
                <w:sz w:val="24"/>
                <w:szCs w:val="24"/>
                <w:highlight w:val="none"/>
                <w:lang w:val="en-US" w:eastAsia="zh-CN"/>
              </w:rPr>
              <w:t>》</w:t>
            </w:r>
            <w:r>
              <w:rPr>
                <w:rFonts w:hint="eastAsia" w:ascii="宋体" w:hAnsi="宋体" w:eastAsia="宋体" w:cs="宋体"/>
                <w:b w:val="0"/>
                <w:bCs w:val="0"/>
                <w:color w:val="auto"/>
                <w:sz w:val="24"/>
                <w:szCs w:val="24"/>
                <w:highlight w:val="none"/>
                <w:lang w:val="en-US" w:eastAsia="zh-CN"/>
              </w:rPr>
              <w:t>更新及相关服务</w:t>
            </w:r>
          </w:p>
        </w:tc>
        <w:tc>
          <w:tcPr>
            <w:tcW w:w="995" w:type="dxa"/>
            <w:noWrap w:val="0"/>
            <w:vAlign w:val="center"/>
          </w:tcPr>
          <w:p w14:paraId="6F7E83D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5B37F48A">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年</w:t>
            </w:r>
          </w:p>
        </w:tc>
        <w:tc>
          <w:tcPr>
            <w:tcW w:w="2177" w:type="dxa"/>
            <w:noWrap w:val="0"/>
            <w:vAlign w:val="center"/>
          </w:tcPr>
          <w:p w14:paraId="609E3D71">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115000.00</w:t>
            </w:r>
          </w:p>
        </w:tc>
      </w:tr>
      <w:tr w14:paraId="131D2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368FFE1B">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color w:val="auto"/>
                <w:kern w:val="0"/>
                <w:sz w:val="24"/>
                <w:szCs w:val="24"/>
                <w:highlight w:val="none"/>
                <w:vertAlign w:val="baseline"/>
                <w:lang w:val="en-US" w:eastAsia="zh-CN" w:bidi="ar-SA"/>
              </w:rPr>
            </w:pPr>
            <w:r>
              <w:rPr>
                <w:rFonts w:hint="eastAsia" w:ascii="宋体" w:hAnsi="宋体" w:eastAsia="宋体" w:cs="宋体"/>
                <w:b w:val="0"/>
                <w:bCs w:val="0"/>
                <w:color w:val="auto"/>
                <w:kern w:val="0"/>
                <w:sz w:val="24"/>
                <w:szCs w:val="24"/>
                <w:highlight w:val="none"/>
                <w:vertAlign w:val="baseline"/>
                <w:lang w:val="en-US" w:eastAsia="zh-CN" w:bidi="ar-SA"/>
              </w:rPr>
              <w:t>1.15</w:t>
            </w:r>
          </w:p>
        </w:tc>
        <w:tc>
          <w:tcPr>
            <w:tcW w:w="4436" w:type="dxa"/>
            <w:noWrap w:val="0"/>
            <w:vAlign w:val="center"/>
          </w:tcPr>
          <w:p w14:paraId="6D953342">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技术培训、专家研讨及宣传</w:t>
            </w:r>
          </w:p>
        </w:tc>
        <w:tc>
          <w:tcPr>
            <w:tcW w:w="995" w:type="dxa"/>
            <w:noWrap w:val="0"/>
            <w:vAlign w:val="center"/>
          </w:tcPr>
          <w:p w14:paraId="66FE4B2D">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1651CF71">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项</w:t>
            </w:r>
          </w:p>
        </w:tc>
        <w:tc>
          <w:tcPr>
            <w:tcW w:w="2177" w:type="dxa"/>
            <w:noWrap w:val="0"/>
            <w:vAlign w:val="center"/>
          </w:tcPr>
          <w:p w14:paraId="34A9787E">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36000.00</w:t>
            </w:r>
          </w:p>
        </w:tc>
      </w:tr>
      <w:tr w14:paraId="79048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noWrap w:val="0"/>
            <w:vAlign w:val="center"/>
          </w:tcPr>
          <w:p w14:paraId="152440C3">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default" w:ascii="宋体" w:hAnsi="宋体" w:eastAsia="宋体" w:cs="宋体"/>
                <w:b w:val="0"/>
                <w:bCs w:val="0"/>
                <w:color w:val="auto"/>
                <w:kern w:val="0"/>
                <w:sz w:val="24"/>
                <w:szCs w:val="24"/>
                <w:highlight w:val="none"/>
                <w:vertAlign w:val="baseline"/>
                <w:lang w:val="en-US" w:eastAsia="zh-CN" w:bidi="ar-SA"/>
              </w:rPr>
            </w:pPr>
            <w:r>
              <w:rPr>
                <w:rFonts w:hint="eastAsia" w:ascii="宋体" w:hAnsi="宋体" w:eastAsia="宋体" w:cs="宋体"/>
                <w:b w:val="0"/>
                <w:bCs w:val="0"/>
                <w:color w:val="auto"/>
                <w:kern w:val="0"/>
                <w:sz w:val="24"/>
                <w:szCs w:val="24"/>
                <w:highlight w:val="none"/>
                <w:vertAlign w:val="baseline"/>
                <w:lang w:val="en-US" w:eastAsia="zh-CN" w:bidi="ar-SA"/>
              </w:rPr>
              <w:t>1.16</w:t>
            </w:r>
          </w:p>
        </w:tc>
        <w:tc>
          <w:tcPr>
            <w:tcW w:w="4436" w:type="dxa"/>
            <w:noWrap w:val="0"/>
            <w:vAlign w:val="center"/>
          </w:tcPr>
          <w:p w14:paraId="08362963">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大气污染防治信息化服务</w:t>
            </w:r>
          </w:p>
        </w:tc>
        <w:tc>
          <w:tcPr>
            <w:tcW w:w="995" w:type="dxa"/>
            <w:noWrap w:val="0"/>
            <w:vAlign w:val="center"/>
          </w:tcPr>
          <w:p w14:paraId="3F38ADF9">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w:t>
            </w:r>
          </w:p>
        </w:tc>
        <w:tc>
          <w:tcPr>
            <w:tcW w:w="995" w:type="dxa"/>
            <w:noWrap w:val="0"/>
            <w:vAlign w:val="center"/>
          </w:tcPr>
          <w:p w14:paraId="380451C6">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项</w:t>
            </w:r>
          </w:p>
        </w:tc>
        <w:tc>
          <w:tcPr>
            <w:tcW w:w="2177" w:type="dxa"/>
            <w:noWrap w:val="0"/>
            <w:vAlign w:val="center"/>
          </w:tcPr>
          <w:p w14:paraId="7E06FB5D">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50000.00</w:t>
            </w:r>
          </w:p>
        </w:tc>
      </w:tr>
      <w:tr w14:paraId="19015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6" w:type="dxa"/>
            <w:shd w:val="clear" w:color="auto" w:fill="auto"/>
            <w:noWrap w:val="0"/>
            <w:vAlign w:val="center"/>
          </w:tcPr>
          <w:p w14:paraId="53486DA6">
            <w:pPr>
              <w:keepNext/>
              <w:keepLines/>
              <w:pageBreakBefore w:val="0"/>
              <w:widowControl w:val="0"/>
              <w:kinsoku w:val="0"/>
              <w:wordWrap/>
              <w:overflowPunct/>
              <w:topLinePunct w:val="0"/>
              <w:bidi w:val="0"/>
              <w:spacing w:before="0" w:after="0" w:line="460" w:lineRule="exact"/>
              <w:ind w:firstLine="0" w:firstLineChars="0"/>
              <w:jc w:val="center"/>
              <w:textAlignment w:val="baseline"/>
              <w:outlineLvl w:val="9"/>
              <w:rPr>
                <w:rFonts w:hint="eastAsia" w:ascii="宋体" w:hAnsi="宋体" w:eastAsia="宋体" w:cs="宋体"/>
                <w:b w:val="0"/>
                <w:bCs w:val="0"/>
                <w:snapToGrid w:val="0"/>
                <w:color w:val="auto"/>
                <w:kern w:val="0"/>
                <w:sz w:val="24"/>
                <w:szCs w:val="24"/>
                <w:highlight w:val="none"/>
                <w:vertAlign w:val="baseline"/>
                <w:lang w:val="en-US" w:eastAsia="zh-CN" w:bidi="ar-SA"/>
              </w:rPr>
            </w:pPr>
            <w:r>
              <w:rPr>
                <w:rFonts w:hint="eastAsia" w:ascii="宋体" w:hAnsi="宋体" w:eastAsia="宋体" w:cs="宋体"/>
                <w:b w:val="0"/>
                <w:bCs w:val="0"/>
                <w:color w:val="auto"/>
                <w:kern w:val="0"/>
                <w:sz w:val="24"/>
                <w:szCs w:val="24"/>
                <w:highlight w:val="none"/>
                <w:vertAlign w:val="baseline"/>
                <w:lang w:val="en-US" w:eastAsia="zh-CN" w:bidi="ar-SA"/>
              </w:rPr>
              <w:t>1.17</w:t>
            </w:r>
          </w:p>
        </w:tc>
        <w:tc>
          <w:tcPr>
            <w:tcW w:w="4436" w:type="dxa"/>
            <w:shd w:val="clear" w:color="auto" w:fill="auto"/>
            <w:noWrap w:val="0"/>
            <w:vAlign w:val="center"/>
          </w:tcPr>
          <w:p w14:paraId="7A438787">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val="0"/>
                <w:color w:val="auto"/>
                <w:spacing w:val="0"/>
                <w:sz w:val="24"/>
                <w:szCs w:val="24"/>
                <w:highlight w:val="none"/>
                <w:lang w:bidi="zh-CN"/>
              </w:rPr>
              <w:t>试点单元的允许排放量核算</w:t>
            </w:r>
            <w:r>
              <w:rPr>
                <w:rFonts w:hint="eastAsia" w:ascii="宋体" w:hAnsi="宋体" w:eastAsia="宋体" w:cs="宋体"/>
                <w:b w:val="0"/>
                <w:color w:val="auto"/>
                <w:spacing w:val="0"/>
                <w:sz w:val="24"/>
                <w:szCs w:val="24"/>
                <w:highlight w:val="none"/>
                <w:lang w:val="en-US" w:bidi="zh-CN"/>
              </w:rPr>
              <w:t>服务</w:t>
            </w:r>
          </w:p>
        </w:tc>
        <w:tc>
          <w:tcPr>
            <w:tcW w:w="995" w:type="dxa"/>
            <w:shd w:val="clear" w:color="auto" w:fill="auto"/>
            <w:noWrap w:val="0"/>
            <w:vAlign w:val="center"/>
          </w:tcPr>
          <w:p w14:paraId="519EE01A">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1</w:t>
            </w:r>
          </w:p>
        </w:tc>
        <w:tc>
          <w:tcPr>
            <w:tcW w:w="995" w:type="dxa"/>
            <w:shd w:val="clear" w:color="auto" w:fill="auto"/>
            <w:noWrap w:val="0"/>
            <w:vAlign w:val="center"/>
          </w:tcPr>
          <w:p w14:paraId="25D1A6CC">
            <w:pPr>
              <w:keepNext w:val="0"/>
              <w:keepLines w:val="0"/>
              <w:pageBreakBefore w:val="0"/>
              <w:widowControl/>
              <w:kinsoku/>
              <w:wordWrap/>
              <w:overflowPunct/>
              <w:topLinePunct w:val="0"/>
              <w:autoSpaceDE/>
              <w:autoSpaceDN/>
              <w:bidi w:val="0"/>
              <w:adjustRightInd/>
              <w:snapToGrid/>
              <w:spacing w:line="460" w:lineRule="exact"/>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项</w:t>
            </w:r>
          </w:p>
        </w:tc>
        <w:tc>
          <w:tcPr>
            <w:tcW w:w="2177" w:type="dxa"/>
            <w:shd w:val="clear" w:color="auto" w:fill="auto"/>
            <w:noWrap w:val="0"/>
            <w:vAlign w:val="center"/>
          </w:tcPr>
          <w:p w14:paraId="110B0EF7">
            <w:pPr>
              <w:keepNext w:val="0"/>
              <w:keepLines w:val="0"/>
              <w:pageBreakBefore w:val="0"/>
              <w:widowControl/>
              <w:suppressLineNumbers w:val="0"/>
              <w:kinsoku/>
              <w:wordWrap/>
              <w:overflowPunct/>
              <w:topLinePunct w:val="0"/>
              <w:autoSpaceDE/>
              <w:autoSpaceDN/>
              <w:bidi w:val="0"/>
              <w:adjustRightInd/>
              <w:snapToGrid/>
              <w:spacing w:line="460" w:lineRule="exact"/>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110000.00</w:t>
            </w:r>
          </w:p>
        </w:tc>
      </w:tr>
    </w:tbl>
    <w:p w14:paraId="604CAF39">
      <w:pPr>
        <w:rPr>
          <w:rFonts w:ascii="宋体" w:hAnsi="宋体" w:eastAsia="宋体" w:cs="宋体"/>
          <w:lang w:eastAsia="zh-CN"/>
        </w:rPr>
      </w:pPr>
      <w:r>
        <w:rPr>
          <w:rFonts w:hint="eastAsia" w:ascii="宋体" w:hAnsi="宋体" w:eastAsia="宋体" w:cs="宋体"/>
          <w:b/>
          <w:bCs w:val="0"/>
          <w:color w:val="auto"/>
          <w:kern w:val="0"/>
          <w:sz w:val="24"/>
          <w:szCs w:val="24"/>
          <w:highlight w:val="none"/>
          <w:lang w:val="en-US" w:eastAsia="zh-CN"/>
        </w:rPr>
        <w:t>注：投标人所报分项报价不得超过上述</w:t>
      </w:r>
      <w:r>
        <w:rPr>
          <w:rFonts w:hint="eastAsia" w:ascii="宋体" w:hAnsi="宋体" w:eastAsia="宋体" w:cs="宋体"/>
          <w:b/>
          <w:bCs/>
          <w:color w:val="auto"/>
          <w:kern w:val="0"/>
          <w:sz w:val="24"/>
          <w:szCs w:val="24"/>
          <w:highlight w:val="none"/>
          <w:vertAlign w:val="baseline"/>
          <w:lang w:val="en-US" w:eastAsia="zh-CN" w:bidi="ar-SA"/>
        </w:rPr>
        <w:t>单价最高限价，否则投标无效。</w:t>
      </w:r>
    </w:p>
    <w:p w14:paraId="36DB958E">
      <w:pPr>
        <w:rPr>
          <w:rFonts w:ascii="宋体" w:hAnsi="宋体" w:eastAsia="宋体" w:cs="宋体"/>
          <w:lang w:eastAsia="zh-CN"/>
        </w:rPr>
      </w:pPr>
    </w:p>
    <w:p w14:paraId="0244DED6">
      <w:pPr>
        <w:pStyle w:val="3"/>
        <w:jc w:val="center"/>
        <w:rPr>
          <w:rFonts w:cs="宋体"/>
          <w:szCs w:val="24"/>
        </w:rPr>
      </w:pPr>
      <w:bookmarkStart w:id="16" w:name="_Toc16045"/>
      <w:bookmarkStart w:id="17" w:name="_Toc31168"/>
      <w:r>
        <w:rPr>
          <w:rFonts w:hint="eastAsia" w:cs="宋体"/>
          <w:szCs w:val="24"/>
          <w:lang w:eastAsia="zh-CN"/>
        </w:rPr>
        <w:t>二</w:t>
      </w:r>
      <w:r>
        <w:rPr>
          <w:rFonts w:hint="eastAsia" w:cs="宋体"/>
          <w:szCs w:val="24"/>
        </w:rPr>
        <w:t>、技术要求</w:t>
      </w:r>
      <w:bookmarkEnd w:id="4"/>
      <w:bookmarkEnd w:id="5"/>
      <w:bookmarkEnd w:id="6"/>
      <w:bookmarkEnd w:id="7"/>
      <w:bookmarkEnd w:id="8"/>
      <w:bookmarkEnd w:id="9"/>
      <w:bookmarkEnd w:id="16"/>
      <w:bookmarkEnd w:id="17"/>
    </w:p>
    <w:p w14:paraId="5931FCAB">
      <w:pPr>
        <w:kinsoku/>
        <w:rPr>
          <w:rFonts w:ascii="宋体" w:hAnsi="宋体" w:eastAsia="宋体" w:cs="宋体"/>
        </w:rPr>
      </w:pPr>
    </w:p>
    <w:p w14:paraId="36E7813C">
      <w:pPr>
        <w:pStyle w:val="4"/>
        <w:keepNext w:val="0"/>
        <w:keepLines w:val="0"/>
        <w:pageBreakBefore w:val="0"/>
        <w:wordWrap/>
        <w:overflowPunct/>
        <w:topLinePunct w:val="0"/>
        <w:bidi w:val="0"/>
        <w:spacing w:line="460" w:lineRule="exact"/>
        <w:ind w:firstLine="482" w:firstLineChars="200"/>
        <w:rPr>
          <w:rFonts w:hint="eastAsia" w:ascii="宋体" w:hAnsi="宋体" w:eastAsia="宋体" w:cs="宋体"/>
          <w:b/>
          <w:color w:val="auto"/>
          <w:kern w:val="2"/>
          <w:sz w:val="24"/>
          <w:szCs w:val="24"/>
          <w:highlight w:val="none"/>
          <w:lang w:val="en-US" w:eastAsia="zh-CN"/>
        </w:rPr>
      </w:pPr>
      <w:r>
        <w:rPr>
          <w:rFonts w:hint="eastAsia" w:ascii="宋体" w:hAnsi="宋体" w:eastAsia="宋体" w:cs="宋体"/>
          <w:b/>
          <w:color w:val="auto"/>
          <w:kern w:val="2"/>
          <w:sz w:val="24"/>
          <w:szCs w:val="24"/>
          <w:highlight w:val="none"/>
          <w:lang w:val="en-US" w:eastAsia="zh-CN"/>
        </w:rPr>
        <w:t>1、项目基本情况</w:t>
      </w:r>
    </w:p>
    <w:p w14:paraId="1F62223B">
      <w:pPr>
        <w:pStyle w:val="4"/>
        <w:keepNext w:val="0"/>
        <w:keepLines w:val="0"/>
        <w:pageBreakBefore w:val="0"/>
        <w:wordWrap/>
        <w:overflowPunct/>
        <w:topLinePunct w:val="0"/>
        <w:bidi w:val="0"/>
        <w:spacing w:line="460" w:lineRule="exact"/>
        <w:ind w:firstLine="480" w:firstLineChars="200"/>
        <w:rPr>
          <w:rFonts w:hint="eastAsia" w:ascii="宋体" w:hAnsi="宋体" w:eastAsia="宋体" w:cs="宋体"/>
          <w:b w:val="0"/>
          <w:bCs w:val="0"/>
          <w:color w:val="auto"/>
          <w:kern w:val="2"/>
          <w:sz w:val="24"/>
          <w:szCs w:val="24"/>
          <w:highlight w:val="none"/>
        </w:rPr>
      </w:pP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lang w:val="en-US" w:eastAsia="zh-CN"/>
        </w:rPr>
        <w:t>1</w:t>
      </w: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2026年是“十五五”规划开局之年，也是实现2030年前碳达峰目标的关键冲刺期。当前区域空气质量持续改善任务艰巨，同时环境空气质量新标准实施带来更高管控要求，新区面临着空气质量持续改善与新标准全面达标的双重压力，大气污染防治工作进入纵深推进、精准攻坚的关键阶段。为深入打好大气污染防治攻坚战，进一步完善空气环境质量监测网络，精准、及时掌握全区大气环境质量动态，有效应对空气质量改善与新标准达标双重挑战，切实满足环境空气质量考核、评估、管控等各项环境管理工作需求，采购人拟采购大气环保技术服务。</w:t>
      </w:r>
    </w:p>
    <w:p w14:paraId="56FA6352">
      <w:pPr>
        <w:pStyle w:val="4"/>
        <w:keepNext w:val="0"/>
        <w:keepLines w:val="0"/>
        <w:pageBreakBefore w:val="0"/>
        <w:wordWrap/>
        <w:overflowPunct/>
        <w:topLinePunct w:val="0"/>
        <w:bidi w:val="0"/>
        <w:spacing w:line="460" w:lineRule="exact"/>
        <w:ind w:firstLine="480" w:firstLineChars="200"/>
        <w:rPr>
          <w:rFonts w:hint="eastAsia" w:ascii="宋体" w:hAnsi="宋体" w:eastAsia="宋体" w:cs="宋体"/>
          <w:b w:val="0"/>
          <w:bCs w:val="0"/>
          <w:color w:val="auto"/>
          <w:kern w:val="2"/>
          <w:sz w:val="24"/>
          <w:szCs w:val="24"/>
          <w:highlight w:val="none"/>
        </w:rPr>
      </w:pP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lang w:val="en-US" w:eastAsia="zh-CN"/>
        </w:rPr>
        <w:t>2</w:t>
      </w: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rPr>
        <w:t>本项目重点服务区域为赣江新区中医药科创城片区</w:t>
      </w: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rPr>
        <w:t>儒乐湖片区，空气质量数据收集及分析</w:t>
      </w:r>
      <w:r>
        <w:rPr>
          <w:rFonts w:hint="eastAsia" w:ascii="宋体" w:hAnsi="宋体" w:eastAsia="宋体" w:cs="宋体"/>
          <w:b w:val="0"/>
          <w:bCs w:val="0"/>
          <w:color w:val="auto"/>
          <w:kern w:val="2"/>
          <w:sz w:val="24"/>
          <w:szCs w:val="24"/>
          <w:highlight w:val="none"/>
          <w:lang w:val="en-US" w:eastAsia="zh-CN"/>
        </w:rPr>
        <w:t>主要</w:t>
      </w:r>
      <w:r>
        <w:rPr>
          <w:rFonts w:hint="eastAsia" w:ascii="宋体" w:hAnsi="宋体" w:eastAsia="宋体" w:cs="宋体"/>
          <w:b w:val="0"/>
          <w:bCs w:val="0"/>
          <w:color w:val="auto"/>
          <w:kern w:val="2"/>
          <w:sz w:val="24"/>
          <w:szCs w:val="24"/>
          <w:highlight w:val="none"/>
        </w:rPr>
        <w:t>包括赣江新区直管区</w:t>
      </w:r>
      <w:r>
        <w:rPr>
          <w:rFonts w:hint="eastAsia" w:ascii="宋体" w:hAnsi="宋体" w:eastAsia="宋体" w:cs="宋体"/>
          <w:b w:val="0"/>
          <w:bCs w:val="0"/>
          <w:color w:val="auto"/>
          <w:kern w:val="2"/>
          <w:sz w:val="24"/>
          <w:szCs w:val="24"/>
          <w:highlight w:val="none"/>
          <w:lang w:val="en-US" w:eastAsia="zh-CN"/>
        </w:rPr>
        <w:t>及下辖组团</w:t>
      </w:r>
      <w:r>
        <w:rPr>
          <w:rFonts w:hint="eastAsia" w:ascii="宋体" w:hAnsi="宋体" w:eastAsia="宋体" w:cs="宋体"/>
          <w:b w:val="0"/>
          <w:bCs w:val="0"/>
          <w:color w:val="auto"/>
          <w:kern w:val="2"/>
          <w:sz w:val="24"/>
          <w:szCs w:val="24"/>
          <w:highlight w:val="none"/>
        </w:rPr>
        <w:t>。利用多种监测、服务手段和数据分析技术，分析重点污染区域，对重点污染区域进行</w:t>
      </w:r>
      <w:r>
        <w:rPr>
          <w:rFonts w:hint="eastAsia" w:ascii="宋体" w:hAnsi="宋体" w:eastAsia="宋体" w:cs="宋体"/>
          <w:b w:val="0"/>
          <w:bCs w:val="0"/>
          <w:color w:val="auto"/>
          <w:kern w:val="2"/>
          <w:sz w:val="24"/>
          <w:szCs w:val="24"/>
          <w:highlight w:val="none"/>
          <w:lang w:val="en-US" w:eastAsia="zh-CN"/>
        </w:rPr>
        <w:t>巡检</w:t>
      </w:r>
      <w:r>
        <w:rPr>
          <w:rFonts w:hint="eastAsia" w:ascii="宋体" w:hAnsi="宋体" w:eastAsia="宋体" w:cs="宋体"/>
          <w:b w:val="0"/>
          <w:bCs w:val="0"/>
          <w:color w:val="auto"/>
          <w:kern w:val="2"/>
          <w:sz w:val="24"/>
          <w:szCs w:val="24"/>
          <w:highlight w:val="none"/>
        </w:rPr>
        <w:t>排查，排查内容包括但不限于企业废气、机动车尾气、工地道路扬尘、餐饮油烟等污染源，实现对主要污染物的实时监测。通过对监测数据的综合分析，研判</w:t>
      </w:r>
      <w:r>
        <w:rPr>
          <w:rFonts w:hint="eastAsia" w:ascii="宋体" w:hAnsi="宋体" w:eastAsia="宋体" w:cs="宋体"/>
          <w:b w:val="0"/>
          <w:bCs w:val="0"/>
          <w:color w:val="auto"/>
          <w:kern w:val="2"/>
          <w:sz w:val="24"/>
          <w:szCs w:val="24"/>
          <w:highlight w:val="none"/>
          <w:lang w:val="en-US" w:eastAsia="zh-CN"/>
        </w:rPr>
        <w:t>涉气</w:t>
      </w:r>
      <w:r>
        <w:rPr>
          <w:rFonts w:hint="eastAsia" w:ascii="宋体" w:hAnsi="宋体" w:eastAsia="宋体" w:cs="宋体"/>
          <w:b w:val="0"/>
          <w:bCs w:val="0"/>
          <w:color w:val="auto"/>
          <w:kern w:val="2"/>
          <w:sz w:val="24"/>
          <w:szCs w:val="24"/>
          <w:highlight w:val="none"/>
        </w:rPr>
        <w:t>污染源对赣江新区环境空气质量的影响情况。</w:t>
      </w:r>
    </w:p>
    <w:p w14:paraId="0AA0DB58">
      <w:pPr>
        <w:pStyle w:val="4"/>
        <w:keepNext w:val="0"/>
        <w:keepLines w:val="0"/>
        <w:pageBreakBefore w:val="0"/>
        <w:wordWrap/>
        <w:overflowPunct/>
        <w:topLinePunct w:val="0"/>
        <w:bidi w:val="0"/>
        <w:spacing w:line="460" w:lineRule="exact"/>
        <w:ind w:firstLine="480" w:firstLineChars="200"/>
        <w:rPr>
          <w:rFonts w:hint="eastAsia" w:ascii="宋体" w:hAnsi="宋体" w:eastAsia="宋体" w:cs="宋体"/>
          <w:color w:val="auto"/>
          <w:kern w:val="2"/>
          <w:sz w:val="24"/>
          <w:szCs w:val="24"/>
          <w:highlight w:val="none"/>
        </w:rPr>
      </w:pP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lang w:val="en-US" w:eastAsia="zh-CN"/>
        </w:rPr>
        <w:t>3</w:t>
      </w:r>
      <w:r>
        <w:rPr>
          <w:rFonts w:hint="eastAsia" w:ascii="宋体" w:hAnsi="宋体" w:eastAsia="宋体" w:cs="宋体"/>
          <w:b w:val="0"/>
          <w:bCs w:val="0"/>
          <w:color w:val="auto"/>
          <w:kern w:val="2"/>
          <w:sz w:val="24"/>
          <w:szCs w:val="24"/>
          <w:highlight w:val="none"/>
          <w:lang w:eastAsia="zh-CN"/>
        </w:rPr>
        <w:t>）</w:t>
      </w:r>
      <w:r>
        <w:rPr>
          <w:rFonts w:hint="eastAsia" w:ascii="宋体" w:hAnsi="宋体" w:eastAsia="宋体" w:cs="宋体"/>
          <w:b w:val="0"/>
          <w:bCs w:val="0"/>
          <w:color w:val="auto"/>
          <w:kern w:val="2"/>
          <w:sz w:val="24"/>
          <w:szCs w:val="24"/>
          <w:highlight w:val="none"/>
        </w:rPr>
        <w:t>通过</w:t>
      </w:r>
      <w:r>
        <w:rPr>
          <w:rFonts w:hint="eastAsia" w:ascii="宋体" w:hAnsi="宋体" w:eastAsia="宋体" w:cs="宋体"/>
          <w:color w:val="auto"/>
          <w:kern w:val="2"/>
          <w:sz w:val="24"/>
          <w:szCs w:val="24"/>
          <w:highlight w:val="none"/>
        </w:rPr>
        <w:t>对重点污染区域和疑似污染来源附近污染物浓度变化</w:t>
      </w:r>
      <w:r>
        <w:rPr>
          <w:rFonts w:hint="eastAsia" w:ascii="宋体" w:hAnsi="宋体" w:eastAsia="宋体" w:cs="宋体"/>
          <w:color w:val="auto"/>
          <w:kern w:val="2"/>
          <w:sz w:val="24"/>
          <w:szCs w:val="24"/>
          <w:highlight w:val="none"/>
          <w:lang w:val="en-US" w:eastAsia="zh-CN"/>
        </w:rPr>
        <w:t>规律的</w:t>
      </w:r>
      <w:r>
        <w:rPr>
          <w:rFonts w:hint="eastAsia" w:ascii="宋体" w:hAnsi="宋体" w:eastAsia="宋体" w:cs="宋体"/>
          <w:color w:val="auto"/>
          <w:kern w:val="2"/>
          <w:sz w:val="24"/>
          <w:szCs w:val="24"/>
          <w:highlight w:val="none"/>
        </w:rPr>
        <w:t>分析，结合附近风场变化</w:t>
      </w:r>
      <w:r>
        <w:rPr>
          <w:rFonts w:hint="eastAsia" w:ascii="宋体" w:hAnsi="宋体" w:eastAsia="宋体" w:cs="宋体"/>
          <w:color w:val="auto"/>
          <w:kern w:val="2"/>
          <w:sz w:val="24"/>
          <w:szCs w:val="24"/>
          <w:highlight w:val="none"/>
          <w:lang w:val="en-US" w:eastAsia="zh-CN"/>
        </w:rPr>
        <w:t>情况</w:t>
      </w:r>
      <w:r>
        <w:rPr>
          <w:rFonts w:hint="eastAsia" w:ascii="宋体" w:hAnsi="宋体" w:eastAsia="宋体" w:cs="宋体"/>
          <w:color w:val="auto"/>
          <w:kern w:val="2"/>
          <w:sz w:val="24"/>
          <w:szCs w:val="24"/>
          <w:highlight w:val="none"/>
        </w:rPr>
        <w:t>和区域</w:t>
      </w:r>
      <w:r>
        <w:rPr>
          <w:rFonts w:hint="eastAsia" w:ascii="宋体" w:hAnsi="宋体" w:eastAsia="宋体" w:cs="宋体"/>
          <w:color w:val="auto"/>
          <w:kern w:val="2"/>
          <w:sz w:val="24"/>
          <w:szCs w:val="24"/>
          <w:highlight w:val="none"/>
          <w:lang w:val="en-US" w:eastAsia="zh-CN"/>
        </w:rPr>
        <w:t>监测测得的</w:t>
      </w:r>
      <w:r>
        <w:rPr>
          <w:rFonts w:hint="eastAsia" w:ascii="宋体" w:hAnsi="宋体" w:eastAsia="宋体" w:cs="宋体"/>
          <w:color w:val="auto"/>
          <w:kern w:val="2"/>
          <w:sz w:val="24"/>
          <w:szCs w:val="24"/>
          <w:highlight w:val="none"/>
        </w:rPr>
        <w:t>污染物浓度分布</w:t>
      </w:r>
      <w:r>
        <w:rPr>
          <w:rFonts w:hint="eastAsia" w:ascii="宋体" w:hAnsi="宋体" w:eastAsia="宋体" w:cs="宋体"/>
          <w:color w:val="auto"/>
          <w:kern w:val="2"/>
          <w:sz w:val="24"/>
          <w:szCs w:val="24"/>
          <w:highlight w:val="none"/>
          <w:lang w:val="en-US" w:eastAsia="zh-CN"/>
        </w:rPr>
        <w:t>情况</w:t>
      </w:r>
      <w:r>
        <w:rPr>
          <w:rFonts w:hint="eastAsia" w:ascii="宋体" w:hAnsi="宋体" w:eastAsia="宋体" w:cs="宋体"/>
          <w:color w:val="auto"/>
          <w:kern w:val="2"/>
          <w:sz w:val="24"/>
          <w:szCs w:val="24"/>
          <w:highlight w:val="none"/>
        </w:rPr>
        <w:t>，分析本地主要污染来源和污染物扩散情况。最终形成监测数据分析结果和辅助决策建议，为赣江新区直管区相关部门对主要污染源开展</w:t>
      </w:r>
      <w:r>
        <w:rPr>
          <w:rFonts w:hint="eastAsia" w:ascii="宋体" w:hAnsi="宋体" w:eastAsia="宋体" w:cs="宋体"/>
          <w:color w:val="auto"/>
          <w:kern w:val="2"/>
          <w:sz w:val="24"/>
          <w:szCs w:val="24"/>
          <w:highlight w:val="none"/>
          <w:lang w:val="en-US" w:eastAsia="zh-CN"/>
        </w:rPr>
        <w:t>大气环境</w:t>
      </w:r>
      <w:r>
        <w:rPr>
          <w:rFonts w:hint="eastAsia" w:ascii="宋体" w:hAnsi="宋体" w:eastAsia="宋体" w:cs="宋体"/>
          <w:color w:val="auto"/>
          <w:kern w:val="2"/>
          <w:sz w:val="24"/>
          <w:szCs w:val="24"/>
          <w:highlight w:val="none"/>
        </w:rPr>
        <w:t>综合管控提供数据和技术支撑，</w:t>
      </w:r>
      <w:r>
        <w:rPr>
          <w:rFonts w:hint="eastAsia" w:ascii="宋体" w:hAnsi="宋体" w:eastAsia="宋体" w:cs="宋体"/>
          <w:color w:val="auto"/>
          <w:kern w:val="2"/>
          <w:sz w:val="24"/>
          <w:szCs w:val="24"/>
          <w:highlight w:val="none"/>
          <w:lang w:val="en-US" w:eastAsia="zh-CN"/>
        </w:rPr>
        <w:t>助力空气质量不断优化</w:t>
      </w:r>
      <w:r>
        <w:rPr>
          <w:rFonts w:hint="eastAsia" w:ascii="宋体" w:hAnsi="宋体" w:eastAsia="宋体" w:cs="宋体"/>
          <w:color w:val="auto"/>
          <w:kern w:val="2"/>
          <w:sz w:val="24"/>
          <w:szCs w:val="24"/>
          <w:highlight w:val="none"/>
        </w:rPr>
        <w:t>。</w:t>
      </w:r>
    </w:p>
    <w:p w14:paraId="387FB248">
      <w:pPr>
        <w:pStyle w:val="4"/>
        <w:keepNext w:val="0"/>
        <w:keepLines w:val="0"/>
        <w:pageBreakBefore w:val="0"/>
        <w:wordWrap/>
        <w:overflowPunct/>
        <w:topLinePunct w:val="0"/>
        <w:bidi w:val="0"/>
        <w:spacing w:line="460" w:lineRule="exact"/>
        <w:ind w:firstLine="482" w:firstLineChars="200"/>
        <w:rPr>
          <w:rFonts w:hint="eastAsia" w:ascii="宋体" w:hAnsi="宋体" w:eastAsia="宋体" w:cs="宋体"/>
          <w:b/>
          <w:color w:val="auto"/>
          <w:kern w:val="2"/>
          <w:sz w:val="24"/>
          <w:szCs w:val="24"/>
          <w:highlight w:val="none"/>
        </w:rPr>
      </w:pPr>
      <w:r>
        <w:rPr>
          <w:rFonts w:hint="eastAsia" w:ascii="宋体" w:hAnsi="宋体" w:eastAsia="宋体" w:cs="宋体"/>
          <w:b/>
          <w:color w:val="auto"/>
          <w:kern w:val="2"/>
          <w:sz w:val="24"/>
          <w:szCs w:val="24"/>
          <w:highlight w:val="none"/>
          <w:lang w:val="en-US" w:eastAsia="zh-CN"/>
        </w:rPr>
        <w:t>2、</w:t>
      </w:r>
      <w:r>
        <w:rPr>
          <w:rFonts w:hint="eastAsia" w:ascii="宋体" w:hAnsi="宋体" w:eastAsia="宋体" w:cs="宋体"/>
          <w:b/>
          <w:color w:val="auto"/>
          <w:kern w:val="2"/>
          <w:sz w:val="24"/>
          <w:szCs w:val="24"/>
          <w:highlight w:val="none"/>
        </w:rPr>
        <w:t>技术服务要求</w:t>
      </w:r>
    </w:p>
    <w:p w14:paraId="7EE080F7">
      <w:pPr>
        <w:keepNext w:val="0"/>
        <w:keepLines w:val="0"/>
        <w:pageBreakBefore w:val="0"/>
        <w:wordWrap/>
        <w:overflowPunct/>
        <w:topLinePunct w:val="0"/>
        <w:bidi w:val="0"/>
        <w:spacing w:line="460" w:lineRule="exact"/>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服务期限：</w:t>
      </w:r>
      <w:r>
        <w:rPr>
          <w:rFonts w:hint="eastAsia" w:ascii="宋体" w:hAnsi="宋体" w:eastAsia="宋体" w:cs="宋体"/>
          <w:color w:val="auto"/>
          <w:sz w:val="24"/>
          <w:szCs w:val="24"/>
          <w:highlight w:val="none"/>
          <w:lang w:val="en-US" w:eastAsia="zh-CN"/>
        </w:rPr>
        <w:t>自项目要求的服务设备正常运行后，中标人可向采购人提出阶段性确认申请，经采购人确认合格当日起，正式计算服务期限，服务期共计1年（12个月）。</w:t>
      </w:r>
    </w:p>
    <w:p w14:paraId="457976F1">
      <w:pPr>
        <w:keepNext w:val="0"/>
        <w:keepLines w:val="0"/>
        <w:pageBreakBefore w:val="0"/>
        <w:wordWrap/>
        <w:overflowPunct/>
        <w:topLinePunct w:val="0"/>
        <w:bidi w:val="0"/>
        <w:spacing w:line="460" w:lineRule="exact"/>
        <w:ind w:firstLine="480" w:firstLineChars="200"/>
        <w:jc w:val="both"/>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z w:val="24"/>
          <w:szCs w:val="24"/>
          <w:highlight w:val="none"/>
          <w:lang w:eastAsia="zh-CN"/>
        </w:rPr>
        <w:t>服务时间要求：</w:t>
      </w:r>
      <w:r>
        <w:rPr>
          <w:rFonts w:hint="eastAsia" w:ascii="宋体" w:hAnsi="宋体" w:eastAsia="宋体" w:cs="宋体"/>
          <w:color w:val="auto"/>
          <w:spacing w:val="-5"/>
          <w:sz w:val="24"/>
          <w:szCs w:val="24"/>
          <w:lang w:eastAsia="zh-CN"/>
        </w:rPr>
        <w:t>若项目合同签订日期早于2026年8月14日，中标人须自2026年8月14日起，正式为采购人提供技术服务；若项目合同签订日期为2026年8月14日（含当日）及以后，中标人须在合同签订之日起5个工作日内，启动技术服务工作。</w:t>
      </w:r>
    </w:p>
    <w:p w14:paraId="20D924E0">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val="en-US" w:bidi="zh-CN"/>
        </w:rPr>
      </w:pPr>
      <w:r>
        <w:rPr>
          <w:rFonts w:hint="eastAsia" w:ascii="宋体" w:hAnsi="宋体" w:eastAsia="宋体" w:cs="宋体"/>
          <w:b/>
          <w:bCs/>
          <w:color w:val="auto"/>
          <w:spacing w:val="-5"/>
          <w:sz w:val="24"/>
          <w:szCs w:val="24"/>
          <w:highlight w:val="none"/>
          <w:lang w:val="en-US" w:bidi="zh-CN"/>
        </w:rPr>
        <w:t>2.1微型监测站运维服务</w:t>
      </w:r>
    </w:p>
    <w:p w14:paraId="7FDEEE46">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对采购人的微型监测站（PM</w:t>
      </w:r>
      <w:r>
        <w:rPr>
          <w:rFonts w:hint="eastAsia" w:ascii="宋体" w:hAnsi="宋体" w:eastAsia="宋体" w:cs="宋体"/>
          <w:color w:val="auto"/>
          <w:spacing w:val="-5"/>
          <w:kern w:val="0"/>
          <w:sz w:val="24"/>
          <w:szCs w:val="24"/>
          <w:highlight w:val="none"/>
          <w:vertAlign w:val="subscript"/>
          <w:lang w:bidi="zh-CN"/>
        </w:rPr>
        <w:t>2.5</w:t>
      </w:r>
      <w:r>
        <w:rPr>
          <w:rFonts w:hint="eastAsia" w:ascii="宋体" w:hAnsi="宋体" w:eastAsia="宋体" w:cs="宋体"/>
          <w:color w:val="auto"/>
          <w:spacing w:val="-5"/>
          <w:kern w:val="0"/>
          <w:sz w:val="24"/>
          <w:szCs w:val="24"/>
          <w:highlight w:val="none"/>
          <w:lang w:bidi="zh-CN"/>
        </w:rPr>
        <w:t>/PM</w:t>
      </w:r>
      <w:r>
        <w:rPr>
          <w:rFonts w:hint="eastAsia" w:ascii="宋体" w:hAnsi="宋体" w:eastAsia="宋体" w:cs="宋体"/>
          <w:color w:val="auto"/>
          <w:spacing w:val="-5"/>
          <w:kern w:val="0"/>
          <w:sz w:val="24"/>
          <w:szCs w:val="24"/>
          <w:highlight w:val="none"/>
          <w:vertAlign w:val="subscript"/>
          <w:lang w:bidi="zh-CN"/>
        </w:rPr>
        <w:t>10</w:t>
      </w:r>
      <w:r>
        <w:rPr>
          <w:rFonts w:hint="eastAsia" w:ascii="宋体" w:hAnsi="宋体" w:eastAsia="宋体" w:cs="宋体"/>
          <w:color w:val="auto"/>
          <w:spacing w:val="-5"/>
          <w:kern w:val="0"/>
          <w:sz w:val="24"/>
          <w:szCs w:val="24"/>
          <w:highlight w:val="none"/>
          <w:lang w:bidi="zh-CN"/>
        </w:rPr>
        <w:t>）的监测设备进行日常运维服务。运维服务要求如下：</w:t>
      </w:r>
    </w:p>
    <w:p w14:paraId="564254BC">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运维技术人员应熟悉所运维监测设备原理，掌握所运维监测设备的维护技术；</w:t>
      </w:r>
    </w:p>
    <w:p w14:paraId="35F12DDB">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提供7×24小时支持服务，监测设备出现故障时，运维人员在1小时之内响应，2小时内赶赴现场对故障进行处理，若故障在24小时内无法排除解决，应提供并更换相应的备机，保证站点的正常运行：</w:t>
      </w:r>
    </w:p>
    <w:p w14:paraId="17BE1A69">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保障服务周期内监测设备的备件与耗材供应，且备件和耗材应来源合规合法；</w:t>
      </w:r>
    </w:p>
    <w:p w14:paraId="23F8FE4A">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做好预防性巡检维护工作，巡检内容要求应全面合理，能及时发现隐患问题。</w:t>
      </w:r>
    </w:p>
    <w:p w14:paraId="22FF1910">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bidi="zh-CN"/>
        </w:rPr>
      </w:pPr>
      <w:r>
        <w:rPr>
          <w:rFonts w:hint="eastAsia" w:ascii="宋体" w:hAnsi="宋体" w:eastAsia="宋体" w:cs="宋体"/>
          <w:color w:val="auto"/>
          <w:spacing w:val="-5"/>
          <w:kern w:val="0"/>
          <w:sz w:val="24"/>
          <w:szCs w:val="24"/>
          <w:highlight w:val="none"/>
          <w:lang w:bidi="zh-CN"/>
        </w:rPr>
        <w:t>根据赣江新区污染源分布实际情况，优化微型监测站布点，将监测数据实时上传至</w:t>
      </w:r>
      <w:r>
        <w:rPr>
          <w:rFonts w:hint="eastAsia" w:ascii="宋体" w:hAnsi="宋体" w:eastAsia="宋体" w:cs="宋体"/>
          <w:color w:val="auto"/>
          <w:spacing w:val="-5"/>
          <w:kern w:val="0"/>
          <w:sz w:val="24"/>
          <w:szCs w:val="24"/>
          <w:highlight w:val="none"/>
          <w:lang w:val="en-US" w:bidi="zh-CN"/>
        </w:rPr>
        <w:t>赣江新区智慧环保</w:t>
      </w:r>
      <w:r>
        <w:rPr>
          <w:rFonts w:hint="eastAsia" w:ascii="宋体" w:hAnsi="宋体" w:eastAsia="宋体" w:cs="宋体"/>
          <w:color w:val="auto"/>
          <w:spacing w:val="-5"/>
          <w:kern w:val="0"/>
          <w:sz w:val="24"/>
          <w:szCs w:val="24"/>
          <w:highlight w:val="none"/>
          <w:lang w:bidi="zh-CN"/>
        </w:rPr>
        <w:t>平台，单个站点数据平均传输率不低于90%。</w:t>
      </w:r>
    </w:p>
    <w:p w14:paraId="182C825E">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 xml:space="preserve">2.2 </w:t>
      </w:r>
      <w:r>
        <w:rPr>
          <w:rFonts w:hint="eastAsia" w:ascii="宋体" w:hAnsi="宋体" w:eastAsia="宋体" w:cs="宋体"/>
          <w:b/>
          <w:bCs/>
          <w:color w:val="auto"/>
          <w:spacing w:val="-5"/>
          <w:sz w:val="24"/>
          <w:szCs w:val="24"/>
          <w:highlight w:val="none"/>
          <w:lang w:bidi="zh-CN"/>
        </w:rPr>
        <w:t>微型监测站监测服务</w:t>
      </w:r>
    </w:p>
    <w:p w14:paraId="7FADFE69">
      <w:pPr>
        <w:pStyle w:val="9"/>
        <w:keepNext w:val="0"/>
        <w:keepLines w:val="0"/>
        <w:pageBreakBefore w:val="0"/>
        <w:wordWrap/>
        <w:overflowPunct/>
        <w:topLinePunct w:val="0"/>
        <w:bidi w:val="0"/>
        <w:spacing w:beforeLines="0" w:afterLines="0" w:line="460" w:lineRule="exact"/>
        <w:ind w:firstLine="482"/>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kern w:val="0"/>
          <w:sz w:val="24"/>
          <w:szCs w:val="24"/>
          <w:highlight w:val="none"/>
          <w:lang w:val="en-US" w:eastAsia="zh-CN" w:bidi="zh-CN"/>
        </w:rPr>
        <w:t>根据赣江新区中医药科创城片区重点区域与污染源分布实际情况，布设微型监测站点（8套），并将监测数据实时上传至平台。监测服务要求如下：</w:t>
      </w:r>
    </w:p>
    <w:p w14:paraId="7276F161">
      <w:pPr>
        <w:pStyle w:val="9"/>
        <w:keepNext w:val="0"/>
        <w:keepLines w:val="0"/>
        <w:pageBreakBefore w:val="0"/>
        <w:wordWrap/>
        <w:overflowPunct/>
        <w:topLinePunct w:val="0"/>
        <w:bidi w:val="0"/>
        <w:spacing w:beforeLines="0" w:afterLines="0" w:line="460" w:lineRule="exact"/>
        <w:ind w:firstLine="482"/>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b/>
          <w:bCs/>
          <w:color w:val="auto"/>
          <w:spacing w:val="-5"/>
          <w:kern w:val="0"/>
          <w:sz w:val="24"/>
          <w:szCs w:val="24"/>
          <w:highlight w:val="none"/>
          <w:lang w:val="en-US" w:eastAsia="zh-CN" w:bidi="zh-CN"/>
        </w:rPr>
        <w:t>（1）敏感点监测服务。</w:t>
      </w:r>
      <w:r>
        <w:rPr>
          <w:rFonts w:hint="eastAsia" w:ascii="宋体" w:hAnsi="宋体" w:eastAsia="宋体" w:cs="宋体"/>
          <w:color w:val="auto"/>
          <w:spacing w:val="-5"/>
          <w:kern w:val="0"/>
          <w:sz w:val="24"/>
          <w:szCs w:val="24"/>
          <w:highlight w:val="none"/>
          <w:lang w:val="en-US" w:eastAsia="zh-CN" w:bidi="zh-CN"/>
        </w:rPr>
        <w:t>在中医药科创城片区重点区域周边布设敏感监测点（4套），监测服务的监测参数为NO</w:t>
      </w:r>
      <w:r>
        <w:rPr>
          <w:rFonts w:hint="eastAsia" w:ascii="宋体" w:hAnsi="宋体" w:eastAsia="宋体" w:cs="宋体"/>
          <w:color w:val="auto"/>
          <w:spacing w:val="-5"/>
          <w:kern w:val="0"/>
          <w:sz w:val="24"/>
          <w:szCs w:val="24"/>
          <w:highlight w:val="none"/>
          <w:vertAlign w:val="subscript"/>
          <w:lang w:val="en-US" w:eastAsia="zh-CN" w:bidi="zh-CN"/>
        </w:rPr>
        <w:t>2</w:t>
      </w:r>
      <w:r>
        <w:rPr>
          <w:rFonts w:hint="eastAsia" w:ascii="宋体" w:hAnsi="宋体" w:eastAsia="宋体" w:cs="宋体"/>
          <w:color w:val="auto"/>
          <w:spacing w:val="-5"/>
          <w:kern w:val="0"/>
          <w:sz w:val="24"/>
          <w:szCs w:val="24"/>
          <w:highlight w:val="none"/>
          <w:lang w:val="en-US" w:eastAsia="zh-CN" w:bidi="zh-CN"/>
        </w:rPr>
        <w:t>/O</w:t>
      </w:r>
      <w:r>
        <w:rPr>
          <w:rFonts w:hint="eastAsia" w:ascii="宋体" w:hAnsi="宋体" w:eastAsia="宋体" w:cs="宋体"/>
          <w:color w:val="auto"/>
          <w:spacing w:val="-5"/>
          <w:kern w:val="0"/>
          <w:sz w:val="24"/>
          <w:szCs w:val="24"/>
          <w:highlight w:val="none"/>
          <w:vertAlign w:val="subscript"/>
          <w:lang w:val="en-US" w:eastAsia="zh-CN" w:bidi="zh-CN"/>
        </w:rPr>
        <w:t>3</w:t>
      </w:r>
      <w:r>
        <w:rPr>
          <w:rFonts w:hint="eastAsia" w:ascii="宋体" w:hAnsi="宋体" w:eastAsia="宋体" w:cs="宋体"/>
          <w:color w:val="auto"/>
          <w:spacing w:val="-5"/>
          <w:kern w:val="0"/>
          <w:sz w:val="24"/>
          <w:szCs w:val="24"/>
          <w:highlight w:val="none"/>
          <w:lang w:val="en-US" w:eastAsia="zh-CN" w:bidi="zh-CN"/>
        </w:rPr>
        <w:t>/CO。服务</w:t>
      </w:r>
      <w:r>
        <w:rPr>
          <w:rFonts w:hint="eastAsia" w:ascii="宋体" w:hAnsi="宋体" w:eastAsia="宋体" w:cs="宋体"/>
          <w:color w:val="auto"/>
          <w:spacing w:val="-5"/>
          <w:sz w:val="24"/>
          <w:szCs w:val="24"/>
          <w:highlight w:val="none"/>
          <w:lang w:val="en-US" w:eastAsia="zh-CN" w:bidi="zh-CN"/>
        </w:rPr>
        <w:t>所需监测设备主要技术要求如下</w:t>
      </w:r>
      <w:r>
        <w:rPr>
          <w:rFonts w:hint="eastAsia" w:ascii="宋体" w:hAnsi="宋体" w:eastAsia="宋体" w:cs="宋体"/>
          <w:color w:val="auto"/>
          <w:spacing w:val="-5"/>
          <w:kern w:val="0"/>
          <w:sz w:val="24"/>
          <w:szCs w:val="24"/>
          <w:highlight w:val="none"/>
          <w:lang w:val="en-US" w:eastAsia="zh-CN" w:bidi="zh-CN"/>
        </w:rPr>
        <w:t>：</w:t>
      </w:r>
    </w:p>
    <w:tbl>
      <w:tblPr>
        <w:tblStyle w:val="6"/>
        <w:tblW w:w="79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8"/>
        <w:gridCol w:w="2244"/>
        <w:gridCol w:w="1284"/>
        <w:gridCol w:w="938"/>
        <w:gridCol w:w="1145"/>
        <w:gridCol w:w="1161"/>
      </w:tblGrid>
      <w:tr w14:paraId="10965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198" w:type="dxa"/>
            <w:noWrap w:val="0"/>
            <w:vAlign w:val="center"/>
          </w:tcPr>
          <w:p w14:paraId="05D2494D">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监测指标</w:t>
            </w:r>
          </w:p>
        </w:tc>
        <w:tc>
          <w:tcPr>
            <w:tcW w:w="2244" w:type="dxa"/>
            <w:noWrap w:val="0"/>
            <w:vAlign w:val="center"/>
          </w:tcPr>
          <w:p w14:paraId="38A1D143">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测量范围</w:t>
            </w:r>
          </w:p>
        </w:tc>
        <w:tc>
          <w:tcPr>
            <w:tcW w:w="1284" w:type="dxa"/>
            <w:noWrap w:val="0"/>
            <w:vAlign w:val="center"/>
          </w:tcPr>
          <w:p w14:paraId="5936359B">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示值误差</w:t>
            </w:r>
          </w:p>
        </w:tc>
        <w:tc>
          <w:tcPr>
            <w:tcW w:w="938" w:type="dxa"/>
            <w:noWrap w:val="0"/>
            <w:vAlign w:val="center"/>
          </w:tcPr>
          <w:p w14:paraId="59022709">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重复性</w:t>
            </w:r>
          </w:p>
        </w:tc>
        <w:tc>
          <w:tcPr>
            <w:tcW w:w="1145" w:type="dxa"/>
            <w:noWrap w:val="0"/>
            <w:vAlign w:val="center"/>
          </w:tcPr>
          <w:p w14:paraId="58E1538E">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响应时间</w:t>
            </w:r>
          </w:p>
        </w:tc>
        <w:tc>
          <w:tcPr>
            <w:tcW w:w="1161" w:type="dxa"/>
            <w:noWrap w:val="0"/>
            <w:vAlign w:val="center"/>
          </w:tcPr>
          <w:p w14:paraId="69F9DE2C">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监测方法</w:t>
            </w:r>
          </w:p>
        </w:tc>
      </w:tr>
      <w:tr w14:paraId="59697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198" w:type="dxa"/>
            <w:noWrap w:val="0"/>
            <w:vAlign w:val="center"/>
          </w:tcPr>
          <w:p w14:paraId="4CFC02BC">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NO</w:t>
            </w:r>
            <w:r>
              <w:rPr>
                <w:rFonts w:hint="eastAsia" w:ascii="宋体" w:hAnsi="宋体" w:eastAsia="宋体" w:cs="宋体"/>
                <w:color w:val="auto"/>
                <w:spacing w:val="-5"/>
                <w:sz w:val="24"/>
                <w:szCs w:val="24"/>
                <w:highlight w:val="none"/>
                <w:vertAlign w:val="subscript"/>
                <w:lang w:val="en-US" w:eastAsia="zh-CN" w:bidi="zh-CN"/>
              </w:rPr>
              <w:t>2</w:t>
            </w:r>
          </w:p>
        </w:tc>
        <w:tc>
          <w:tcPr>
            <w:tcW w:w="2244" w:type="dxa"/>
            <w:noWrap w:val="0"/>
            <w:vAlign w:val="center"/>
          </w:tcPr>
          <w:p w14:paraId="691EA398">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0～500 nmol/mol</w:t>
            </w:r>
          </w:p>
        </w:tc>
        <w:tc>
          <w:tcPr>
            <w:tcW w:w="1284" w:type="dxa"/>
            <w:noWrap w:val="0"/>
            <w:vAlign w:val="center"/>
          </w:tcPr>
          <w:p w14:paraId="65B6FCAB">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±10%FS</w:t>
            </w:r>
          </w:p>
        </w:tc>
        <w:tc>
          <w:tcPr>
            <w:tcW w:w="938" w:type="dxa"/>
            <w:noWrap w:val="0"/>
            <w:vAlign w:val="center"/>
          </w:tcPr>
          <w:p w14:paraId="26CE2907">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≤5%</w:t>
            </w:r>
          </w:p>
        </w:tc>
        <w:tc>
          <w:tcPr>
            <w:tcW w:w="1145" w:type="dxa"/>
            <w:noWrap w:val="0"/>
            <w:vAlign w:val="center"/>
          </w:tcPr>
          <w:p w14:paraId="2A81311B">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≤120s</w:t>
            </w:r>
          </w:p>
        </w:tc>
        <w:tc>
          <w:tcPr>
            <w:tcW w:w="1161" w:type="dxa"/>
            <w:noWrap w:val="0"/>
            <w:vAlign w:val="center"/>
          </w:tcPr>
          <w:p w14:paraId="19646D1B">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电化学</w:t>
            </w:r>
          </w:p>
        </w:tc>
      </w:tr>
      <w:tr w14:paraId="51F1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98" w:type="dxa"/>
            <w:noWrap w:val="0"/>
            <w:vAlign w:val="center"/>
          </w:tcPr>
          <w:p w14:paraId="1C6D135C">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CO</w:t>
            </w:r>
          </w:p>
        </w:tc>
        <w:tc>
          <w:tcPr>
            <w:tcW w:w="2244" w:type="dxa"/>
            <w:noWrap w:val="0"/>
            <w:vAlign w:val="center"/>
          </w:tcPr>
          <w:p w14:paraId="7DB74B4D">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 xml:space="preserve">0～20 </w:t>
            </w:r>
            <w:r>
              <w:rPr>
                <w:rFonts w:hint="eastAsia" w:ascii="宋体" w:hAnsi="宋体" w:eastAsia="宋体" w:cs="宋体"/>
                <w:color w:val="auto"/>
                <w:sz w:val="24"/>
                <w:szCs w:val="24"/>
                <w:highlight w:val="none"/>
              </w:rPr>
              <w:t>u</w:t>
            </w:r>
            <w:r>
              <w:rPr>
                <w:rFonts w:hint="eastAsia" w:ascii="宋体" w:hAnsi="宋体" w:eastAsia="宋体" w:cs="宋体"/>
                <w:color w:val="auto"/>
                <w:spacing w:val="-5"/>
                <w:sz w:val="24"/>
                <w:szCs w:val="24"/>
                <w:highlight w:val="none"/>
                <w:lang w:val="en-US" w:eastAsia="zh-CN" w:bidi="zh-CN"/>
              </w:rPr>
              <w:t>mol/mol</w:t>
            </w:r>
          </w:p>
        </w:tc>
        <w:tc>
          <w:tcPr>
            <w:tcW w:w="1284" w:type="dxa"/>
            <w:noWrap w:val="0"/>
            <w:vAlign w:val="center"/>
          </w:tcPr>
          <w:p w14:paraId="1BBA3F2A">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±10%FS</w:t>
            </w:r>
          </w:p>
        </w:tc>
        <w:tc>
          <w:tcPr>
            <w:tcW w:w="938" w:type="dxa"/>
            <w:noWrap w:val="0"/>
            <w:vAlign w:val="center"/>
          </w:tcPr>
          <w:p w14:paraId="6DFDC3BB">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≤5%</w:t>
            </w:r>
          </w:p>
        </w:tc>
        <w:tc>
          <w:tcPr>
            <w:tcW w:w="1145" w:type="dxa"/>
            <w:noWrap w:val="0"/>
            <w:vAlign w:val="center"/>
          </w:tcPr>
          <w:p w14:paraId="1406F4A4">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≤120s</w:t>
            </w:r>
          </w:p>
        </w:tc>
        <w:tc>
          <w:tcPr>
            <w:tcW w:w="1161" w:type="dxa"/>
            <w:noWrap w:val="0"/>
            <w:vAlign w:val="center"/>
          </w:tcPr>
          <w:p w14:paraId="272F6EEF">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电化学</w:t>
            </w:r>
          </w:p>
        </w:tc>
      </w:tr>
      <w:tr w14:paraId="3409D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98" w:type="dxa"/>
            <w:noWrap w:val="0"/>
            <w:vAlign w:val="center"/>
          </w:tcPr>
          <w:p w14:paraId="7EDC2A57">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O</w:t>
            </w:r>
            <w:r>
              <w:rPr>
                <w:rFonts w:hint="eastAsia" w:ascii="宋体" w:hAnsi="宋体" w:eastAsia="宋体" w:cs="宋体"/>
                <w:color w:val="auto"/>
                <w:spacing w:val="-5"/>
                <w:sz w:val="24"/>
                <w:szCs w:val="24"/>
                <w:highlight w:val="none"/>
                <w:vertAlign w:val="subscript"/>
                <w:lang w:val="en-US" w:eastAsia="zh-CN" w:bidi="zh-CN"/>
              </w:rPr>
              <w:t>3</w:t>
            </w:r>
          </w:p>
        </w:tc>
        <w:tc>
          <w:tcPr>
            <w:tcW w:w="2244" w:type="dxa"/>
            <w:noWrap w:val="0"/>
            <w:vAlign w:val="center"/>
          </w:tcPr>
          <w:p w14:paraId="4366F4B3">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0～500 nmol/mol</w:t>
            </w:r>
          </w:p>
        </w:tc>
        <w:tc>
          <w:tcPr>
            <w:tcW w:w="1284" w:type="dxa"/>
            <w:noWrap w:val="0"/>
            <w:vAlign w:val="center"/>
          </w:tcPr>
          <w:p w14:paraId="0C1AAC3E">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±10%FS</w:t>
            </w:r>
          </w:p>
        </w:tc>
        <w:tc>
          <w:tcPr>
            <w:tcW w:w="938" w:type="dxa"/>
            <w:noWrap w:val="0"/>
            <w:vAlign w:val="center"/>
          </w:tcPr>
          <w:p w14:paraId="25259724">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≤5%</w:t>
            </w:r>
          </w:p>
        </w:tc>
        <w:tc>
          <w:tcPr>
            <w:tcW w:w="1145" w:type="dxa"/>
            <w:noWrap w:val="0"/>
            <w:vAlign w:val="center"/>
          </w:tcPr>
          <w:p w14:paraId="07703115">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≤120s</w:t>
            </w:r>
          </w:p>
        </w:tc>
        <w:tc>
          <w:tcPr>
            <w:tcW w:w="1161" w:type="dxa"/>
            <w:noWrap w:val="0"/>
            <w:vAlign w:val="center"/>
          </w:tcPr>
          <w:p w14:paraId="7626B91F">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电化学</w:t>
            </w:r>
          </w:p>
        </w:tc>
      </w:tr>
    </w:tbl>
    <w:p w14:paraId="39A7F109">
      <w:pPr>
        <w:pStyle w:val="5"/>
        <w:keepNext w:val="0"/>
        <w:keepLines w:val="0"/>
        <w:pageBreakBefore w:val="0"/>
        <w:wordWrap/>
        <w:overflowPunct/>
        <w:topLinePunct w:val="0"/>
        <w:bidi w:val="0"/>
        <w:adjustRightInd/>
        <w:spacing w:line="460" w:lineRule="exact"/>
        <w:ind w:firstLine="462" w:firstLineChars="200"/>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（2）重点源监测服务。</w:t>
      </w:r>
      <w:r>
        <w:rPr>
          <w:rFonts w:hint="eastAsia" w:ascii="宋体" w:hAnsi="宋体" w:eastAsia="宋体" w:cs="宋体"/>
          <w:color w:val="auto"/>
          <w:spacing w:val="-5"/>
          <w:sz w:val="24"/>
          <w:szCs w:val="24"/>
          <w:highlight w:val="none"/>
          <w:lang w:val="en-US" w:eastAsia="zh-CN" w:bidi="zh-CN"/>
        </w:rPr>
        <w:t>在</w:t>
      </w:r>
      <w:r>
        <w:rPr>
          <w:rFonts w:hint="eastAsia" w:ascii="宋体" w:hAnsi="宋体" w:eastAsia="宋体" w:cs="宋体"/>
          <w:color w:val="auto"/>
          <w:spacing w:val="-5"/>
          <w:kern w:val="0"/>
          <w:sz w:val="24"/>
          <w:szCs w:val="24"/>
          <w:highlight w:val="none"/>
          <w:lang w:val="en-US" w:eastAsia="zh-CN" w:bidi="zh-CN"/>
        </w:rPr>
        <w:t>中医药科创城片区</w:t>
      </w:r>
      <w:r>
        <w:rPr>
          <w:rFonts w:hint="eastAsia" w:ascii="宋体" w:hAnsi="宋体" w:eastAsia="宋体" w:cs="宋体"/>
          <w:color w:val="auto"/>
          <w:spacing w:val="-5"/>
          <w:sz w:val="24"/>
          <w:szCs w:val="24"/>
          <w:highlight w:val="none"/>
          <w:lang w:val="en-US" w:eastAsia="zh-CN" w:bidi="zh-CN"/>
        </w:rPr>
        <w:t>企业聚集区域布设重点源监测点（4套），监测服务的监测参数为NO</w:t>
      </w:r>
      <w:r>
        <w:rPr>
          <w:rFonts w:hint="eastAsia" w:ascii="宋体" w:hAnsi="宋体" w:eastAsia="宋体" w:cs="宋体"/>
          <w:color w:val="auto"/>
          <w:spacing w:val="-5"/>
          <w:sz w:val="24"/>
          <w:szCs w:val="24"/>
          <w:highlight w:val="none"/>
          <w:vertAlign w:val="subscript"/>
          <w:lang w:val="en-US" w:eastAsia="zh-CN" w:bidi="zh-CN"/>
        </w:rPr>
        <w:t>2</w:t>
      </w:r>
      <w:r>
        <w:rPr>
          <w:rFonts w:hint="eastAsia" w:ascii="宋体" w:hAnsi="宋体" w:eastAsia="宋体" w:cs="宋体"/>
          <w:color w:val="auto"/>
          <w:spacing w:val="-5"/>
          <w:sz w:val="24"/>
          <w:szCs w:val="24"/>
          <w:highlight w:val="none"/>
          <w:lang w:val="en-US" w:eastAsia="zh-CN" w:bidi="zh-CN"/>
        </w:rPr>
        <w:t>/TVOC。</w:t>
      </w:r>
      <w:r>
        <w:rPr>
          <w:rFonts w:hint="eastAsia" w:ascii="宋体" w:hAnsi="宋体" w:eastAsia="宋体" w:cs="宋体"/>
          <w:color w:val="auto"/>
          <w:spacing w:val="-5"/>
          <w:kern w:val="0"/>
          <w:sz w:val="24"/>
          <w:szCs w:val="24"/>
          <w:highlight w:val="none"/>
          <w:lang w:val="en-US" w:eastAsia="zh-CN" w:bidi="zh-CN"/>
        </w:rPr>
        <w:t>服务</w:t>
      </w:r>
      <w:r>
        <w:rPr>
          <w:rFonts w:hint="eastAsia" w:ascii="宋体" w:hAnsi="宋体" w:eastAsia="宋体" w:cs="宋体"/>
          <w:color w:val="auto"/>
          <w:spacing w:val="-5"/>
          <w:sz w:val="24"/>
          <w:szCs w:val="24"/>
          <w:highlight w:val="none"/>
          <w:lang w:val="en-US" w:eastAsia="zh-CN" w:bidi="zh-CN"/>
        </w:rPr>
        <w:t>所需监测设备主要技术要求如下：</w:t>
      </w:r>
    </w:p>
    <w:tbl>
      <w:tblPr>
        <w:tblStyle w:val="6"/>
        <w:tblW w:w="79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1"/>
        <w:gridCol w:w="2238"/>
        <w:gridCol w:w="1279"/>
        <w:gridCol w:w="942"/>
        <w:gridCol w:w="1144"/>
        <w:gridCol w:w="1161"/>
      </w:tblGrid>
      <w:tr w14:paraId="7DCEE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noWrap w:val="0"/>
            <w:vAlign w:val="center"/>
          </w:tcPr>
          <w:p w14:paraId="6EAC5A44">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监测指标</w:t>
            </w:r>
          </w:p>
        </w:tc>
        <w:tc>
          <w:tcPr>
            <w:tcW w:w="2238" w:type="dxa"/>
            <w:noWrap w:val="0"/>
            <w:vAlign w:val="center"/>
          </w:tcPr>
          <w:p w14:paraId="0CD4E067">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测量范围</w:t>
            </w:r>
          </w:p>
        </w:tc>
        <w:tc>
          <w:tcPr>
            <w:tcW w:w="1279" w:type="dxa"/>
            <w:noWrap w:val="0"/>
            <w:vAlign w:val="center"/>
          </w:tcPr>
          <w:p w14:paraId="79830C04">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示值误差</w:t>
            </w:r>
          </w:p>
        </w:tc>
        <w:tc>
          <w:tcPr>
            <w:tcW w:w="942" w:type="dxa"/>
            <w:noWrap w:val="0"/>
            <w:vAlign w:val="center"/>
          </w:tcPr>
          <w:p w14:paraId="4677B8A8">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重复性</w:t>
            </w:r>
          </w:p>
        </w:tc>
        <w:tc>
          <w:tcPr>
            <w:tcW w:w="1144" w:type="dxa"/>
            <w:noWrap w:val="0"/>
            <w:vAlign w:val="center"/>
          </w:tcPr>
          <w:p w14:paraId="441F38A0">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响应时间</w:t>
            </w:r>
          </w:p>
        </w:tc>
        <w:tc>
          <w:tcPr>
            <w:tcW w:w="1161" w:type="dxa"/>
            <w:noWrap w:val="0"/>
            <w:vAlign w:val="center"/>
          </w:tcPr>
          <w:p w14:paraId="36D5C6E5">
            <w:pPr>
              <w:pStyle w:val="5"/>
              <w:keepNext w:val="0"/>
              <w:keepLines w:val="0"/>
              <w:pageBreakBefore w:val="0"/>
              <w:wordWrap/>
              <w:overflowPunct/>
              <w:topLinePunct w:val="0"/>
              <w:bidi w:val="0"/>
              <w:adjustRightInd/>
              <w:spacing w:line="460" w:lineRule="exact"/>
              <w:jc w:val="center"/>
              <w:rPr>
                <w:rFonts w:hint="eastAsia" w:ascii="宋体" w:hAnsi="宋体" w:eastAsia="宋体" w:cs="宋体"/>
                <w:b/>
                <w:bCs/>
                <w:color w:val="auto"/>
                <w:spacing w:val="-5"/>
                <w:sz w:val="24"/>
                <w:szCs w:val="24"/>
                <w:highlight w:val="none"/>
                <w:lang w:val="en-US" w:eastAsia="zh-CN" w:bidi="zh-CN"/>
              </w:rPr>
            </w:pPr>
            <w:r>
              <w:rPr>
                <w:rFonts w:hint="eastAsia" w:ascii="宋体" w:hAnsi="宋体" w:eastAsia="宋体" w:cs="宋体"/>
                <w:b/>
                <w:bCs/>
                <w:color w:val="auto"/>
                <w:spacing w:val="-5"/>
                <w:sz w:val="24"/>
                <w:szCs w:val="24"/>
                <w:highlight w:val="none"/>
                <w:lang w:val="en-US" w:eastAsia="zh-CN" w:bidi="zh-CN"/>
              </w:rPr>
              <w:t>监测方法</w:t>
            </w:r>
          </w:p>
        </w:tc>
      </w:tr>
      <w:tr w14:paraId="36609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201" w:type="dxa"/>
            <w:noWrap w:val="0"/>
            <w:vAlign w:val="center"/>
          </w:tcPr>
          <w:p w14:paraId="2A2A532E">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NO</w:t>
            </w:r>
            <w:r>
              <w:rPr>
                <w:rFonts w:hint="eastAsia" w:ascii="宋体" w:hAnsi="宋体" w:eastAsia="宋体" w:cs="宋体"/>
                <w:color w:val="auto"/>
                <w:spacing w:val="-5"/>
                <w:sz w:val="24"/>
                <w:szCs w:val="24"/>
                <w:highlight w:val="none"/>
                <w:vertAlign w:val="subscript"/>
                <w:lang w:val="en-US" w:eastAsia="zh-CN" w:bidi="zh-CN"/>
              </w:rPr>
              <w:t>2</w:t>
            </w:r>
          </w:p>
        </w:tc>
        <w:tc>
          <w:tcPr>
            <w:tcW w:w="2238" w:type="dxa"/>
            <w:noWrap w:val="0"/>
            <w:vAlign w:val="center"/>
          </w:tcPr>
          <w:p w14:paraId="61ABD43A">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0～500 nmol/mol</w:t>
            </w:r>
          </w:p>
        </w:tc>
        <w:tc>
          <w:tcPr>
            <w:tcW w:w="1279" w:type="dxa"/>
            <w:noWrap w:val="0"/>
            <w:vAlign w:val="center"/>
          </w:tcPr>
          <w:p w14:paraId="27AAD4BE">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±10%FS</w:t>
            </w:r>
          </w:p>
        </w:tc>
        <w:tc>
          <w:tcPr>
            <w:tcW w:w="942" w:type="dxa"/>
            <w:noWrap w:val="0"/>
            <w:vAlign w:val="center"/>
          </w:tcPr>
          <w:p w14:paraId="438E0141">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≤5%</w:t>
            </w:r>
          </w:p>
        </w:tc>
        <w:tc>
          <w:tcPr>
            <w:tcW w:w="1144" w:type="dxa"/>
            <w:noWrap w:val="0"/>
            <w:vAlign w:val="center"/>
          </w:tcPr>
          <w:p w14:paraId="18631B76">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≤120s</w:t>
            </w:r>
          </w:p>
        </w:tc>
        <w:tc>
          <w:tcPr>
            <w:tcW w:w="1161" w:type="dxa"/>
            <w:noWrap w:val="0"/>
            <w:vAlign w:val="center"/>
          </w:tcPr>
          <w:p w14:paraId="16DD6D38">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电化学</w:t>
            </w:r>
          </w:p>
        </w:tc>
      </w:tr>
      <w:tr w14:paraId="2A91A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201" w:type="dxa"/>
            <w:noWrap w:val="0"/>
            <w:vAlign w:val="center"/>
          </w:tcPr>
          <w:p w14:paraId="76F9FDE6">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TVOC</w:t>
            </w:r>
          </w:p>
        </w:tc>
        <w:tc>
          <w:tcPr>
            <w:tcW w:w="2238" w:type="dxa"/>
            <w:noWrap w:val="0"/>
            <w:vAlign w:val="center"/>
          </w:tcPr>
          <w:p w14:paraId="5E1E35C0">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 xml:space="preserve">0～5 </w:t>
            </w:r>
            <w:r>
              <w:rPr>
                <w:rFonts w:hint="eastAsia" w:ascii="宋体" w:hAnsi="宋体" w:eastAsia="宋体" w:cs="宋体"/>
                <w:color w:val="auto"/>
                <w:sz w:val="24"/>
                <w:szCs w:val="24"/>
                <w:highlight w:val="none"/>
              </w:rPr>
              <w:t>u</w:t>
            </w:r>
            <w:r>
              <w:rPr>
                <w:rFonts w:hint="eastAsia" w:ascii="宋体" w:hAnsi="宋体" w:eastAsia="宋体" w:cs="宋体"/>
                <w:color w:val="auto"/>
                <w:spacing w:val="-5"/>
                <w:sz w:val="24"/>
                <w:szCs w:val="24"/>
                <w:highlight w:val="none"/>
                <w:lang w:val="en-US" w:eastAsia="zh-CN" w:bidi="zh-CN"/>
              </w:rPr>
              <w:t>mol/mol</w:t>
            </w:r>
          </w:p>
        </w:tc>
        <w:tc>
          <w:tcPr>
            <w:tcW w:w="1279" w:type="dxa"/>
            <w:noWrap w:val="0"/>
            <w:vAlign w:val="center"/>
          </w:tcPr>
          <w:p w14:paraId="7A55E465">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±10%FS</w:t>
            </w:r>
          </w:p>
        </w:tc>
        <w:tc>
          <w:tcPr>
            <w:tcW w:w="942" w:type="dxa"/>
            <w:noWrap w:val="0"/>
            <w:vAlign w:val="center"/>
          </w:tcPr>
          <w:p w14:paraId="2290838F">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≤5%</w:t>
            </w:r>
          </w:p>
        </w:tc>
        <w:tc>
          <w:tcPr>
            <w:tcW w:w="1144" w:type="dxa"/>
            <w:noWrap w:val="0"/>
            <w:vAlign w:val="center"/>
          </w:tcPr>
          <w:p w14:paraId="67BE22CC">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≤120s</w:t>
            </w:r>
          </w:p>
        </w:tc>
        <w:tc>
          <w:tcPr>
            <w:tcW w:w="1161" w:type="dxa"/>
            <w:noWrap w:val="0"/>
            <w:vAlign w:val="center"/>
          </w:tcPr>
          <w:p w14:paraId="7C60E979">
            <w:pPr>
              <w:pStyle w:val="5"/>
              <w:keepNext w:val="0"/>
              <w:keepLines w:val="0"/>
              <w:pageBreakBefore w:val="0"/>
              <w:wordWrap/>
              <w:overflowPunct/>
              <w:topLinePunct w:val="0"/>
              <w:bidi w:val="0"/>
              <w:adjustRightInd/>
              <w:spacing w:line="460" w:lineRule="exact"/>
              <w:jc w:val="center"/>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PID</w:t>
            </w:r>
          </w:p>
        </w:tc>
      </w:tr>
    </w:tbl>
    <w:p w14:paraId="60C4C8DE">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2.3</w:t>
      </w:r>
      <w:r>
        <w:rPr>
          <w:rFonts w:hint="eastAsia" w:ascii="宋体" w:hAnsi="宋体" w:eastAsia="宋体" w:cs="宋体"/>
          <w:b/>
          <w:bCs/>
          <w:color w:val="auto"/>
          <w:spacing w:val="-5"/>
          <w:sz w:val="24"/>
          <w:szCs w:val="24"/>
          <w:highlight w:val="none"/>
          <w:lang w:bidi="zh-CN"/>
        </w:rPr>
        <w:t>现场监测服务</w:t>
      </w:r>
    </w:p>
    <w:p w14:paraId="6B295F5D">
      <w:pPr>
        <w:pStyle w:val="5"/>
        <w:keepNext w:val="0"/>
        <w:keepLines w:val="0"/>
        <w:pageBreakBefore w:val="0"/>
        <w:wordWrap/>
        <w:overflowPunct/>
        <w:topLinePunct w:val="0"/>
        <w:bidi w:val="0"/>
        <w:adjustRightInd/>
        <w:spacing w:line="460" w:lineRule="exact"/>
        <w:ind w:right="1096" w:rightChars="522" w:firstLine="462"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2.3</w:t>
      </w:r>
      <w:r>
        <w:rPr>
          <w:rFonts w:hint="eastAsia" w:ascii="宋体" w:hAnsi="宋体" w:eastAsia="宋体" w:cs="宋体"/>
          <w:b/>
          <w:bCs/>
          <w:color w:val="auto"/>
          <w:spacing w:val="-5"/>
          <w:sz w:val="24"/>
          <w:szCs w:val="24"/>
          <w:highlight w:val="none"/>
          <w:lang w:bidi="zh-CN"/>
        </w:rPr>
        <w:t>.1 便携空气质量监测服务</w:t>
      </w:r>
    </w:p>
    <w:p w14:paraId="32B929B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en" w:bidi="zh-CN"/>
        </w:rPr>
        <w:t>中标人</w:t>
      </w:r>
      <w:r>
        <w:rPr>
          <w:rFonts w:hint="eastAsia" w:ascii="宋体" w:hAnsi="宋体" w:eastAsia="宋体" w:cs="宋体"/>
          <w:color w:val="auto"/>
          <w:spacing w:val="-5"/>
          <w:sz w:val="24"/>
          <w:szCs w:val="24"/>
          <w:highlight w:val="none"/>
          <w:lang w:bidi="zh-CN"/>
        </w:rPr>
        <w:t>应根据赣江新区实际情况配备至少1套</w:t>
      </w:r>
      <w:r>
        <w:rPr>
          <w:rFonts w:hint="eastAsia" w:ascii="宋体" w:hAnsi="宋体" w:eastAsia="宋体" w:cs="宋体"/>
          <w:color w:val="auto"/>
          <w:spacing w:val="-5"/>
          <w:sz w:val="24"/>
          <w:szCs w:val="24"/>
          <w:highlight w:val="none"/>
          <w:lang w:val="zh-CN" w:bidi="zh-CN"/>
        </w:rPr>
        <w:t>便携式</w:t>
      </w:r>
      <w:r>
        <w:rPr>
          <w:rFonts w:hint="eastAsia" w:ascii="宋体" w:hAnsi="宋体" w:eastAsia="宋体" w:cs="宋体"/>
          <w:color w:val="auto"/>
          <w:spacing w:val="-5"/>
          <w:sz w:val="24"/>
          <w:szCs w:val="24"/>
          <w:highlight w:val="none"/>
          <w:lang w:bidi="zh-CN"/>
        </w:rPr>
        <w:t>空气质量</w:t>
      </w:r>
      <w:r>
        <w:rPr>
          <w:rFonts w:hint="eastAsia" w:ascii="宋体" w:hAnsi="宋体" w:eastAsia="宋体" w:cs="宋体"/>
          <w:color w:val="auto"/>
          <w:spacing w:val="-5"/>
          <w:sz w:val="24"/>
          <w:szCs w:val="24"/>
          <w:highlight w:val="none"/>
          <w:lang w:val="zh-CN" w:bidi="zh-CN"/>
        </w:rPr>
        <w:t>监测</w:t>
      </w:r>
      <w:r>
        <w:rPr>
          <w:rFonts w:hint="eastAsia" w:ascii="宋体" w:hAnsi="宋体" w:eastAsia="宋体" w:cs="宋体"/>
          <w:color w:val="auto"/>
          <w:spacing w:val="-5"/>
          <w:sz w:val="24"/>
          <w:szCs w:val="24"/>
          <w:highlight w:val="none"/>
          <w:lang w:bidi="zh-CN"/>
        </w:rPr>
        <w:t>仪器，并提供本项目服务周期内的相关</w:t>
      </w:r>
      <w:r>
        <w:rPr>
          <w:rFonts w:hint="eastAsia" w:ascii="宋体" w:hAnsi="宋体" w:eastAsia="宋体" w:cs="宋体"/>
          <w:color w:val="auto"/>
          <w:spacing w:val="-5"/>
          <w:sz w:val="24"/>
          <w:szCs w:val="24"/>
          <w:highlight w:val="none"/>
          <w:lang w:val="zh-CN" w:bidi="zh-CN"/>
        </w:rPr>
        <w:t>监测服务。便携式</w:t>
      </w:r>
      <w:r>
        <w:rPr>
          <w:rFonts w:hint="eastAsia" w:ascii="宋体" w:hAnsi="宋体" w:eastAsia="宋体" w:cs="宋体"/>
          <w:color w:val="auto"/>
          <w:spacing w:val="-5"/>
          <w:sz w:val="24"/>
          <w:szCs w:val="24"/>
          <w:highlight w:val="none"/>
          <w:lang w:bidi="zh-CN"/>
        </w:rPr>
        <w:t>空气质量</w:t>
      </w:r>
      <w:r>
        <w:rPr>
          <w:rFonts w:hint="eastAsia" w:ascii="宋体" w:hAnsi="宋体" w:eastAsia="宋体" w:cs="宋体"/>
          <w:color w:val="auto"/>
          <w:spacing w:val="-5"/>
          <w:sz w:val="24"/>
          <w:szCs w:val="24"/>
          <w:highlight w:val="none"/>
          <w:lang w:val="zh-CN" w:bidi="zh-CN"/>
        </w:rPr>
        <w:t>监测</w:t>
      </w:r>
      <w:r>
        <w:rPr>
          <w:rFonts w:hint="eastAsia" w:ascii="宋体" w:hAnsi="宋体" w:eastAsia="宋体" w:cs="宋体"/>
          <w:color w:val="auto"/>
          <w:spacing w:val="-5"/>
          <w:sz w:val="24"/>
          <w:szCs w:val="24"/>
          <w:highlight w:val="none"/>
          <w:lang w:bidi="zh-CN"/>
        </w:rPr>
        <w:t>仪器应具备</w:t>
      </w:r>
      <w:r>
        <w:rPr>
          <w:rFonts w:hint="eastAsia" w:ascii="宋体" w:hAnsi="宋体" w:eastAsia="宋体" w:cs="宋体"/>
          <w:color w:val="auto"/>
          <w:spacing w:val="-5"/>
          <w:sz w:val="24"/>
          <w:szCs w:val="24"/>
          <w:highlight w:val="none"/>
          <w:lang w:val="zh-CN" w:bidi="zh-CN"/>
        </w:rPr>
        <w:t>监测项目包括但不限于：SO</w:t>
      </w:r>
      <w:r>
        <w:rPr>
          <w:rFonts w:hint="eastAsia" w:ascii="宋体" w:hAnsi="宋体" w:eastAsia="宋体" w:cs="宋体"/>
          <w:color w:val="auto"/>
          <w:spacing w:val="-5"/>
          <w:sz w:val="24"/>
          <w:szCs w:val="24"/>
          <w:highlight w:val="none"/>
          <w:vertAlign w:val="subscript"/>
          <w:lang w:val="zh-CN" w:bidi="zh-CN"/>
        </w:rPr>
        <w:t>2</w:t>
      </w:r>
      <w:r>
        <w:rPr>
          <w:rFonts w:hint="eastAsia" w:ascii="宋体" w:hAnsi="宋体" w:eastAsia="宋体" w:cs="宋体"/>
          <w:color w:val="auto"/>
          <w:spacing w:val="-5"/>
          <w:sz w:val="24"/>
          <w:szCs w:val="24"/>
          <w:highlight w:val="none"/>
          <w:lang w:val="zh-CN" w:bidi="zh-CN"/>
        </w:rPr>
        <w:t>、NO</w:t>
      </w:r>
      <w:r>
        <w:rPr>
          <w:rFonts w:hint="eastAsia" w:ascii="宋体" w:hAnsi="宋体" w:eastAsia="宋体" w:cs="宋体"/>
          <w:color w:val="auto"/>
          <w:spacing w:val="-5"/>
          <w:sz w:val="24"/>
          <w:szCs w:val="24"/>
          <w:highlight w:val="none"/>
          <w:vertAlign w:val="subscript"/>
          <w:lang w:val="zh-CN" w:bidi="zh-CN"/>
        </w:rPr>
        <w:t>2</w:t>
      </w:r>
      <w:r>
        <w:rPr>
          <w:rFonts w:hint="eastAsia" w:ascii="宋体" w:hAnsi="宋体" w:eastAsia="宋体" w:cs="宋体"/>
          <w:color w:val="auto"/>
          <w:spacing w:val="-5"/>
          <w:sz w:val="24"/>
          <w:szCs w:val="24"/>
          <w:highlight w:val="none"/>
          <w:lang w:val="zh-CN" w:bidi="zh-CN"/>
        </w:rPr>
        <w:t>、CO、O</w:t>
      </w:r>
      <w:r>
        <w:rPr>
          <w:rFonts w:hint="eastAsia" w:ascii="宋体" w:hAnsi="宋体" w:eastAsia="宋体" w:cs="宋体"/>
          <w:color w:val="auto"/>
          <w:spacing w:val="-5"/>
          <w:sz w:val="24"/>
          <w:szCs w:val="24"/>
          <w:highlight w:val="none"/>
          <w:vertAlign w:val="subscript"/>
          <w:lang w:val="zh-CN" w:bidi="zh-CN"/>
        </w:rPr>
        <w:t>3</w:t>
      </w:r>
      <w:r>
        <w:rPr>
          <w:rFonts w:hint="eastAsia" w:ascii="宋体" w:hAnsi="宋体" w:eastAsia="宋体" w:cs="宋体"/>
          <w:color w:val="auto"/>
          <w:spacing w:val="-5"/>
          <w:sz w:val="24"/>
          <w:szCs w:val="24"/>
          <w:highlight w:val="none"/>
          <w:lang w:val="zh-CN" w:bidi="zh-CN"/>
        </w:rPr>
        <w:t>、PM</w:t>
      </w:r>
      <w:r>
        <w:rPr>
          <w:rFonts w:hint="eastAsia" w:ascii="宋体" w:hAnsi="宋体" w:eastAsia="宋体" w:cs="宋体"/>
          <w:color w:val="auto"/>
          <w:spacing w:val="-5"/>
          <w:sz w:val="24"/>
          <w:szCs w:val="24"/>
          <w:highlight w:val="none"/>
          <w:vertAlign w:val="subscript"/>
          <w:lang w:val="zh-CN" w:bidi="zh-CN"/>
        </w:rPr>
        <w:t>10</w:t>
      </w:r>
      <w:r>
        <w:rPr>
          <w:rFonts w:hint="eastAsia" w:ascii="宋体" w:hAnsi="宋体" w:eastAsia="宋体" w:cs="宋体"/>
          <w:color w:val="auto"/>
          <w:spacing w:val="-5"/>
          <w:sz w:val="24"/>
          <w:szCs w:val="24"/>
          <w:highlight w:val="none"/>
          <w:lang w:val="zh-CN" w:bidi="zh-CN"/>
        </w:rPr>
        <w:t>、PM</w:t>
      </w:r>
      <w:r>
        <w:rPr>
          <w:rFonts w:hint="eastAsia" w:ascii="宋体" w:hAnsi="宋体" w:eastAsia="宋体" w:cs="宋体"/>
          <w:color w:val="auto"/>
          <w:spacing w:val="-5"/>
          <w:sz w:val="24"/>
          <w:szCs w:val="24"/>
          <w:highlight w:val="none"/>
          <w:vertAlign w:val="subscript"/>
          <w:lang w:val="zh-CN" w:bidi="zh-CN"/>
        </w:rPr>
        <w:t>2.5</w:t>
      </w:r>
      <w:r>
        <w:rPr>
          <w:rFonts w:hint="eastAsia" w:ascii="宋体" w:hAnsi="宋体" w:eastAsia="宋体" w:cs="宋体"/>
          <w:color w:val="auto"/>
          <w:spacing w:val="-5"/>
          <w:sz w:val="24"/>
          <w:szCs w:val="24"/>
          <w:highlight w:val="none"/>
          <w:lang w:val="zh-CN" w:bidi="zh-CN"/>
        </w:rPr>
        <w:t>、TVOC及温、湿度，并支持三大主流卫星定位系统：</w:t>
      </w:r>
      <w:r>
        <w:rPr>
          <w:rFonts w:hint="eastAsia" w:ascii="宋体" w:hAnsi="宋体" w:eastAsia="宋体" w:cs="宋体"/>
          <w:color w:val="auto"/>
          <w:spacing w:val="-5"/>
          <w:sz w:val="24"/>
          <w:szCs w:val="24"/>
          <w:highlight w:val="none"/>
          <w:lang w:val="en-US" w:bidi="zh-CN"/>
        </w:rPr>
        <w:t>北斗、</w:t>
      </w:r>
      <w:r>
        <w:rPr>
          <w:rFonts w:hint="eastAsia" w:ascii="宋体" w:hAnsi="宋体" w:eastAsia="宋体" w:cs="宋体"/>
          <w:color w:val="auto"/>
          <w:spacing w:val="-5"/>
          <w:sz w:val="24"/>
          <w:szCs w:val="24"/>
          <w:highlight w:val="none"/>
          <w:lang w:val="zh-CN" w:bidi="zh-CN"/>
        </w:rPr>
        <w:t>GPS、GLON-ASS，支持走航方式。同时配备相应APP，APP支持便携监测设备监测数据实时上传，在地图上实时展示轨迹的功能。</w:t>
      </w:r>
      <w:r>
        <w:rPr>
          <w:rFonts w:hint="eastAsia" w:ascii="宋体" w:hAnsi="宋体" w:eastAsia="宋体" w:cs="宋体"/>
          <w:color w:val="auto"/>
          <w:spacing w:val="-5"/>
          <w:kern w:val="0"/>
          <w:sz w:val="24"/>
          <w:szCs w:val="24"/>
          <w:highlight w:val="none"/>
          <w:lang w:val="en-US" w:eastAsia="zh-CN" w:bidi="zh-CN"/>
        </w:rPr>
        <w:t>服务</w:t>
      </w:r>
      <w:r>
        <w:rPr>
          <w:rFonts w:hint="eastAsia" w:ascii="宋体" w:hAnsi="宋体" w:eastAsia="宋体" w:cs="宋体"/>
          <w:color w:val="auto"/>
          <w:spacing w:val="-5"/>
          <w:sz w:val="24"/>
          <w:szCs w:val="24"/>
          <w:highlight w:val="none"/>
          <w:lang w:val="en-US" w:bidi="zh-CN"/>
        </w:rPr>
        <w:t>所需监测设备主要</w:t>
      </w:r>
      <w:r>
        <w:rPr>
          <w:rFonts w:hint="eastAsia" w:ascii="宋体" w:hAnsi="宋体" w:eastAsia="宋体" w:cs="宋体"/>
          <w:color w:val="auto"/>
          <w:spacing w:val="-5"/>
          <w:sz w:val="24"/>
          <w:szCs w:val="24"/>
          <w:highlight w:val="none"/>
          <w:lang w:bidi="zh-CN"/>
        </w:rPr>
        <w:t>技术要求如下：</w:t>
      </w:r>
    </w:p>
    <w:tbl>
      <w:tblPr>
        <w:tblStyle w:val="6"/>
        <w:tblW w:w="74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4"/>
        <w:gridCol w:w="1874"/>
        <w:gridCol w:w="1874"/>
        <w:gridCol w:w="1877"/>
      </w:tblGrid>
      <w:tr w14:paraId="014B4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63EBEE27">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监测指标</w:t>
            </w:r>
          </w:p>
        </w:tc>
        <w:tc>
          <w:tcPr>
            <w:tcW w:w="1874" w:type="dxa"/>
            <w:noWrap w:val="0"/>
            <w:vAlign w:val="top"/>
          </w:tcPr>
          <w:p w14:paraId="489E81A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测量范围</w:t>
            </w:r>
          </w:p>
        </w:tc>
        <w:tc>
          <w:tcPr>
            <w:tcW w:w="1874" w:type="dxa"/>
            <w:noWrap w:val="0"/>
            <w:vAlign w:val="top"/>
          </w:tcPr>
          <w:p w14:paraId="32195E7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分辨率</w:t>
            </w:r>
          </w:p>
        </w:tc>
        <w:tc>
          <w:tcPr>
            <w:tcW w:w="1877" w:type="dxa"/>
            <w:noWrap w:val="0"/>
            <w:vAlign w:val="top"/>
          </w:tcPr>
          <w:p w14:paraId="07D49169">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监测方法</w:t>
            </w:r>
          </w:p>
        </w:tc>
      </w:tr>
      <w:tr w14:paraId="11DF8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1E37B6E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PM</w:t>
            </w:r>
            <w:r>
              <w:rPr>
                <w:rFonts w:hint="eastAsia" w:ascii="宋体" w:hAnsi="宋体" w:eastAsia="宋体" w:cs="宋体"/>
                <w:color w:val="auto"/>
                <w:sz w:val="24"/>
                <w:szCs w:val="24"/>
                <w:highlight w:val="none"/>
                <w:vertAlign w:val="subscript"/>
              </w:rPr>
              <w:t>2.5</w:t>
            </w:r>
          </w:p>
        </w:tc>
        <w:tc>
          <w:tcPr>
            <w:tcW w:w="1874" w:type="dxa"/>
            <w:noWrap w:val="0"/>
            <w:vAlign w:val="top"/>
          </w:tcPr>
          <w:p w14:paraId="7DA58209">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0～1000</w:t>
            </w:r>
            <w:r>
              <w:rPr>
                <w:rFonts w:hint="eastAsia" w:ascii="宋体" w:hAnsi="宋体" w:eastAsia="宋体" w:cs="宋体"/>
                <w:color w:val="auto"/>
                <w:sz w:val="24"/>
                <w:szCs w:val="24"/>
                <w:highlight w:val="none"/>
                <w:lang w:eastAsia="zh-CN"/>
              </w:rPr>
              <w:t>μg/m</w:t>
            </w:r>
            <w:r>
              <w:rPr>
                <w:rFonts w:hint="eastAsia" w:ascii="宋体" w:hAnsi="宋体" w:eastAsia="宋体" w:cs="宋体"/>
                <w:color w:val="auto"/>
                <w:sz w:val="24"/>
                <w:szCs w:val="24"/>
                <w:highlight w:val="none"/>
                <w:vertAlign w:val="superscript"/>
                <w:lang w:eastAsia="zh-CN"/>
              </w:rPr>
              <w:t>3</w:t>
            </w:r>
          </w:p>
        </w:tc>
        <w:tc>
          <w:tcPr>
            <w:tcW w:w="1874" w:type="dxa"/>
            <w:noWrap w:val="0"/>
            <w:vAlign w:val="top"/>
          </w:tcPr>
          <w:p w14:paraId="06D1C73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μg/m</w:t>
            </w:r>
            <w:r>
              <w:rPr>
                <w:rFonts w:hint="eastAsia" w:ascii="宋体" w:hAnsi="宋体" w:eastAsia="宋体" w:cs="宋体"/>
                <w:color w:val="auto"/>
                <w:sz w:val="24"/>
                <w:szCs w:val="24"/>
                <w:highlight w:val="none"/>
                <w:vertAlign w:val="superscript"/>
                <w:lang w:eastAsia="zh-CN"/>
              </w:rPr>
              <w:t>3</w:t>
            </w:r>
          </w:p>
        </w:tc>
        <w:tc>
          <w:tcPr>
            <w:tcW w:w="1877" w:type="dxa"/>
            <w:noWrap w:val="0"/>
            <w:vAlign w:val="top"/>
          </w:tcPr>
          <w:p w14:paraId="7DA024EC">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光散射法</w:t>
            </w:r>
          </w:p>
        </w:tc>
      </w:tr>
      <w:tr w14:paraId="04093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72E958A1">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PM</w:t>
            </w:r>
            <w:r>
              <w:rPr>
                <w:rFonts w:hint="eastAsia" w:ascii="宋体" w:hAnsi="宋体" w:eastAsia="宋体" w:cs="宋体"/>
                <w:color w:val="auto"/>
                <w:sz w:val="24"/>
                <w:szCs w:val="24"/>
                <w:highlight w:val="none"/>
                <w:vertAlign w:val="subscript"/>
              </w:rPr>
              <w:t>10</w:t>
            </w:r>
          </w:p>
        </w:tc>
        <w:tc>
          <w:tcPr>
            <w:tcW w:w="1874" w:type="dxa"/>
            <w:noWrap w:val="0"/>
            <w:vAlign w:val="top"/>
          </w:tcPr>
          <w:p w14:paraId="46D8F6B1">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0～1000</w:t>
            </w:r>
            <w:r>
              <w:rPr>
                <w:rFonts w:hint="eastAsia" w:ascii="宋体" w:hAnsi="宋体" w:eastAsia="宋体" w:cs="宋体"/>
                <w:color w:val="auto"/>
                <w:sz w:val="24"/>
                <w:szCs w:val="24"/>
                <w:highlight w:val="none"/>
                <w:lang w:eastAsia="zh-CN"/>
              </w:rPr>
              <w:t>μg/m</w:t>
            </w:r>
            <w:r>
              <w:rPr>
                <w:rFonts w:hint="eastAsia" w:ascii="宋体" w:hAnsi="宋体" w:eastAsia="宋体" w:cs="宋体"/>
                <w:color w:val="auto"/>
                <w:sz w:val="24"/>
                <w:szCs w:val="24"/>
                <w:highlight w:val="none"/>
                <w:vertAlign w:val="superscript"/>
                <w:lang w:eastAsia="zh-CN"/>
              </w:rPr>
              <w:t>3</w:t>
            </w:r>
          </w:p>
        </w:tc>
        <w:tc>
          <w:tcPr>
            <w:tcW w:w="1874" w:type="dxa"/>
            <w:noWrap w:val="0"/>
            <w:vAlign w:val="top"/>
          </w:tcPr>
          <w:p w14:paraId="62D1DE2A">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μg/m</w:t>
            </w:r>
            <w:r>
              <w:rPr>
                <w:rFonts w:hint="eastAsia" w:ascii="宋体" w:hAnsi="宋体" w:eastAsia="宋体" w:cs="宋体"/>
                <w:color w:val="auto"/>
                <w:sz w:val="24"/>
                <w:szCs w:val="24"/>
                <w:highlight w:val="none"/>
                <w:vertAlign w:val="superscript"/>
                <w:lang w:eastAsia="zh-CN"/>
              </w:rPr>
              <w:t>3</w:t>
            </w:r>
          </w:p>
        </w:tc>
        <w:tc>
          <w:tcPr>
            <w:tcW w:w="1877" w:type="dxa"/>
            <w:noWrap w:val="0"/>
            <w:vAlign w:val="top"/>
          </w:tcPr>
          <w:p w14:paraId="4C39822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光散射法</w:t>
            </w:r>
          </w:p>
        </w:tc>
      </w:tr>
      <w:tr w14:paraId="7362B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09FB0D4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SO</w:t>
            </w:r>
            <w:r>
              <w:rPr>
                <w:rFonts w:hint="eastAsia" w:ascii="宋体" w:hAnsi="宋体" w:eastAsia="宋体" w:cs="宋体"/>
                <w:color w:val="auto"/>
                <w:sz w:val="24"/>
                <w:szCs w:val="24"/>
                <w:highlight w:val="none"/>
                <w:vertAlign w:val="subscript"/>
              </w:rPr>
              <w:t>2</w:t>
            </w:r>
          </w:p>
        </w:tc>
        <w:tc>
          <w:tcPr>
            <w:tcW w:w="1874" w:type="dxa"/>
            <w:noWrap w:val="0"/>
            <w:vAlign w:val="top"/>
          </w:tcPr>
          <w:p w14:paraId="1FE5F237">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ppm</w:t>
            </w:r>
          </w:p>
        </w:tc>
        <w:tc>
          <w:tcPr>
            <w:tcW w:w="1874" w:type="dxa"/>
            <w:noWrap w:val="0"/>
            <w:vAlign w:val="top"/>
          </w:tcPr>
          <w:p w14:paraId="013193F6">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pp</w:t>
            </w:r>
            <w:r>
              <w:rPr>
                <w:rFonts w:hint="eastAsia" w:ascii="宋体" w:hAnsi="宋体" w:eastAsia="宋体" w:cs="宋体"/>
                <w:color w:val="auto"/>
                <w:sz w:val="24"/>
                <w:szCs w:val="24"/>
                <w:highlight w:val="none"/>
                <w:lang w:val="en-US" w:eastAsia="zh-CN"/>
              </w:rPr>
              <w:t>b</w:t>
            </w:r>
          </w:p>
        </w:tc>
        <w:tc>
          <w:tcPr>
            <w:tcW w:w="1877" w:type="dxa"/>
            <w:noWrap w:val="0"/>
            <w:vAlign w:val="top"/>
          </w:tcPr>
          <w:p w14:paraId="0B7FE68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电化学</w:t>
            </w:r>
          </w:p>
        </w:tc>
      </w:tr>
      <w:tr w14:paraId="33DCF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3B7F363C">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vertAlign w:val="subscript"/>
              </w:rPr>
              <w:t>3</w:t>
            </w:r>
          </w:p>
        </w:tc>
        <w:tc>
          <w:tcPr>
            <w:tcW w:w="1874" w:type="dxa"/>
            <w:noWrap w:val="0"/>
            <w:vAlign w:val="top"/>
          </w:tcPr>
          <w:p w14:paraId="519910DC">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ppm</w:t>
            </w:r>
          </w:p>
        </w:tc>
        <w:tc>
          <w:tcPr>
            <w:tcW w:w="1874" w:type="dxa"/>
            <w:noWrap w:val="0"/>
            <w:vAlign w:val="top"/>
          </w:tcPr>
          <w:p w14:paraId="05B5F99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pp</w:t>
            </w:r>
            <w:r>
              <w:rPr>
                <w:rFonts w:hint="eastAsia" w:ascii="宋体" w:hAnsi="宋体" w:eastAsia="宋体" w:cs="宋体"/>
                <w:color w:val="auto"/>
                <w:sz w:val="24"/>
                <w:szCs w:val="24"/>
                <w:highlight w:val="none"/>
                <w:lang w:val="en-US" w:eastAsia="zh-CN"/>
              </w:rPr>
              <w:t>b</w:t>
            </w:r>
          </w:p>
        </w:tc>
        <w:tc>
          <w:tcPr>
            <w:tcW w:w="1877" w:type="dxa"/>
            <w:noWrap w:val="0"/>
            <w:vAlign w:val="top"/>
          </w:tcPr>
          <w:p w14:paraId="6EE0030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电化学</w:t>
            </w:r>
          </w:p>
        </w:tc>
      </w:tr>
      <w:tr w14:paraId="4E83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72344BBD">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NO</w:t>
            </w:r>
            <w:r>
              <w:rPr>
                <w:rFonts w:hint="eastAsia" w:ascii="宋体" w:hAnsi="宋体" w:eastAsia="宋体" w:cs="宋体"/>
                <w:color w:val="auto"/>
                <w:sz w:val="24"/>
                <w:szCs w:val="24"/>
                <w:highlight w:val="none"/>
                <w:vertAlign w:val="subscript"/>
              </w:rPr>
              <w:t>2</w:t>
            </w:r>
          </w:p>
        </w:tc>
        <w:tc>
          <w:tcPr>
            <w:tcW w:w="1874" w:type="dxa"/>
            <w:noWrap w:val="0"/>
            <w:vAlign w:val="top"/>
          </w:tcPr>
          <w:p w14:paraId="2939EB9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0～20ppm</w:t>
            </w:r>
          </w:p>
        </w:tc>
        <w:tc>
          <w:tcPr>
            <w:tcW w:w="1874" w:type="dxa"/>
            <w:noWrap w:val="0"/>
            <w:vAlign w:val="top"/>
          </w:tcPr>
          <w:p w14:paraId="12F6143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pp</w:t>
            </w:r>
            <w:r>
              <w:rPr>
                <w:rFonts w:hint="eastAsia" w:ascii="宋体" w:hAnsi="宋体" w:eastAsia="宋体" w:cs="宋体"/>
                <w:color w:val="auto"/>
                <w:sz w:val="24"/>
                <w:szCs w:val="24"/>
                <w:highlight w:val="none"/>
                <w:lang w:val="en-US" w:eastAsia="zh-CN"/>
              </w:rPr>
              <w:t>b</w:t>
            </w:r>
          </w:p>
        </w:tc>
        <w:tc>
          <w:tcPr>
            <w:tcW w:w="1877" w:type="dxa"/>
            <w:noWrap w:val="0"/>
            <w:vAlign w:val="top"/>
          </w:tcPr>
          <w:p w14:paraId="6F6310BD">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电化学</w:t>
            </w:r>
          </w:p>
        </w:tc>
      </w:tr>
      <w:tr w14:paraId="3D43E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74" w:type="dxa"/>
            <w:noWrap w:val="0"/>
            <w:vAlign w:val="top"/>
          </w:tcPr>
          <w:p w14:paraId="557A2507">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CO</w:t>
            </w:r>
          </w:p>
        </w:tc>
        <w:tc>
          <w:tcPr>
            <w:tcW w:w="1874" w:type="dxa"/>
            <w:noWrap w:val="0"/>
            <w:vAlign w:val="top"/>
          </w:tcPr>
          <w:p w14:paraId="2102A08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0～50mg/m</w:t>
            </w:r>
            <w:r>
              <w:rPr>
                <w:rFonts w:hint="eastAsia" w:ascii="宋体" w:hAnsi="宋体" w:eastAsia="宋体" w:cs="宋体"/>
                <w:color w:val="auto"/>
                <w:sz w:val="24"/>
                <w:szCs w:val="24"/>
                <w:highlight w:val="none"/>
                <w:vertAlign w:val="superscript"/>
              </w:rPr>
              <w:t>3</w:t>
            </w:r>
          </w:p>
        </w:tc>
        <w:tc>
          <w:tcPr>
            <w:tcW w:w="1874" w:type="dxa"/>
            <w:noWrap w:val="0"/>
            <w:vAlign w:val="top"/>
          </w:tcPr>
          <w:p w14:paraId="54BEE9E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pp</w:t>
            </w:r>
            <w:r>
              <w:rPr>
                <w:rFonts w:hint="eastAsia" w:ascii="宋体" w:hAnsi="宋体" w:eastAsia="宋体" w:cs="宋体"/>
                <w:color w:val="auto"/>
                <w:sz w:val="24"/>
                <w:szCs w:val="24"/>
                <w:highlight w:val="none"/>
                <w:lang w:val="en-US" w:eastAsia="zh-CN"/>
              </w:rPr>
              <w:t>b</w:t>
            </w:r>
          </w:p>
        </w:tc>
        <w:tc>
          <w:tcPr>
            <w:tcW w:w="1877" w:type="dxa"/>
            <w:noWrap w:val="0"/>
            <w:vAlign w:val="top"/>
          </w:tcPr>
          <w:p w14:paraId="75D9038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电化学</w:t>
            </w:r>
          </w:p>
        </w:tc>
      </w:tr>
      <w:tr w14:paraId="303F5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1874" w:type="dxa"/>
            <w:noWrap w:val="0"/>
            <w:vAlign w:val="top"/>
          </w:tcPr>
          <w:p w14:paraId="203DCE6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TVOC</w:t>
            </w:r>
          </w:p>
        </w:tc>
        <w:tc>
          <w:tcPr>
            <w:tcW w:w="1874" w:type="dxa"/>
            <w:noWrap w:val="0"/>
            <w:vAlign w:val="top"/>
          </w:tcPr>
          <w:p w14:paraId="7F3061A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ppm</w:t>
            </w:r>
          </w:p>
        </w:tc>
        <w:tc>
          <w:tcPr>
            <w:tcW w:w="1874" w:type="dxa"/>
            <w:noWrap w:val="0"/>
            <w:vAlign w:val="top"/>
          </w:tcPr>
          <w:p w14:paraId="29B27EE6">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≤1pp</w:t>
            </w:r>
            <w:r>
              <w:rPr>
                <w:rFonts w:hint="eastAsia" w:ascii="宋体" w:hAnsi="宋体" w:eastAsia="宋体" w:cs="宋体"/>
                <w:color w:val="auto"/>
                <w:sz w:val="24"/>
                <w:szCs w:val="24"/>
                <w:highlight w:val="none"/>
                <w:lang w:val="en-US" w:eastAsia="zh-CN"/>
              </w:rPr>
              <w:t>b</w:t>
            </w:r>
          </w:p>
        </w:tc>
        <w:tc>
          <w:tcPr>
            <w:tcW w:w="1877" w:type="dxa"/>
            <w:noWrap w:val="0"/>
            <w:vAlign w:val="top"/>
          </w:tcPr>
          <w:p w14:paraId="69A70AB2">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PID</w:t>
            </w:r>
          </w:p>
        </w:tc>
      </w:tr>
    </w:tbl>
    <w:p w14:paraId="789A4BB4">
      <w:pPr>
        <w:pStyle w:val="5"/>
        <w:keepNext w:val="0"/>
        <w:keepLines w:val="0"/>
        <w:pageBreakBefore w:val="0"/>
        <w:wordWrap/>
        <w:overflowPunct/>
        <w:topLinePunct w:val="0"/>
        <w:bidi w:val="0"/>
        <w:adjustRightInd/>
        <w:spacing w:line="460" w:lineRule="exact"/>
        <w:ind w:right="1096" w:rightChars="522"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eastAsia="zh-CN" w:bidi="zh-CN"/>
        </w:rPr>
        <w:t>2.3.2 便携</w:t>
      </w:r>
      <w:r>
        <w:rPr>
          <w:rFonts w:hint="eastAsia" w:ascii="宋体" w:hAnsi="宋体" w:eastAsia="宋体" w:cs="宋体"/>
          <w:b/>
          <w:bCs/>
          <w:color w:val="auto"/>
          <w:spacing w:val="-5"/>
          <w:sz w:val="24"/>
          <w:szCs w:val="24"/>
          <w:highlight w:val="none"/>
          <w:lang w:eastAsia="zh-CN" w:bidi="zh-CN"/>
        </w:rPr>
        <w:t>餐饮油烟检测服务</w:t>
      </w:r>
    </w:p>
    <w:p w14:paraId="64A66398">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sz w:val="24"/>
          <w:szCs w:val="24"/>
          <w:highlight w:val="none"/>
          <w:lang w:val="en" w:bidi="zh-CN"/>
        </w:rPr>
        <w:t>中标人应根据赣江新区实际情况配备至少1套便携式油烟检测仪器，</w:t>
      </w:r>
      <w:r>
        <w:rPr>
          <w:rFonts w:hint="eastAsia" w:ascii="宋体" w:hAnsi="宋体" w:eastAsia="宋体" w:cs="宋体"/>
          <w:color w:val="auto"/>
          <w:spacing w:val="-5"/>
          <w:sz w:val="24"/>
          <w:szCs w:val="24"/>
          <w:highlight w:val="none"/>
          <w:lang w:bidi="zh-CN"/>
        </w:rPr>
        <w:t>并提供本项目服务周期内的相关</w:t>
      </w:r>
      <w:r>
        <w:rPr>
          <w:rFonts w:hint="eastAsia" w:ascii="宋体" w:hAnsi="宋体" w:eastAsia="宋体" w:cs="宋体"/>
          <w:color w:val="auto"/>
          <w:spacing w:val="-5"/>
          <w:sz w:val="24"/>
          <w:szCs w:val="24"/>
          <w:highlight w:val="none"/>
          <w:lang w:val="zh-CN" w:bidi="zh-CN"/>
        </w:rPr>
        <w:t>监测服务。</w:t>
      </w:r>
      <w:r>
        <w:rPr>
          <w:rFonts w:hint="eastAsia" w:ascii="宋体" w:hAnsi="宋体" w:eastAsia="宋体" w:cs="宋体"/>
          <w:color w:val="auto"/>
          <w:spacing w:val="-5"/>
          <w:sz w:val="24"/>
          <w:szCs w:val="24"/>
          <w:highlight w:val="none"/>
          <w:lang w:val="en" w:bidi="zh-CN"/>
        </w:rPr>
        <w:t>利用便携式油烟检测</w:t>
      </w:r>
      <w:r>
        <w:rPr>
          <w:rFonts w:hint="eastAsia" w:ascii="宋体" w:hAnsi="宋体" w:eastAsia="宋体" w:cs="宋体"/>
          <w:color w:val="auto"/>
          <w:spacing w:val="-5"/>
          <w:sz w:val="24"/>
          <w:szCs w:val="24"/>
          <w:highlight w:val="none"/>
          <w:lang w:val="en-US" w:bidi="zh-CN"/>
        </w:rPr>
        <w:t>仪器</w:t>
      </w:r>
      <w:r>
        <w:rPr>
          <w:rFonts w:hint="eastAsia" w:ascii="宋体" w:hAnsi="宋体" w:eastAsia="宋体" w:cs="宋体"/>
          <w:color w:val="auto"/>
          <w:spacing w:val="-5"/>
          <w:sz w:val="24"/>
          <w:szCs w:val="24"/>
          <w:highlight w:val="none"/>
          <w:lang w:val="en" w:bidi="zh-CN"/>
        </w:rPr>
        <w:t>对</w:t>
      </w:r>
      <w:r>
        <w:rPr>
          <w:rFonts w:hint="eastAsia" w:ascii="宋体" w:hAnsi="宋体" w:eastAsia="宋体" w:cs="宋体"/>
          <w:color w:val="auto"/>
          <w:spacing w:val="-5"/>
          <w:sz w:val="24"/>
          <w:szCs w:val="24"/>
          <w:highlight w:val="none"/>
          <w:lang w:bidi="zh-CN"/>
        </w:rPr>
        <w:t>赣江新区</w:t>
      </w:r>
      <w:r>
        <w:rPr>
          <w:rFonts w:hint="eastAsia" w:ascii="宋体" w:hAnsi="宋体" w:eastAsia="宋体" w:cs="宋体"/>
          <w:color w:val="auto"/>
          <w:spacing w:val="-5"/>
          <w:sz w:val="24"/>
          <w:szCs w:val="24"/>
          <w:highlight w:val="none"/>
          <w:lang w:val="en-US" w:bidi="zh-CN"/>
        </w:rPr>
        <w:t>直管区</w:t>
      </w:r>
      <w:r>
        <w:rPr>
          <w:rFonts w:hint="eastAsia" w:ascii="宋体" w:hAnsi="宋体" w:eastAsia="宋体" w:cs="宋体"/>
          <w:color w:val="auto"/>
          <w:spacing w:val="-5"/>
          <w:sz w:val="24"/>
          <w:szCs w:val="24"/>
          <w:highlight w:val="none"/>
          <w:lang w:val="en" w:bidi="zh-CN"/>
        </w:rPr>
        <w:t>重点餐饮经营户开展油烟排放情况进行检测。</w:t>
      </w:r>
      <w:r>
        <w:rPr>
          <w:rFonts w:hint="eastAsia" w:ascii="宋体" w:hAnsi="宋体" w:eastAsia="宋体" w:cs="宋体"/>
          <w:color w:val="auto"/>
          <w:spacing w:val="-5"/>
          <w:kern w:val="0"/>
          <w:sz w:val="24"/>
          <w:szCs w:val="24"/>
          <w:highlight w:val="none"/>
          <w:lang w:val="en-US" w:eastAsia="zh-CN" w:bidi="zh-CN"/>
        </w:rPr>
        <w:t>服务</w:t>
      </w:r>
      <w:r>
        <w:rPr>
          <w:rFonts w:hint="eastAsia" w:ascii="宋体" w:hAnsi="宋体" w:eastAsia="宋体" w:cs="宋体"/>
          <w:color w:val="auto"/>
          <w:spacing w:val="-5"/>
          <w:sz w:val="24"/>
          <w:szCs w:val="24"/>
          <w:highlight w:val="none"/>
          <w:lang w:val="en-US" w:bidi="zh-CN"/>
        </w:rPr>
        <w:t>所需检测设备主要</w:t>
      </w:r>
      <w:r>
        <w:rPr>
          <w:rFonts w:hint="eastAsia" w:ascii="宋体" w:hAnsi="宋体" w:eastAsia="宋体" w:cs="宋体"/>
          <w:color w:val="auto"/>
          <w:spacing w:val="-5"/>
          <w:sz w:val="24"/>
          <w:szCs w:val="24"/>
          <w:highlight w:val="none"/>
          <w:lang w:bidi="zh-CN"/>
        </w:rPr>
        <w:t>技术要求如下：</w:t>
      </w:r>
    </w:p>
    <w:p w14:paraId="420C81D2">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sz w:val="24"/>
          <w:szCs w:val="24"/>
          <w:highlight w:val="none"/>
          <w:lang w:val="en" w:bidi="zh-CN"/>
        </w:rPr>
        <w:t>（</w:t>
      </w:r>
      <w:r>
        <w:rPr>
          <w:rFonts w:hint="eastAsia" w:ascii="宋体" w:hAnsi="宋体" w:eastAsia="宋体" w:cs="宋体"/>
          <w:color w:val="auto"/>
          <w:spacing w:val="-5"/>
          <w:sz w:val="24"/>
          <w:szCs w:val="24"/>
          <w:highlight w:val="none"/>
          <w:lang w:val="en-US" w:bidi="zh-CN"/>
        </w:rPr>
        <w:t>1</w:t>
      </w:r>
      <w:r>
        <w:rPr>
          <w:rFonts w:hint="eastAsia" w:ascii="宋体" w:hAnsi="宋体" w:eastAsia="宋体" w:cs="宋体"/>
          <w:color w:val="auto"/>
          <w:spacing w:val="-5"/>
          <w:sz w:val="24"/>
          <w:szCs w:val="24"/>
          <w:highlight w:val="none"/>
          <w:lang w:val="en" w:bidi="zh-CN"/>
        </w:rPr>
        <w:t>）油烟浓度：</w:t>
      </w:r>
    </w:p>
    <w:p w14:paraId="7CA78CAA">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 w:bidi="zh-CN"/>
        </w:rPr>
        <w:t>参数范围：0</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 w:bidi="zh-CN"/>
        </w:rPr>
        <w:t>30mg/m</w:t>
      </w:r>
      <w:r>
        <w:rPr>
          <w:rFonts w:hint="eastAsia" w:ascii="宋体" w:hAnsi="宋体" w:eastAsia="宋体" w:cs="宋体"/>
          <w:color w:val="auto"/>
          <w:spacing w:val="-5"/>
          <w:sz w:val="24"/>
          <w:szCs w:val="24"/>
          <w:highlight w:val="none"/>
          <w:vertAlign w:val="superscript"/>
          <w:lang w:val="en-US" w:bidi="zh-CN"/>
        </w:rPr>
        <w:t>3</w:t>
      </w:r>
      <w:r>
        <w:rPr>
          <w:rFonts w:hint="eastAsia" w:ascii="宋体" w:hAnsi="宋体" w:eastAsia="宋体" w:cs="宋体"/>
          <w:color w:val="auto"/>
          <w:spacing w:val="-5"/>
          <w:sz w:val="24"/>
          <w:szCs w:val="24"/>
          <w:highlight w:val="none"/>
          <w:vertAlign w:val="baseline"/>
          <w:lang w:val="en-US" w:bidi="zh-CN"/>
        </w:rPr>
        <w:t>；</w:t>
      </w:r>
    </w:p>
    <w:p w14:paraId="42540EF1">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分辨率：0.01mg/m</w:t>
      </w:r>
      <w:r>
        <w:rPr>
          <w:rFonts w:hint="eastAsia" w:ascii="宋体" w:hAnsi="宋体" w:eastAsia="宋体" w:cs="宋体"/>
          <w:color w:val="auto"/>
          <w:spacing w:val="-5"/>
          <w:sz w:val="24"/>
          <w:szCs w:val="24"/>
          <w:highlight w:val="none"/>
          <w:vertAlign w:val="superscript"/>
          <w:lang w:val="en-US" w:bidi="zh-CN"/>
        </w:rPr>
        <w:t>3</w:t>
      </w:r>
      <w:r>
        <w:rPr>
          <w:rFonts w:hint="eastAsia" w:ascii="宋体" w:hAnsi="宋体" w:eastAsia="宋体" w:cs="宋体"/>
          <w:color w:val="auto"/>
          <w:spacing w:val="-5"/>
          <w:sz w:val="24"/>
          <w:szCs w:val="24"/>
          <w:highlight w:val="none"/>
          <w:vertAlign w:val="baseline"/>
          <w:lang w:val="en-US" w:bidi="zh-CN"/>
        </w:rPr>
        <w:t>；</w:t>
      </w:r>
    </w:p>
    <w:p w14:paraId="0E176DE9">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0"/>
          <w:sz w:val="24"/>
          <w:szCs w:val="24"/>
          <w:highlight w:val="none"/>
          <w:lang w:val="en-US" w:eastAsia="zh-CN" w:bidi="zh-CN"/>
        </w:rPr>
      </w:pPr>
      <w:r>
        <w:rPr>
          <w:rFonts w:hint="eastAsia" w:ascii="宋体" w:hAnsi="宋体" w:eastAsia="宋体" w:cs="宋体"/>
          <w:color w:val="auto"/>
          <w:spacing w:val="-5"/>
          <w:kern w:val="0"/>
          <w:sz w:val="24"/>
          <w:szCs w:val="24"/>
          <w:highlight w:val="none"/>
          <w:lang w:val="en-US" w:eastAsia="zh-CN" w:bidi="zh-CN"/>
        </w:rPr>
        <w:t>误差：</w:t>
      </w:r>
      <w:r>
        <w:rPr>
          <w:rFonts w:hint="eastAsia" w:ascii="宋体" w:hAnsi="宋体" w:eastAsia="宋体" w:cs="宋体"/>
          <w:i w:val="0"/>
          <w:iCs w:val="0"/>
          <w:caps w:val="0"/>
          <w:color w:val="auto"/>
          <w:spacing w:val="0"/>
          <w:sz w:val="24"/>
          <w:szCs w:val="24"/>
          <w:highlight w:val="none"/>
          <w:shd w:val="clear" w:color="auto" w:fill="FFFFFF"/>
        </w:rPr>
        <w:t>≤</w:t>
      </w:r>
      <w:r>
        <w:rPr>
          <w:rFonts w:hint="eastAsia" w:ascii="宋体" w:hAnsi="宋体" w:eastAsia="宋体" w:cs="宋体"/>
          <w:color w:val="auto"/>
          <w:spacing w:val="-5"/>
          <w:kern w:val="0"/>
          <w:sz w:val="24"/>
          <w:szCs w:val="24"/>
          <w:highlight w:val="none"/>
          <w:lang w:val="en-US" w:eastAsia="zh-CN" w:bidi="zh-CN"/>
        </w:rPr>
        <w:t>2mg/m</w:t>
      </w:r>
      <w:r>
        <w:rPr>
          <w:rFonts w:hint="eastAsia" w:ascii="宋体" w:hAnsi="宋体" w:eastAsia="宋体" w:cs="宋体"/>
          <w:color w:val="auto"/>
          <w:spacing w:val="-5"/>
          <w:kern w:val="0"/>
          <w:sz w:val="24"/>
          <w:szCs w:val="24"/>
          <w:highlight w:val="none"/>
          <w:vertAlign w:val="superscript"/>
          <w:lang w:val="en-US" w:eastAsia="zh-CN" w:bidi="zh-CN"/>
        </w:rPr>
        <w:t>3</w:t>
      </w:r>
      <w:r>
        <w:rPr>
          <w:rFonts w:hint="eastAsia" w:ascii="宋体" w:hAnsi="宋体" w:eastAsia="宋体" w:cs="宋体"/>
          <w:color w:val="auto"/>
          <w:spacing w:val="-5"/>
          <w:kern w:val="0"/>
          <w:sz w:val="24"/>
          <w:szCs w:val="24"/>
          <w:highlight w:val="none"/>
          <w:lang w:val="en-US" w:eastAsia="zh-CN" w:bidi="zh-CN"/>
        </w:rPr>
        <w:t>时，不超过±0.2mg/m</w:t>
      </w:r>
      <w:r>
        <w:rPr>
          <w:rFonts w:hint="eastAsia" w:ascii="宋体" w:hAnsi="宋体" w:eastAsia="宋体" w:cs="宋体"/>
          <w:color w:val="auto"/>
          <w:spacing w:val="-5"/>
          <w:kern w:val="0"/>
          <w:sz w:val="24"/>
          <w:szCs w:val="24"/>
          <w:highlight w:val="none"/>
          <w:vertAlign w:val="superscript"/>
          <w:lang w:val="en-US" w:eastAsia="zh-CN" w:bidi="zh-CN"/>
        </w:rPr>
        <w:t>3</w:t>
      </w:r>
      <w:r>
        <w:rPr>
          <w:rFonts w:hint="eastAsia" w:ascii="宋体" w:hAnsi="宋体" w:eastAsia="宋体" w:cs="宋体"/>
          <w:color w:val="auto"/>
          <w:spacing w:val="-5"/>
          <w:kern w:val="0"/>
          <w:sz w:val="24"/>
          <w:szCs w:val="24"/>
          <w:highlight w:val="none"/>
          <w:lang w:val="en-US" w:eastAsia="zh-CN" w:bidi="zh-CN"/>
        </w:rPr>
        <w:t>；</w:t>
      </w:r>
      <w:r>
        <w:rPr>
          <w:rFonts w:hint="eastAsia" w:ascii="宋体" w:hAnsi="宋体" w:eastAsia="宋体" w:cs="宋体"/>
          <w:i w:val="0"/>
          <w:iCs w:val="0"/>
          <w:caps w:val="0"/>
          <w:color w:val="auto"/>
          <w:spacing w:val="0"/>
          <w:sz w:val="24"/>
          <w:szCs w:val="24"/>
          <w:highlight w:val="none"/>
          <w:shd w:val="clear" w:color="auto" w:fill="FFFFFF"/>
        </w:rPr>
        <w:t>＞</w:t>
      </w:r>
      <w:r>
        <w:rPr>
          <w:rFonts w:hint="eastAsia" w:ascii="宋体" w:hAnsi="宋体" w:eastAsia="宋体" w:cs="宋体"/>
          <w:color w:val="auto"/>
          <w:spacing w:val="-5"/>
          <w:kern w:val="0"/>
          <w:sz w:val="24"/>
          <w:szCs w:val="24"/>
          <w:highlight w:val="none"/>
          <w:lang w:val="en-US" w:eastAsia="zh-CN" w:bidi="zh-CN"/>
        </w:rPr>
        <w:t>2mg/m3时，不超过±5%FS。</w:t>
      </w:r>
    </w:p>
    <w:p w14:paraId="28BF2BC2">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sz w:val="24"/>
          <w:szCs w:val="24"/>
          <w:highlight w:val="none"/>
          <w:lang w:val="en-US" w:bidi="zh-CN"/>
        </w:rPr>
        <w:t>（2）</w:t>
      </w:r>
      <w:r>
        <w:rPr>
          <w:rFonts w:hint="eastAsia" w:ascii="宋体" w:hAnsi="宋体" w:eastAsia="宋体" w:cs="宋体"/>
          <w:color w:val="auto"/>
          <w:spacing w:val="-5"/>
          <w:sz w:val="24"/>
          <w:szCs w:val="24"/>
          <w:highlight w:val="none"/>
          <w:lang w:val="en" w:bidi="zh-CN"/>
        </w:rPr>
        <w:t>挥发性有机物浓度：</w:t>
      </w:r>
    </w:p>
    <w:p w14:paraId="10570AF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 w:bidi="zh-CN"/>
        </w:rPr>
        <w:t>参数范围：0</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 w:bidi="zh-CN"/>
        </w:rPr>
        <w:t>30mg/m</w:t>
      </w:r>
      <w:r>
        <w:rPr>
          <w:rFonts w:hint="eastAsia" w:ascii="宋体" w:hAnsi="宋体" w:eastAsia="宋体" w:cs="宋体"/>
          <w:color w:val="auto"/>
          <w:spacing w:val="-5"/>
          <w:kern w:val="0"/>
          <w:sz w:val="24"/>
          <w:szCs w:val="24"/>
          <w:highlight w:val="none"/>
          <w:vertAlign w:val="superscript"/>
          <w:lang w:val="en-US" w:eastAsia="zh-CN" w:bidi="zh-CN"/>
        </w:rPr>
        <w:t>3</w:t>
      </w:r>
      <w:r>
        <w:rPr>
          <w:rFonts w:hint="eastAsia" w:ascii="宋体" w:hAnsi="宋体" w:eastAsia="宋体" w:cs="宋体"/>
          <w:color w:val="auto"/>
          <w:spacing w:val="-5"/>
          <w:sz w:val="24"/>
          <w:szCs w:val="24"/>
          <w:highlight w:val="none"/>
          <w:vertAlign w:val="baseline"/>
          <w:lang w:val="en-US" w:bidi="zh-CN"/>
        </w:rPr>
        <w:t>；</w:t>
      </w:r>
    </w:p>
    <w:p w14:paraId="35C8901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分辨率：0.1mg/m</w:t>
      </w:r>
      <w:r>
        <w:rPr>
          <w:rFonts w:hint="eastAsia" w:ascii="宋体" w:hAnsi="宋体" w:eastAsia="宋体" w:cs="宋体"/>
          <w:color w:val="auto"/>
          <w:spacing w:val="-5"/>
          <w:kern w:val="0"/>
          <w:sz w:val="24"/>
          <w:szCs w:val="24"/>
          <w:highlight w:val="none"/>
          <w:vertAlign w:val="superscript"/>
          <w:lang w:val="en-US" w:eastAsia="zh-CN" w:bidi="zh-CN"/>
        </w:rPr>
        <w:t>3</w:t>
      </w:r>
      <w:r>
        <w:rPr>
          <w:rFonts w:hint="eastAsia" w:ascii="宋体" w:hAnsi="宋体" w:eastAsia="宋体" w:cs="宋体"/>
          <w:color w:val="auto"/>
          <w:spacing w:val="-5"/>
          <w:sz w:val="24"/>
          <w:szCs w:val="24"/>
          <w:highlight w:val="none"/>
          <w:vertAlign w:val="baseline"/>
          <w:lang w:val="en-US" w:bidi="zh-CN"/>
        </w:rPr>
        <w:t>；</w:t>
      </w:r>
    </w:p>
    <w:p w14:paraId="27CCCD87">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kern w:val="0"/>
          <w:sz w:val="24"/>
          <w:szCs w:val="24"/>
          <w:highlight w:val="none"/>
          <w:lang w:val="en-US" w:eastAsia="zh-CN" w:bidi="zh-CN"/>
        </w:rPr>
        <w:t>误差：不超过±10%FS。</w:t>
      </w:r>
    </w:p>
    <w:p w14:paraId="009CB009">
      <w:pPr>
        <w:pStyle w:val="5"/>
        <w:keepNext w:val="0"/>
        <w:keepLines w:val="0"/>
        <w:pageBreakBefore w:val="0"/>
        <w:wordWrap/>
        <w:overflowPunct/>
        <w:topLinePunct w:val="0"/>
        <w:bidi w:val="0"/>
        <w:adjustRightInd/>
        <w:spacing w:line="460" w:lineRule="exact"/>
        <w:ind w:right="1096" w:rightChars="522"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2.3</w:t>
      </w:r>
      <w:r>
        <w:rPr>
          <w:rFonts w:hint="eastAsia" w:ascii="宋体" w:hAnsi="宋体" w:eastAsia="宋体" w:cs="宋体"/>
          <w:b/>
          <w:bCs/>
          <w:color w:val="auto"/>
          <w:spacing w:val="-5"/>
          <w:sz w:val="24"/>
          <w:szCs w:val="24"/>
          <w:highlight w:val="none"/>
          <w:lang w:bidi="zh-CN"/>
        </w:rPr>
        <w:t>.</w:t>
      </w:r>
      <w:r>
        <w:rPr>
          <w:rFonts w:hint="eastAsia" w:ascii="宋体" w:hAnsi="宋体" w:eastAsia="宋体" w:cs="宋体"/>
          <w:b/>
          <w:bCs/>
          <w:color w:val="auto"/>
          <w:spacing w:val="-5"/>
          <w:sz w:val="24"/>
          <w:szCs w:val="24"/>
          <w:highlight w:val="none"/>
          <w:lang w:val="en-US" w:bidi="zh-CN"/>
        </w:rPr>
        <w:t>3</w:t>
      </w:r>
      <w:r>
        <w:rPr>
          <w:rFonts w:hint="eastAsia" w:ascii="宋体" w:hAnsi="宋体" w:eastAsia="宋体" w:cs="宋体"/>
          <w:b/>
          <w:bCs/>
          <w:color w:val="auto"/>
          <w:spacing w:val="-5"/>
          <w:sz w:val="24"/>
          <w:szCs w:val="24"/>
          <w:highlight w:val="none"/>
          <w:lang w:bidi="zh-CN"/>
        </w:rPr>
        <w:t xml:space="preserve"> 手持式VOC检测服务</w:t>
      </w:r>
    </w:p>
    <w:p w14:paraId="3B04ED9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val="en" w:bidi="zh-CN"/>
        </w:rPr>
        <w:t>中标人</w:t>
      </w:r>
      <w:r>
        <w:rPr>
          <w:rFonts w:hint="eastAsia" w:ascii="宋体" w:hAnsi="宋体" w:eastAsia="宋体" w:cs="宋体"/>
          <w:color w:val="auto"/>
          <w:spacing w:val="-5"/>
          <w:sz w:val="24"/>
          <w:szCs w:val="24"/>
          <w:highlight w:val="none"/>
          <w:lang w:bidi="zh-CN"/>
        </w:rPr>
        <w:t>应根据赣江新区实际情况配备至少1套</w:t>
      </w:r>
      <w:r>
        <w:rPr>
          <w:rFonts w:hint="eastAsia" w:ascii="宋体" w:hAnsi="宋体" w:eastAsia="宋体" w:cs="宋体"/>
          <w:bCs/>
          <w:color w:val="auto"/>
          <w:sz w:val="24"/>
          <w:szCs w:val="24"/>
          <w:highlight w:val="none"/>
          <w:lang w:val="zh-CN"/>
        </w:rPr>
        <w:t>手持式VOC检测</w:t>
      </w:r>
      <w:r>
        <w:rPr>
          <w:rFonts w:hint="eastAsia" w:ascii="宋体" w:hAnsi="宋体" w:eastAsia="宋体" w:cs="宋体"/>
          <w:bCs/>
          <w:color w:val="auto"/>
          <w:sz w:val="24"/>
          <w:szCs w:val="24"/>
          <w:highlight w:val="none"/>
          <w:lang w:val="en-US" w:eastAsia="zh-CN"/>
        </w:rPr>
        <w:t>仪器</w:t>
      </w:r>
      <w:r>
        <w:rPr>
          <w:rFonts w:hint="eastAsia" w:ascii="宋体" w:hAnsi="宋体" w:eastAsia="宋体" w:cs="宋体"/>
          <w:color w:val="auto"/>
          <w:spacing w:val="-5"/>
          <w:sz w:val="24"/>
          <w:szCs w:val="24"/>
          <w:highlight w:val="none"/>
          <w:lang w:bidi="zh-CN"/>
        </w:rPr>
        <w:t>，用于本项目服务周期内的相关监测服务。利用</w:t>
      </w:r>
      <w:r>
        <w:rPr>
          <w:rFonts w:hint="eastAsia" w:ascii="宋体" w:hAnsi="宋体" w:eastAsia="宋体" w:cs="宋体"/>
          <w:bCs/>
          <w:color w:val="auto"/>
          <w:sz w:val="24"/>
          <w:szCs w:val="24"/>
          <w:highlight w:val="none"/>
          <w:lang w:val="zh-CN"/>
        </w:rPr>
        <w:t>VOC检测仪</w:t>
      </w:r>
      <w:r>
        <w:rPr>
          <w:rFonts w:hint="eastAsia" w:ascii="宋体" w:hAnsi="宋体" w:eastAsia="宋体" w:cs="宋体"/>
          <w:color w:val="auto"/>
          <w:spacing w:val="-5"/>
          <w:sz w:val="24"/>
          <w:szCs w:val="24"/>
          <w:highlight w:val="none"/>
          <w:lang w:bidi="zh-CN"/>
        </w:rPr>
        <w:t>为涉及VOC排放的现场检测排查提供便利。</w:t>
      </w:r>
      <w:r>
        <w:rPr>
          <w:rFonts w:hint="eastAsia" w:ascii="宋体" w:hAnsi="宋体" w:eastAsia="宋体" w:cs="宋体"/>
          <w:color w:val="auto"/>
          <w:spacing w:val="-5"/>
          <w:kern w:val="0"/>
          <w:sz w:val="24"/>
          <w:szCs w:val="24"/>
          <w:highlight w:val="none"/>
          <w:lang w:val="en-US" w:eastAsia="zh-CN" w:bidi="zh-CN"/>
        </w:rPr>
        <w:t>服务</w:t>
      </w:r>
      <w:r>
        <w:rPr>
          <w:rFonts w:hint="eastAsia" w:ascii="宋体" w:hAnsi="宋体" w:eastAsia="宋体" w:cs="宋体"/>
          <w:color w:val="auto"/>
          <w:spacing w:val="-5"/>
          <w:sz w:val="24"/>
          <w:szCs w:val="24"/>
          <w:highlight w:val="none"/>
          <w:lang w:val="en-US" w:bidi="zh-CN"/>
        </w:rPr>
        <w:t>所需检测设备主要</w:t>
      </w:r>
      <w:r>
        <w:rPr>
          <w:rFonts w:hint="eastAsia" w:ascii="宋体" w:hAnsi="宋体" w:eastAsia="宋体" w:cs="宋体"/>
          <w:color w:val="auto"/>
          <w:spacing w:val="-5"/>
          <w:sz w:val="24"/>
          <w:szCs w:val="24"/>
          <w:highlight w:val="none"/>
          <w:lang w:bidi="zh-CN"/>
        </w:rPr>
        <w:t>技术要求如下：</w:t>
      </w:r>
    </w:p>
    <w:p w14:paraId="7469D54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检测原理：PID；</w:t>
      </w:r>
    </w:p>
    <w:p w14:paraId="43BD707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检测范围：1ppb～1</w:t>
      </w:r>
      <w:r>
        <w:rPr>
          <w:rFonts w:hint="eastAsia" w:ascii="宋体" w:hAnsi="宋体" w:eastAsia="宋体" w:cs="宋体"/>
          <w:color w:val="auto"/>
          <w:spacing w:val="-5"/>
          <w:sz w:val="24"/>
          <w:szCs w:val="24"/>
          <w:highlight w:val="none"/>
          <w:lang w:val="en-US" w:bidi="zh-CN"/>
        </w:rPr>
        <w:t>0</w:t>
      </w:r>
      <w:r>
        <w:rPr>
          <w:rFonts w:hint="eastAsia" w:ascii="宋体" w:hAnsi="宋体" w:eastAsia="宋体" w:cs="宋体"/>
          <w:color w:val="auto"/>
          <w:spacing w:val="-5"/>
          <w:sz w:val="24"/>
          <w:szCs w:val="24"/>
          <w:highlight w:val="none"/>
          <w:lang w:bidi="zh-CN"/>
        </w:rPr>
        <w:t>000ppm；</w:t>
      </w:r>
    </w:p>
    <w:p w14:paraId="166F6035">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分辨率：</w:t>
      </w:r>
      <w:r>
        <w:rPr>
          <w:rFonts w:hint="eastAsia" w:ascii="宋体" w:hAnsi="宋体" w:eastAsia="宋体" w:cs="宋体"/>
          <w:color w:val="auto"/>
          <w:spacing w:val="-5"/>
          <w:sz w:val="24"/>
          <w:szCs w:val="24"/>
          <w:highlight w:val="none"/>
          <w:lang w:val="en-US" w:bidi="zh-CN"/>
        </w:rPr>
        <w:t>1</w:t>
      </w:r>
      <w:r>
        <w:rPr>
          <w:rFonts w:hint="eastAsia" w:ascii="宋体" w:hAnsi="宋体" w:eastAsia="宋体" w:cs="宋体"/>
          <w:color w:val="auto"/>
          <w:spacing w:val="-5"/>
          <w:sz w:val="24"/>
          <w:szCs w:val="24"/>
          <w:highlight w:val="none"/>
          <w:lang w:bidi="zh-CN"/>
        </w:rPr>
        <w:t>pp</w:t>
      </w:r>
      <w:r>
        <w:rPr>
          <w:rFonts w:hint="eastAsia" w:ascii="宋体" w:hAnsi="宋体" w:eastAsia="宋体" w:cs="宋体"/>
          <w:color w:val="auto"/>
          <w:spacing w:val="-5"/>
          <w:sz w:val="24"/>
          <w:szCs w:val="24"/>
          <w:highlight w:val="none"/>
          <w:lang w:val="en-US" w:bidi="zh-CN"/>
        </w:rPr>
        <w:t>b</w:t>
      </w:r>
      <w:r>
        <w:rPr>
          <w:rFonts w:hint="eastAsia" w:ascii="宋体" w:hAnsi="宋体" w:eastAsia="宋体" w:cs="宋体"/>
          <w:color w:val="auto"/>
          <w:spacing w:val="-5"/>
          <w:sz w:val="24"/>
          <w:szCs w:val="24"/>
          <w:highlight w:val="none"/>
          <w:lang w:bidi="zh-CN"/>
        </w:rPr>
        <w:t>；</w:t>
      </w:r>
    </w:p>
    <w:p w14:paraId="6BBD0BD5">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响应时间：</w:t>
      </w:r>
      <w:r>
        <w:rPr>
          <w:rFonts w:hint="eastAsia" w:ascii="宋体" w:hAnsi="宋体" w:eastAsia="宋体" w:cs="宋体"/>
          <w:i w:val="0"/>
          <w:iCs w:val="0"/>
          <w:caps w:val="0"/>
          <w:color w:val="auto"/>
          <w:spacing w:val="0"/>
          <w:sz w:val="24"/>
          <w:szCs w:val="24"/>
          <w:highlight w:val="none"/>
          <w:shd w:val="clear" w:color="auto" w:fill="FFFFFF"/>
        </w:rPr>
        <w:t>＜</w:t>
      </w:r>
      <w:r>
        <w:rPr>
          <w:rFonts w:hint="eastAsia" w:ascii="宋体" w:hAnsi="宋体" w:eastAsia="宋体" w:cs="宋体"/>
          <w:color w:val="auto"/>
          <w:spacing w:val="-5"/>
          <w:sz w:val="24"/>
          <w:szCs w:val="24"/>
          <w:highlight w:val="none"/>
          <w:lang w:bidi="zh-CN"/>
        </w:rPr>
        <w:t>5s。</w:t>
      </w:r>
    </w:p>
    <w:p w14:paraId="6DA1B5AB">
      <w:pPr>
        <w:pStyle w:val="5"/>
        <w:keepNext w:val="0"/>
        <w:keepLines w:val="0"/>
        <w:pageBreakBefore w:val="0"/>
        <w:wordWrap/>
        <w:overflowPunct/>
        <w:topLinePunct w:val="0"/>
        <w:bidi w:val="0"/>
        <w:adjustRightInd/>
        <w:spacing w:line="460" w:lineRule="exact"/>
        <w:ind w:right="1096" w:rightChars="522" w:firstLine="462" w:firstLineChars="200"/>
        <w:rPr>
          <w:rFonts w:hint="eastAsia" w:ascii="宋体" w:hAnsi="宋体" w:eastAsia="宋体" w:cs="宋体"/>
          <w:b/>
          <w:bCs/>
          <w:color w:val="auto"/>
          <w:spacing w:val="-5"/>
          <w:sz w:val="24"/>
          <w:szCs w:val="24"/>
          <w:highlight w:val="none"/>
          <w:lang w:val="en-US" w:bidi="zh-CN"/>
        </w:rPr>
      </w:pPr>
      <w:r>
        <w:rPr>
          <w:rFonts w:hint="eastAsia" w:ascii="宋体" w:hAnsi="宋体" w:eastAsia="宋体" w:cs="宋体"/>
          <w:b/>
          <w:bCs/>
          <w:color w:val="auto"/>
          <w:spacing w:val="-5"/>
          <w:sz w:val="24"/>
          <w:szCs w:val="24"/>
          <w:highlight w:val="none"/>
          <w:lang w:val="en-US" w:bidi="zh-CN"/>
        </w:rPr>
        <w:t>2.3.4 便携式恶臭监测服务</w:t>
      </w:r>
    </w:p>
    <w:p w14:paraId="72B18AC9">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 w:bidi="zh-CN"/>
        </w:rPr>
        <w:t>中标人</w:t>
      </w:r>
      <w:r>
        <w:rPr>
          <w:rFonts w:hint="eastAsia" w:ascii="宋体" w:hAnsi="宋体" w:eastAsia="宋体" w:cs="宋体"/>
          <w:color w:val="auto"/>
          <w:spacing w:val="-5"/>
          <w:sz w:val="24"/>
          <w:szCs w:val="24"/>
          <w:highlight w:val="none"/>
          <w:lang w:val="zh-CN" w:bidi="zh-CN"/>
        </w:rPr>
        <w:t>配备至少1套便携式</w:t>
      </w:r>
      <w:r>
        <w:rPr>
          <w:rFonts w:hint="eastAsia" w:ascii="宋体" w:hAnsi="宋体" w:eastAsia="宋体" w:cs="宋体"/>
          <w:color w:val="auto"/>
          <w:spacing w:val="-5"/>
          <w:sz w:val="24"/>
          <w:szCs w:val="24"/>
          <w:highlight w:val="none"/>
          <w:lang w:val="en-US" w:bidi="zh-CN"/>
        </w:rPr>
        <w:t>恶臭</w:t>
      </w:r>
      <w:r>
        <w:rPr>
          <w:rFonts w:hint="eastAsia" w:ascii="宋体" w:hAnsi="宋体" w:eastAsia="宋体" w:cs="宋体"/>
          <w:color w:val="auto"/>
          <w:spacing w:val="-5"/>
          <w:sz w:val="24"/>
          <w:szCs w:val="24"/>
          <w:highlight w:val="none"/>
          <w:lang w:val="zh-CN" w:bidi="zh-CN"/>
        </w:rPr>
        <w:t>监测仪器，并提供本项目服务周期内的相关监测服务。</w:t>
      </w:r>
      <w:r>
        <w:rPr>
          <w:rFonts w:hint="eastAsia" w:ascii="宋体" w:hAnsi="宋体" w:eastAsia="宋体" w:cs="宋体"/>
          <w:color w:val="auto"/>
          <w:spacing w:val="-5"/>
          <w:sz w:val="24"/>
          <w:szCs w:val="24"/>
          <w:highlight w:val="none"/>
          <w:lang w:val="en-US" w:bidi="zh-CN"/>
        </w:rPr>
        <w:t>设备参数包含但不限于：</w:t>
      </w:r>
      <w:r>
        <w:rPr>
          <w:rFonts w:hint="eastAsia" w:ascii="宋体" w:hAnsi="宋体" w:eastAsia="宋体" w:cs="宋体"/>
          <w:color w:val="auto"/>
          <w:spacing w:val="-5"/>
          <w:sz w:val="24"/>
          <w:szCs w:val="24"/>
          <w:highlight w:val="none"/>
          <w:lang w:val="en-US" w:eastAsia="zh-CN" w:bidi="zh-CN"/>
        </w:rPr>
        <w:t>臭气、硫化氢、氨气、甲硫醇、甲硫醚、二硫化碳、苯乙烯、三甲胺、二甲二硫醚。</w:t>
      </w:r>
    </w:p>
    <w:tbl>
      <w:tblPr>
        <w:tblStyle w:val="7"/>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9"/>
        <w:gridCol w:w="5231"/>
      </w:tblGrid>
      <w:tr w14:paraId="4736F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noWrap w:val="0"/>
            <w:vAlign w:val="center"/>
          </w:tcPr>
          <w:p w14:paraId="6744377A">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测量参数：</w:t>
            </w:r>
          </w:p>
        </w:tc>
        <w:tc>
          <w:tcPr>
            <w:tcW w:w="3069" w:type="pct"/>
            <w:noWrap w:val="0"/>
            <w:vAlign w:val="top"/>
          </w:tcPr>
          <w:p w14:paraId="4E279C08">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臭气、硫化氢、氨气、甲硫醇、甲硫醚、二硫化碳、苯乙烯、三甲胺、二甲二硫醚</w:t>
            </w:r>
          </w:p>
        </w:tc>
      </w:tr>
      <w:tr w14:paraId="16941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restart"/>
            <w:noWrap w:val="0"/>
            <w:vAlign w:val="center"/>
          </w:tcPr>
          <w:p w14:paraId="3E7A8415">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测量浓度范围：</w:t>
            </w:r>
          </w:p>
        </w:tc>
        <w:tc>
          <w:tcPr>
            <w:tcW w:w="3069" w:type="pct"/>
            <w:noWrap w:val="0"/>
            <w:vAlign w:val="top"/>
          </w:tcPr>
          <w:p w14:paraId="274A58AF">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臭气</w:t>
            </w:r>
            <w:r>
              <w:rPr>
                <w:rFonts w:hint="eastAsia" w:ascii="宋体" w:hAnsi="宋体" w:eastAsia="宋体" w:cs="宋体"/>
                <w:color w:val="auto"/>
                <w:spacing w:val="-5"/>
                <w:sz w:val="24"/>
                <w:szCs w:val="24"/>
                <w:highlight w:val="none"/>
                <w:lang w:bidi="zh-CN"/>
              </w:rPr>
              <w:t>：0-</w:t>
            </w:r>
            <w:r>
              <w:rPr>
                <w:rFonts w:hint="eastAsia" w:ascii="宋体" w:hAnsi="宋体" w:eastAsia="宋体" w:cs="宋体"/>
                <w:color w:val="auto"/>
                <w:spacing w:val="-5"/>
                <w:sz w:val="24"/>
                <w:szCs w:val="24"/>
                <w:highlight w:val="none"/>
                <w:lang w:val="en-US" w:eastAsia="zh-CN" w:bidi="zh-CN"/>
              </w:rPr>
              <w:t>1000无量纲</w:t>
            </w:r>
          </w:p>
        </w:tc>
      </w:tr>
      <w:tr w14:paraId="15C72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2021BDD5">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2A019912">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NH</w:t>
            </w:r>
            <w:r>
              <w:rPr>
                <w:rFonts w:hint="eastAsia" w:ascii="宋体" w:hAnsi="宋体" w:eastAsia="宋体" w:cs="宋体"/>
                <w:color w:val="auto"/>
                <w:spacing w:val="-5"/>
                <w:sz w:val="24"/>
                <w:szCs w:val="24"/>
                <w:highlight w:val="none"/>
                <w:vertAlign w:val="subscript"/>
                <w:lang w:val="en-US" w:eastAsia="zh-CN" w:bidi="zh-CN"/>
              </w:rPr>
              <w:t>3</w:t>
            </w:r>
            <w:r>
              <w:rPr>
                <w:rFonts w:hint="eastAsia" w:ascii="宋体" w:hAnsi="宋体" w:eastAsia="宋体" w:cs="宋体"/>
                <w:color w:val="auto"/>
                <w:spacing w:val="-5"/>
                <w:sz w:val="24"/>
                <w:szCs w:val="24"/>
                <w:highlight w:val="none"/>
                <w:lang w:val="en-US" w:eastAsia="zh-CN" w:bidi="zh-CN"/>
              </w:rPr>
              <w:t>参数：测量范围：0-10PPM</w:t>
            </w:r>
          </w:p>
        </w:tc>
      </w:tr>
      <w:tr w14:paraId="2105D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5493BC36">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59D0E745">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H</w:t>
            </w:r>
            <w:r>
              <w:rPr>
                <w:rFonts w:hint="eastAsia" w:ascii="宋体" w:hAnsi="宋体" w:eastAsia="宋体" w:cs="宋体"/>
                <w:color w:val="auto"/>
                <w:spacing w:val="-5"/>
                <w:sz w:val="24"/>
                <w:szCs w:val="24"/>
                <w:highlight w:val="none"/>
                <w:vertAlign w:val="subscript"/>
                <w:lang w:val="en-US" w:eastAsia="zh-CN" w:bidi="zh-CN"/>
              </w:rPr>
              <w:t>2</w:t>
            </w:r>
            <w:r>
              <w:rPr>
                <w:rFonts w:hint="eastAsia" w:ascii="宋体" w:hAnsi="宋体" w:eastAsia="宋体" w:cs="宋体"/>
                <w:color w:val="auto"/>
                <w:spacing w:val="-5"/>
                <w:sz w:val="24"/>
                <w:szCs w:val="24"/>
                <w:highlight w:val="none"/>
                <w:lang w:val="en-US" w:eastAsia="zh-CN" w:bidi="zh-CN"/>
              </w:rPr>
              <w:t>S参数：测量范围：0-10PPM</w:t>
            </w:r>
          </w:p>
        </w:tc>
      </w:tr>
      <w:tr w14:paraId="4F15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1D9938B5">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59BD2494">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甲硫醇参数：测量范围：0-10PPM</w:t>
            </w:r>
          </w:p>
        </w:tc>
      </w:tr>
      <w:tr w14:paraId="526EF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4B7550FD">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5B287A00">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甲硫醚参数：测量范围：0-10PPM</w:t>
            </w:r>
          </w:p>
        </w:tc>
      </w:tr>
      <w:tr w14:paraId="25D66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5A633042">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147240D0">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苯乙烯参数：测量范围：0-20PPM</w:t>
            </w:r>
          </w:p>
        </w:tc>
      </w:tr>
      <w:tr w14:paraId="1CA25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369FAFB3">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321411B4">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三甲胺参数：测量范围：0-20PPM</w:t>
            </w:r>
          </w:p>
        </w:tc>
      </w:tr>
      <w:tr w14:paraId="181A6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5B1B8C27">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3BDD02F8">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二硫化碳参数：测量范围：0-20PPM</w:t>
            </w:r>
          </w:p>
        </w:tc>
      </w:tr>
      <w:tr w14:paraId="5C1FB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center"/>
          </w:tcPr>
          <w:p w14:paraId="32BA2D94">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02EE6336">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二甲二硫醚参数：测量范围：0-10PPM</w:t>
            </w:r>
          </w:p>
        </w:tc>
      </w:tr>
      <w:tr w14:paraId="7C63B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1930" w:type="pct"/>
            <w:vMerge w:val="restart"/>
            <w:noWrap w:val="0"/>
            <w:vAlign w:val="center"/>
          </w:tcPr>
          <w:p w14:paraId="40D6411F">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jc w:val="center"/>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bidi="zh-CN"/>
              </w:rPr>
              <w:t>测量</w:t>
            </w:r>
            <w:r>
              <w:rPr>
                <w:rFonts w:hint="eastAsia" w:ascii="宋体" w:hAnsi="宋体" w:eastAsia="宋体" w:cs="宋体"/>
                <w:color w:val="auto"/>
                <w:spacing w:val="-5"/>
                <w:sz w:val="24"/>
                <w:szCs w:val="24"/>
                <w:highlight w:val="none"/>
                <w:lang w:val="en-US" w:eastAsia="zh-CN" w:bidi="zh-CN"/>
              </w:rPr>
              <w:t>分辨率</w:t>
            </w:r>
            <w:r>
              <w:rPr>
                <w:rFonts w:hint="eastAsia" w:ascii="宋体" w:hAnsi="宋体" w:eastAsia="宋体" w:cs="宋体"/>
                <w:color w:val="auto"/>
                <w:spacing w:val="-5"/>
                <w:sz w:val="24"/>
                <w:szCs w:val="24"/>
                <w:highlight w:val="none"/>
                <w:lang w:bidi="zh-CN"/>
              </w:rPr>
              <w:t>：</w:t>
            </w:r>
          </w:p>
        </w:tc>
        <w:tc>
          <w:tcPr>
            <w:tcW w:w="3069" w:type="pct"/>
            <w:noWrap w:val="0"/>
            <w:vAlign w:val="top"/>
          </w:tcPr>
          <w:p w14:paraId="440DFA30">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NH</w:t>
            </w:r>
            <w:r>
              <w:rPr>
                <w:rFonts w:hint="eastAsia" w:ascii="宋体" w:hAnsi="宋体" w:eastAsia="宋体" w:cs="宋体"/>
                <w:color w:val="auto"/>
                <w:spacing w:val="-5"/>
                <w:sz w:val="24"/>
                <w:szCs w:val="24"/>
                <w:highlight w:val="none"/>
                <w:vertAlign w:val="subscript"/>
                <w:lang w:val="en-US" w:eastAsia="zh-CN" w:bidi="zh-CN"/>
              </w:rPr>
              <w:t>3</w:t>
            </w:r>
            <w:r>
              <w:rPr>
                <w:rFonts w:hint="eastAsia" w:ascii="宋体" w:hAnsi="宋体" w:eastAsia="宋体" w:cs="宋体"/>
                <w:color w:val="auto"/>
                <w:spacing w:val="-5"/>
                <w:sz w:val="24"/>
                <w:szCs w:val="24"/>
                <w:highlight w:val="none"/>
                <w:lang w:val="en-US" w:eastAsia="zh-CN" w:bidi="zh-CN"/>
              </w:rPr>
              <w:t>参数：分辨率：0.01PPM</w:t>
            </w:r>
          </w:p>
        </w:tc>
      </w:tr>
      <w:tr w14:paraId="7FF4A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49EA756A">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75AFF758">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H</w:t>
            </w:r>
            <w:r>
              <w:rPr>
                <w:rFonts w:hint="eastAsia" w:ascii="宋体" w:hAnsi="宋体" w:eastAsia="宋体" w:cs="宋体"/>
                <w:color w:val="auto"/>
                <w:spacing w:val="-5"/>
                <w:sz w:val="24"/>
                <w:szCs w:val="24"/>
                <w:highlight w:val="none"/>
                <w:vertAlign w:val="subscript"/>
                <w:lang w:val="en-US" w:eastAsia="zh-CN" w:bidi="zh-CN"/>
              </w:rPr>
              <w:t>2</w:t>
            </w:r>
            <w:r>
              <w:rPr>
                <w:rFonts w:hint="eastAsia" w:ascii="宋体" w:hAnsi="宋体" w:eastAsia="宋体" w:cs="宋体"/>
                <w:color w:val="auto"/>
                <w:spacing w:val="-5"/>
                <w:sz w:val="24"/>
                <w:szCs w:val="24"/>
                <w:highlight w:val="none"/>
                <w:lang w:val="en-US" w:eastAsia="zh-CN" w:bidi="zh-CN"/>
              </w:rPr>
              <w:t>S参数：分辨率：0.01PPM</w:t>
            </w:r>
          </w:p>
        </w:tc>
      </w:tr>
      <w:tr w14:paraId="2B6BA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41706597">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5038D79E">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甲硫醇参数：分辨率：0.01PPM</w:t>
            </w:r>
          </w:p>
        </w:tc>
      </w:tr>
      <w:tr w14:paraId="1C275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1A2B7E9A">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56C091FE">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甲硫醚参数：分辨率：0.01PPM</w:t>
            </w:r>
          </w:p>
        </w:tc>
      </w:tr>
      <w:tr w14:paraId="78316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6BAF9EF2">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7DC069EF">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苯乙烯参数：分辨率：0.01PPM</w:t>
            </w:r>
          </w:p>
        </w:tc>
      </w:tr>
      <w:tr w14:paraId="07DB8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685642EB">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12CA5940">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三甲胺参数：分辨率：0.01PPM</w:t>
            </w:r>
          </w:p>
        </w:tc>
      </w:tr>
      <w:tr w14:paraId="2B7D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3F9A70F8">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3162FEC2">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二硫化碳参数：分辨率：0.01PPM</w:t>
            </w:r>
          </w:p>
        </w:tc>
      </w:tr>
      <w:tr w14:paraId="49451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30" w:type="pct"/>
            <w:vMerge w:val="continue"/>
            <w:noWrap w:val="0"/>
            <w:vAlign w:val="top"/>
          </w:tcPr>
          <w:p w14:paraId="3C47CB7B">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bidi="zh-CN"/>
              </w:rPr>
            </w:pPr>
          </w:p>
        </w:tc>
        <w:tc>
          <w:tcPr>
            <w:tcW w:w="3069" w:type="pct"/>
            <w:noWrap w:val="0"/>
            <w:vAlign w:val="top"/>
          </w:tcPr>
          <w:p w14:paraId="7D901944">
            <w:pPr>
              <w:pStyle w:val="9"/>
              <w:keepNext w:val="0"/>
              <w:keepLines w:val="0"/>
              <w:pageBreakBefore w:val="0"/>
              <w:widowControl w:val="0"/>
              <w:kinsoku/>
              <w:wordWrap/>
              <w:overflowPunct/>
              <w:topLinePunct w:val="0"/>
              <w:autoSpaceDE/>
              <w:autoSpaceDN/>
              <w:bidi w:val="0"/>
              <w:adjustRightInd/>
              <w:snapToGrid/>
              <w:spacing w:beforeLines="0" w:afterLines="0" w:line="460" w:lineRule="exact"/>
              <w:ind w:firstLine="460"/>
              <w:textAlignment w:val="auto"/>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二甲二硫醚参数：分辨率：0.01PPM</w:t>
            </w:r>
          </w:p>
        </w:tc>
      </w:tr>
    </w:tbl>
    <w:p w14:paraId="3E7DDA89">
      <w:pPr>
        <w:pStyle w:val="5"/>
        <w:keepNext w:val="0"/>
        <w:keepLines w:val="0"/>
        <w:pageBreakBefore w:val="0"/>
        <w:wordWrap/>
        <w:overflowPunct/>
        <w:topLinePunct w:val="0"/>
        <w:bidi w:val="0"/>
        <w:adjustRightInd/>
        <w:spacing w:line="460" w:lineRule="exact"/>
        <w:ind w:right="1096" w:rightChars="522"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eastAsia="zh-CN" w:bidi="zh-CN"/>
        </w:rPr>
        <w:t>2.3.5 非道路移动机械及柴油货车检测服务</w:t>
      </w:r>
    </w:p>
    <w:p w14:paraId="09AEA831">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sz w:val="24"/>
          <w:szCs w:val="24"/>
          <w:highlight w:val="none"/>
          <w:lang w:val="en" w:bidi="zh-CN"/>
        </w:rPr>
        <w:t>中标人应根据赣江新区实际情况，</w:t>
      </w:r>
      <w:r>
        <w:rPr>
          <w:rFonts w:hint="eastAsia" w:ascii="宋体" w:hAnsi="宋体" w:eastAsia="宋体" w:cs="宋体"/>
          <w:color w:val="auto"/>
          <w:spacing w:val="-5"/>
          <w:sz w:val="24"/>
          <w:szCs w:val="24"/>
          <w:highlight w:val="none"/>
          <w:lang w:val="en-US" w:bidi="zh-CN"/>
        </w:rPr>
        <w:t>依据相关检测要求</w:t>
      </w:r>
      <w:r>
        <w:rPr>
          <w:rFonts w:hint="eastAsia" w:ascii="宋体" w:hAnsi="宋体" w:eastAsia="宋体" w:cs="宋体"/>
          <w:color w:val="auto"/>
          <w:spacing w:val="-5"/>
          <w:sz w:val="24"/>
          <w:szCs w:val="24"/>
          <w:highlight w:val="none"/>
          <w:lang w:val="en" w:bidi="zh-CN"/>
        </w:rPr>
        <w:t>对赣江新区</w:t>
      </w:r>
      <w:r>
        <w:rPr>
          <w:rFonts w:hint="eastAsia" w:ascii="宋体" w:hAnsi="宋体" w:eastAsia="宋体" w:cs="宋体"/>
          <w:color w:val="auto"/>
          <w:spacing w:val="-5"/>
          <w:sz w:val="24"/>
          <w:szCs w:val="24"/>
          <w:highlight w:val="none"/>
          <w:lang w:val="en-US" w:bidi="zh-CN"/>
        </w:rPr>
        <w:t>直管区已登记的</w:t>
      </w:r>
      <w:r>
        <w:rPr>
          <w:rFonts w:hint="eastAsia" w:ascii="宋体" w:hAnsi="宋体" w:eastAsia="宋体" w:cs="宋体"/>
          <w:color w:val="auto"/>
          <w:spacing w:val="-5"/>
          <w:sz w:val="24"/>
          <w:szCs w:val="24"/>
          <w:highlight w:val="none"/>
          <w:lang w:val="en" w:bidi="zh-CN"/>
        </w:rPr>
        <w:t>非道路移动机械尾气达标排放情况开展抽测，配合相关</w:t>
      </w:r>
      <w:r>
        <w:rPr>
          <w:rFonts w:hint="eastAsia" w:ascii="宋体" w:hAnsi="宋体" w:eastAsia="宋体" w:cs="宋体"/>
          <w:color w:val="auto"/>
          <w:spacing w:val="-5"/>
          <w:sz w:val="24"/>
          <w:szCs w:val="24"/>
          <w:highlight w:val="none"/>
          <w:lang w:val="en-US" w:bidi="zh-CN"/>
        </w:rPr>
        <w:t>管理</w:t>
      </w:r>
      <w:r>
        <w:rPr>
          <w:rFonts w:hint="eastAsia" w:ascii="宋体" w:hAnsi="宋体" w:eastAsia="宋体" w:cs="宋体"/>
          <w:color w:val="auto"/>
          <w:spacing w:val="-5"/>
          <w:sz w:val="24"/>
          <w:szCs w:val="24"/>
          <w:highlight w:val="none"/>
          <w:lang w:val="en" w:bidi="zh-CN"/>
        </w:rPr>
        <w:t>部门对重点路段柴油货车尾气排放情况开展抽测。</w:t>
      </w:r>
      <w:r>
        <w:rPr>
          <w:rFonts w:hint="eastAsia" w:ascii="宋体" w:hAnsi="宋体" w:eastAsia="宋体" w:cs="宋体"/>
          <w:color w:val="auto"/>
          <w:spacing w:val="-5"/>
          <w:sz w:val="24"/>
          <w:szCs w:val="24"/>
          <w:highlight w:val="none"/>
          <w:lang w:val="en-US" w:bidi="zh-CN"/>
        </w:rPr>
        <w:t>服务期内</w:t>
      </w:r>
      <w:r>
        <w:rPr>
          <w:rFonts w:hint="eastAsia" w:ascii="宋体" w:hAnsi="宋体" w:eastAsia="宋体" w:cs="宋体"/>
          <w:color w:val="auto"/>
          <w:spacing w:val="-5"/>
          <w:sz w:val="24"/>
          <w:szCs w:val="24"/>
          <w:highlight w:val="none"/>
          <w:lang w:val="en" w:bidi="zh-CN"/>
        </w:rPr>
        <w:t>抽测</w:t>
      </w:r>
      <w:r>
        <w:rPr>
          <w:rFonts w:hint="eastAsia" w:ascii="宋体" w:hAnsi="宋体" w:eastAsia="宋体" w:cs="宋体"/>
          <w:color w:val="auto"/>
          <w:spacing w:val="-5"/>
          <w:sz w:val="24"/>
          <w:szCs w:val="24"/>
          <w:highlight w:val="none"/>
          <w:lang w:val="en-US" w:bidi="zh-CN"/>
        </w:rPr>
        <w:t>车辆合计不少于50辆次</w:t>
      </w:r>
      <w:r>
        <w:rPr>
          <w:rFonts w:hint="eastAsia" w:ascii="宋体" w:hAnsi="宋体" w:eastAsia="宋体" w:cs="宋体"/>
          <w:color w:val="auto"/>
          <w:spacing w:val="-5"/>
          <w:sz w:val="24"/>
          <w:szCs w:val="24"/>
          <w:highlight w:val="none"/>
          <w:lang w:val="en" w:bidi="zh-CN"/>
        </w:rPr>
        <w:t>。</w:t>
      </w:r>
    </w:p>
    <w:p w14:paraId="0761EFC3">
      <w:pPr>
        <w:pStyle w:val="5"/>
        <w:keepNext w:val="0"/>
        <w:keepLines w:val="0"/>
        <w:pageBreakBefore w:val="0"/>
        <w:wordWrap/>
        <w:overflowPunct/>
        <w:topLinePunct w:val="0"/>
        <w:bidi w:val="0"/>
        <w:adjustRightInd/>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 xml:space="preserve">2.4 </w:t>
      </w:r>
      <w:r>
        <w:rPr>
          <w:rFonts w:hint="eastAsia" w:ascii="宋体" w:hAnsi="宋体" w:eastAsia="宋体" w:cs="宋体"/>
          <w:b/>
          <w:bCs/>
          <w:color w:val="auto"/>
          <w:spacing w:val="-5"/>
          <w:sz w:val="24"/>
          <w:szCs w:val="24"/>
          <w:highlight w:val="none"/>
          <w:lang w:bidi="zh-CN"/>
        </w:rPr>
        <w:t>高空瞭望监测服务</w:t>
      </w:r>
    </w:p>
    <w:p w14:paraId="20A14B15">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中标人应在赣江新区中医药科创城片区、儒乐湖片区</w:t>
      </w:r>
      <w:r>
        <w:rPr>
          <w:rFonts w:hint="eastAsia" w:ascii="宋体" w:hAnsi="宋体" w:eastAsia="宋体" w:cs="宋体"/>
          <w:color w:val="auto"/>
          <w:spacing w:val="-5"/>
          <w:sz w:val="24"/>
          <w:szCs w:val="24"/>
          <w:highlight w:val="none"/>
          <w:lang w:val="en-US" w:bidi="zh-CN"/>
        </w:rPr>
        <w:t>部署不少于4</w:t>
      </w:r>
      <w:r>
        <w:rPr>
          <w:rFonts w:hint="eastAsia" w:ascii="宋体" w:hAnsi="宋体" w:eastAsia="宋体" w:cs="宋体"/>
          <w:color w:val="auto"/>
          <w:spacing w:val="-5"/>
          <w:sz w:val="24"/>
          <w:szCs w:val="24"/>
          <w:highlight w:val="none"/>
          <w:lang w:bidi="zh-CN"/>
        </w:rPr>
        <w:t>套高空瞭望</w:t>
      </w:r>
      <w:r>
        <w:rPr>
          <w:rFonts w:hint="eastAsia" w:ascii="宋体" w:hAnsi="宋体" w:eastAsia="宋体" w:cs="宋体"/>
          <w:b w:val="0"/>
          <w:bCs w:val="0"/>
          <w:i w:val="0"/>
          <w:iCs w:val="0"/>
          <w:caps w:val="0"/>
          <w:color w:val="auto"/>
          <w:spacing w:val="-5"/>
          <w:sz w:val="24"/>
          <w:szCs w:val="24"/>
          <w:highlight w:val="none"/>
          <w:shd w:val="clear" w:color="auto" w:fill="auto"/>
          <w:lang w:bidi="zh-CN"/>
        </w:rPr>
        <w:t>可见光与热成像双光谱</w:t>
      </w:r>
      <w:r>
        <w:rPr>
          <w:rFonts w:hint="eastAsia" w:ascii="宋体" w:hAnsi="宋体" w:eastAsia="宋体" w:cs="宋体"/>
          <w:i w:val="0"/>
          <w:iCs w:val="0"/>
          <w:caps w:val="0"/>
          <w:color w:val="auto"/>
          <w:spacing w:val="-5"/>
          <w:sz w:val="24"/>
          <w:szCs w:val="24"/>
          <w:highlight w:val="none"/>
          <w:shd w:val="clear" w:color="auto" w:fill="auto"/>
          <w:lang w:bidi="zh-CN"/>
        </w:rPr>
        <w:t>‌的高性能摄像头系统</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kern w:val="0"/>
          <w:sz w:val="24"/>
          <w:szCs w:val="24"/>
          <w:highlight w:val="none"/>
          <w:lang w:val="en-US" w:eastAsia="zh-CN" w:bidi="zh-CN"/>
        </w:rPr>
        <w:t>基于高空瞭望视频识别技术，针对画面中出现焚烧、火灾、生产等引起的黑烟时进行行为捕捉和识别。自动启动行为捕捉，捕捉到的视频或图像和报警信息作为关联。当触发报警阀值，对报警点进行自动对焦抓拍图像发送至新区智慧环保平台及智慧环保APP相关人员。</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kern w:val="0"/>
          <w:sz w:val="24"/>
          <w:szCs w:val="24"/>
          <w:highlight w:val="none"/>
          <w:lang w:val="en-US" w:eastAsia="zh-CN" w:bidi="zh-CN"/>
        </w:rPr>
        <w:t>服务</w:t>
      </w:r>
      <w:r>
        <w:rPr>
          <w:rFonts w:hint="eastAsia" w:ascii="宋体" w:hAnsi="宋体" w:eastAsia="宋体" w:cs="宋体"/>
          <w:color w:val="auto"/>
          <w:spacing w:val="-5"/>
          <w:sz w:val="24"/>
          <w:szCs w:val="24"/>
          <w:highlight w:val="none"/>
          <w:lang w:bidi="zh-CN"/>
        </w:rPr>
        <w:t>所需监测设备主要技术要求如下：</w:t>
      </w:r>
    </w:p>
    <w:p w14:paraId="59B94DFB">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热成像分辨率：384 × 288</w:t>
      </w:r>
    </w:p>
    <w:p w14:paraId="391C040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热成像焦距：50 mm</w:t>
      </w:r>
    </w:p>
    <w:p w14:paraId="5E0527C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热成像视场角：7.47°（H）× 5.61°（V）</w:t>
      </w:r>
    </w:p>
    <w:p w14:paraId="6938EE04">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船只最远报警距离（以10米*5米为准）：1500m</w:t>
      </w:r>
    </w:p>
    <w:p w14:paraId="4B9AB6A5">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车辆最远报警距离（以4米*1.4米为准）：1050m</w:t>
      </w:r>
    </w:p>
    <w:p w14:paraId="7088CA5D">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人员最远报警距离（以1.8米*0.5米为准）：350m</w:t>
      </w:r>
    </w:p>
    <w:p w14:paraId="2443A2C4">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 xml:space="preserve">火点最远报警距离（以2米*2米为准）：3000m </w:t>
      </w:r>
    </w:p>
    <w:p w14:paraId="550E4D2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可见光分辨率：2688 x 1520，400万实时高清</w:t>
      </w:r>
    </w:p>
    <w:p w14:paraId="43F2921C">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可见光焦距：6-336 mm,光学变倍56倍</w:t>
      </w:r>
    </w:p>
    <w:p w14:paraId="71605AC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 xml:space="preserve">可见光补光功能：激光补光有效距离800 m </w:t>
      </w:r>
    </w:p>
    <w:p w14:paraId="310AD71F">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可见光视场角：48.26°(H)28.43°(V)-0.92°(H)0.56°(V)</w:t>
      </w:r>
    </w:p>
    <w:p w14:paraId="3834B350">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可见光透雾功能：支持光学透雾和算法透雾</w:t>
      </w:r>
    </w:p>
    <w:p w14:paraId="703D379A">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可见光防抖功能：陀螺仪电子防抖</w:t>
      </w:r>
    </w:p>
    <w:p w14:paraId="0BDE781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 xml:space="preserve">烟雾最远报警距离（以5米*5米为准）：6000m </w:t>
      </w:r>
    </w:p>
    <w:p w14:paraId="79EF773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水平范围：360°连续旋转</w:t>
      </w:r>
    </w:p>
    <w:p w14:paraId="02CBA16B">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 xml:space="preserve">垂直范围：+40°~-90° </w:t>
      </w:r>
    </w:p>
    <w:p w14:paraId="767E509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外壳材质：高强度铝合金</w:t>
      </w:r>
    </w:p>
    <w:p w14:paraId="6283114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电源适配器：标配DC36@4.17A适配器；尺寸L219*W66.2*H38.12mm</w:t>
      </w:r>
    </w:p>
    <w:p w14:paraId="20D6F1F2">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功率：工作功耗≤70 W，最大功耗≤130 W</w:t>
      </w:r>
    </w:p>
    <w:p w14:paraId="472F63B0">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工作温度和湿度：-40 ℃~70℃，＜90% RH</w:t>
      </w:r>
    </w:p>
    <w:p w14:paraId="61FFB45A">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bidi="zh-CN"/>
        </w:rPr>
        <w:t>防护等级：IP66，电磁兼容符合GB/T17626.5四级标准</w:t>
      </w:r>
      <w:r>
        <w:rPr>
          <w:rFonts w:hint="eastAsia" w:ascii="宋体" w:hAnsi="宋体" w:eastAsia="宋体" w:cs="宋体"/>
          <w:color w:val="auto"/>
          <w:spacing w:val="-5"/>
          <w:sz w:val="24"/>
          <w:szCs w:val="24"/>
          <w:highlight w:val="none"/>
          <w:lang w:val="en-US" w:bidi="zh-CN"/>
        </w:rPr>
        <w:t>。</w:t>
      </w:r>
    </w:p>
    <w:p w14:paraId="48ED0CB1">
      <w:pPr>
        <w:pStyle w:val="5"/>
        <w:keepNext w:val="0"/>
        <w:keepLines w:val="0"/>
        <w:pageBreakBefore w:val="0"/>
        <w:wordWrap/>
        <w:overflowPunct/>
        <w:topLinePunct w:val="0"/>
        <w:bidi w:val="0"/>
        <w:adjustRightInd/>
        <w:spacing w:line="460" w:lineRule="exact"/>
        <w:ind w:firstLine="462" w:firstLineChars="200"/>
        <w:rPr>
          <w:rFonts w:hint="eastAsia" w:ascii="宋体" w:hAnsi="宋体" w:eastAsia="宋体" w:cs="宋体"/>
          <w:b/>
          <w:bCs/>
          <w:color w:val="auto"/>
          <w:spacing w:val="-5"/>
          <w:sz w:val="24"/>
          <w:szCs w:val="24"/>
          <w:highlight w:val="none"/>
          <w:lang w:val="en-US" w:bidi="zh-CN"/>
        </w:rPr>
      </w:pPr>
      <w:r>
        <w:rPr>
          <w:rFonts w:hint="eastAsia" w:ascii="宋体" w:hAnsi="宋体" w:eastAsia="宋体" w:cs="宋体"/>
          <w:b/>
          <w:bCs/>
          <w:color w:val="auto"/>
          <w:spacing w:val="-5"/>
          <w:sz w:val="24"/>
          <w:szCs w:val="24"/>
          <w:highlight w:val="none"/>
          <w:lang w:val="en-US" w:bidi="zh-CN"/>
        </w:rPr>
        <w:t>2.5 道路积尘负荷走航监测服务</w:t>
      </w:r>
    </w:p>
    <w:p w14:paraId="4DC2A08A">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val="en" w:bidi="zh-CN"/>
        </w:rPr>
      </w:pPr>
      <w:r>
        <w:rPr>
          <w:rFonts w:hint="eastAsia" w:ascii="宋体" w:hAnsi="宋体" w:eastAsia="宋体" w:cs="宋体"/>
          <w:color w:val="auto"/>
          <w:spacing w:val="-5"/>
          <w:sz w:val="24"/>
          <w:szCs w:val="24"/>
          <w:highlight w:val="none"/>
          <w:lang w:val="en" w:bidi="zh-CN"/>
        </w:rPr>
        <w:t>借助道路积尘负荷走航监测等手段监控赣江新区直管区</w:t>
      </w:r>
      <w:r>
        <w:rPr>
          <w:rFonts w:hint="eastAsia" w:ascii="宋体" w:hAnsi="宋体" w:eastAsia="宋体" w:cs="宋体"/>
          <w:color w:val="auto"/>
          <w:spacing w:val="-5"/>
          <w:sz w:val="24"/>
          <w:szCs w:val="24"/>
          <w:highlight w:val="none"/>
          <w:lang w:val="en-US" w:bidi="zh-CN"/>
        </w:rPr>
        <w:t>的</w:t>
      </w:r>
      <w:r>
        <w:rPr>
          <w:rFonts w:hint="eastAsia" w:ascii="宋体" w:hAnsi="宋体" w:eastAsia="宋体" w:cs="宋体"/>
          <w:color w:val="auto"/>
          <w:spacing w:val="-5"/>
          <w:sz w:val="24"/>
          <w:szCs w:val="24"/>
          <w:highlight w:val="none"/>
          <w:lang w:val="en" w:bidi="zh-CN"/>
        </w:rPr>
        <w:t>主要市政道路保洁情况，评估重点道路扬尘管控措施。对重点时段、重点区域和高值道路进行优先走航。每轮走航结束后，编制重点道路积尘负荷评估报告，推动</w:t>
      </w:r>
      <w:r>
        <w:rPr>
          <w:rFonts w:hint="eastAsia" w:ascii="宋体" w:hAnsi="宋体" w:eastAsia="宋体" w:cs="宋体"/>
          <w:color w:val="auto"/>
          <w:spacing w:val="-5"/>
          <w:sz w:val="24"/>
          <w:szCs w:val="24"/>
          <w:highlight w:val="none"/>
          <w:lang w:val="en-US" w:bidi="zh-CN"/>
        </w:rPr>
        <w:t>和促进</w:t>
      </w:r>
      <w:r>
        <w:rPr>
          <w:rFonts w:hint="eastAsia" w:ascii="宋体" w:hAnsi="宋体" w:eastAsia="宋体" w:cs="宋体"/>
          <w:color w:val="auto"/>
          <w:spacing w:val="-5"/>
          <w:sz w:val="24"/>
          <w:szCs w:val="24"/>
          <w:highlight w:val="none"/>
          <w:lang w:val="en" w:bidi="zh-CN"/>
        </w:rPr>
        <w:t>道路扬尘削减。</w:t>
      </w:r>
      <w:r>
        <w:rPr>
          <w:rFonts w:hint="eastAsia" w:ascii="宋体" w:hAnsi="宋体" w:eastAsia="宋体" w:cs="宋体"/>
          <w:color w:val="auto"/>
          <w:spacing w:val="-5"/>
          <w:sz w:val="24"/>
          <w:szCs w:val="24"/>
          <w:highlight w:val="none"/>
          <w:lang w:val="en-US" w:bidi="zh-CN"/>
        </w:rPr>
        <w:t>服务期内</w:t>
      </w:r>
      <w:r>
        <w:rPr>
          <w:rFonts w:hint="eastAsia" w:ascii="宋体" w:hAnsi="宋体" w:eastAsia="宋体" w:cs="宋体"/>
          <w:color w:val="auto"/>
          <w:spacing w:val="-5"/>
          <w:sz w:val="24"/>
          <w:szCs w:val="24"/>
          <w:highlight w:val="none"/>
          <w:lang w:val="en" w:bidi="zh-CN"/>
        </w:rPr>
        <w:t>开展</w:t>
      </w:r>
      <w:r>
        <w:rPr>
          <w:rFonts w:hint="eastAsia" w:ascii="宋体" w:hAnsi="宋体" w:eastAsia="宋体" w:cs="宋体"/>
          <w:color w:val="auto"/>
          <w:spacing w:val="-5"/>
          <w:sz w:val="24"/>
          <w:szCs w:val="24"/>
          <w:highlight w:val="none"/>
          <w:lang w:val="en-US" w:bidi="zh-CN"/>
        </w:rPr>
        <w:t>监测</w:t>
      </w:r>
      <w:r>
        <w:rPr>
          <w:rFonts w:hint="eastAsia" w:ascii="宋体" w:hAnsi="宋体" w:eastAsia="宋体" w:cs="宋体"/>
          <w:color w:val="auto"/>
          <w:spacing w:val="-5"/>
          <w:sz w:val="24"/>
          <w:szCs w:val="24"/>
          <w:highlight w:val="none"/>
          <w:lang w:val="en" w:bidi="zh-CN"/>
        </w:rPr>
        <w:t>服务不低于</w:t>
      </w:r>
      <w:r>
        <w:rPr>
          <w:rFonts w:hint="eastAsia" w:ascii="宋体" w:hAnsi="宋体" w:eastAsia="宋体" w:cs="宋体"/>
          <w:color w:val="auto"/>
          <w:spacing w:val="-5"/>
          <w:sz w:val="24"/>
          <w:szCs w:val="24"/>
          <w:highlight w:val="none"/>
          <w:lang w:val="en-US" w:bidi="zh-CN"/>
        </w:rPr>
        <w:t>6</w:t>
      </w:r>
      <w:r>
        <w:rPr>
          <w:rFonts w:hint="eastAsia" w:ascii="宋体" w:hAnsi="宋体" w:eastAsia="宋体" w:cs="宋体"/>
          <w:color w:val="auto"/>
          <w:spacing w:val="-5"/>
          <w:sz w:val="24"/>
          <w:szCs w:val="24"/>
          <w:highlight w:val="none"/>
          <w:lang w:val="en" w:bidi="zh-CN"/>
        </w:rPr>
        <w:t>次。</w:t>
      </w:r>
    </w:p>
    <w:p w14:paraId="22308F2D">
      <w:pPr>
        <w:pStyle w:val="5"/>
        <w:keepNext w:val="0"/>
        <w:keepLines w:val="0"/>
        <w:pageBreakBefore w:val="0"/>
        <w:wordWrap/>
        <w:overflowPunct/>
        <w:topLinePunct w:val="0"/>
        <w:bidi w:val="0"/>
        <w:adjustRightInd/>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en-US" w:bidi="zh-CN"/>
        </w:rPr>
        <w:t xml:space="preserve">2.6 </w:t>
      </w:r>
      <w:r>
        <w:rPr>
          <w:rFonts w:hint="eastAsia" w:ascii="宋体" w:hAnsi="宋体" w:eastAsia="宋体" w:cs="宋体"/>
          <w:b/>
          <w:bCs/>
          <w:color w:val="auto"/>
          <w:spacing w:val="-5"/>
          <w:sz w:val="24"/>
          <w:szCs w:val="24"/>
          <w:highlight w:val="none"/>
          <w:lang w:bidi="zh-CN"/>
        </w:rPr>
        <w:t>无人机巡查服务</w:t>
      </w:r>
    </w:p>
    <w:p w14:paraId="2444046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val="en" w:bidi="zh-CN"/>
        </w:rPr>
        <w:t>中标人</w:t>
      </w:r>
      <w:r>
        <w:rPr>
          <w:rFonts w:hint="eastAsia" w:ascii="宋体" w:hAnsi="宋体" w:eastAsia="宋体" w:cs="宋体"/>
          <w:color w:val="auto"/>
          <w:spacing w:val="-5"/>
          <w:sz w:val="24"/>
          <w:szCs w:val="24"/>
          <w:highlight w:val="none"/>
          <w:lang w:bidi="zh-CN"/>
        </w:rPr>
        <w:t>应配备至少1架无人机，提供本项目服务周期内的无人机日常巡查任务，服务期内巡查频次不低于</w:t>
      </w:r>
      <w:r>
        <w:rPr>
          <w:rFonts w:hint="eastAsia" w:ascii="宋体" w:hAnsi="宋体" w:eastAsia="宋体" w:cs="宋体"/>
          <w:color w:val="auto"/>
          <w:spacing w:val="-5"/>
          <w:sz w:val="24"/>
          <w:szCs w:val="24"/>
          <w:highlight w:val="none"/>
          <w:lang w:val="en-US" w:bidi="zh-CN"/>
        </w:rPr>
        <w:t>100</w:t>
      </w:r>
      <w:r>
        <w:rPr>
          <w:rFonts w:hint="eastAsia" w:ascii="宋体" w:hAnsi="宋体" w:eastAsia="宋体" w:cs="宋体"/>
          <w:color w:val="auto"/>
          <w:spacing w:val="-5"/>
          <w:sz w:val="24"/>
          <w:szCs w:val="24"/>
          <w:highlight w:val="none"/>
          <w:lang w:bidi="zh-CN"/>
        </w:rPr>
        <w:t>架次。无人机搭载高清摄像</w:t>
      </w:r>
      <w:r>
        <w:rPr>
          <w:rFonts w:hint="eastAsia" w:ascii="宋体" w:hAnsi="宋体" w:eastAsia="宋体" w:cs="宋体"/>
          <w:color w:val="auto"/>
          <w:spacing w:val="-5"/>
          <w:sz w:val="24"/>
          <w:szCs w:val="24"/>
          <w:highlight w:val="none"/>
          <w:lang w:val="en-US" w:bidi="zh-CN"/>
        </w:rPr>
        <w:t>头</w:t>
      </w:r>
      <w:r>
        <w:rPr>
          <w:rFonts w:hint="eastAsia" w:ascii="宋体" w:hAnsi="宋体" w:eastAsia="宋体" w:cs="宋体"/>
          <w:color w:val="auto"/>
          <w:spacing w:val="-5"/>
          <w:sz w:val="24"/>
          <w:szCs w:val="24"/>
          <w:highlight w:val="none"/>
          <w:lang w:bidi="zh-CN"/>
        </w:rPr>
        <w:t>，集成高性能云台系统。主要用于污染源</w:t>
      </w:r>
      <w:r>
        <w:rPr>
          <w:rFonts w:hint="eastAsia" w:ascii="宋体" w:hAnsi="宋体" w:eastAsia="宋体" w:cs="宋体"/>
          <w:color w:val="auto"/>
          <w:spacing w:val="-5"/>
          <w:sz w:val="24"/>
          <w:szCs w:val="24"/>
          <w:highlight w:val="none"/>
          <w:lang w:val="en-US" w:bidi="zh-CN"/>
        </w:rPr>
        <w:t>远程</w:t>
      </w:r>
      <w:r>
        <w:rPr>
          <w:rFonts w:hint="eastAsia" w:ascii="宋体" w:hAnsi="宋体" w:eastAsia="宋体" w:cs="宋体"/>
          <w:color w:val="auto"/>
          <w:spacing w:val="-5"/>
          <w:sz w:val="24"/>
          <w:szCs w:val="24"/>
          <w:highlight w:val="none"/>
          <w:lang w:bidi="zh-CN"/>
        </w:rPr>
        <w:t>巡查、散乱偷排突击排查、突发污染事件应急巡查、</w:t>
      </w:r>
      <w:r>
        <w:rPr>
          <w:rFonts w:hint="eastAsia" w:ascii="宋体" w:hAnsi="宋体" w:eastAsia="宋体" w:cs="宋体"/>
          <w:color w:val="auto"/>
          <w:spacing w:val="-5"/>
          <w:sz w:val="24"/>
          <w:szCs w:val="24"/>
          <w:highlight w:val="none"/>
          <w:lang w:val="en-US" w:bidi="zh-CN"/>
        </w:rPr>
        <w:t>生产原料和固体废物露天违规堆存丢弃等场景，并支持远程喊话功能。具体技术要求如下：</w:t>
      </w:r>
    </w:p>
    <w:p w14:paraId="2D0B94B0">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1</w:t>
      </w:r>
      <w:r>
        <w:rPr>
          <w:rFonts w:hint="eastAsia" w:ascii="宋体" w:hAnsi="宋体" w:eastAsia="宋体" w:cs="宋体"/>
          <w:color w:val="auto"/>
          <w:spacing w:val="-5"/>
          <w:sz w:val="24"/>
          <w:szCs w:val="24"/>
          <w:highlight w:val="none"/>
          <w:lang w:bidi="zh-CN"/>
        </w:rPr>
        <w:t>）飞行器</w:t>
      </w:r>
    </w:p>
    <w:p w14:paraId="0F5D830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最大抗风</w:t>
      </w:r>
      <w:r>
        <w:rPr>
          <w:rFonts w:hint="eastAsia" w:ascii="宋体" w:hAnsi="宋体" w:eastAsia="宋体" w:cs="宋体"/>
          <w:color w:val="auto"/>
          <w:spacing w:val="-5"/>
          <w:sz w:val="24"/>
          <w:szCs w:val="24"/>
          <w:highlight w:val="none"/>
          <w:lang w:val="en-US" w:bidi="zh-CN"/>
        </w:rPr>
        <w:t>速度</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12 m/s</w:t>
      </w:r>
      <w:r>
        <w:rPr>
          <w:rFonts w:hint="eastAsia" w:ascii="宋体" w:hAnsi="宋体" w:eastAsia="宋体" w:cs="宋体"/>
          <w:color w:val="auto"/>
          <w:spacing w:val="-5"/>
          <w:sz w:val="24"/>
          <w:szCs w:val="24"/>
          <w:highlight w:val="none"/>
          <w:lang w:bidi="zh-CN"/>
        </w:rPr>
        <w:t>；</w:t>
      </w:r>
    </w:p>
    <w:p w14:paraId="65F1903B">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最长飞行时间：≥</w:t>
      </w:r>
      <w:r>
        <w:rPr>
          <w:rFonts w:hint="eastAsia" w:ascii="宋体" w:hAnsi="宋体" w:eastAsia="宋体" w:cs="宋体"/>
          <w:color w:val="auto"/>
          <w:spacing w:val="-5"/>
          <w:sz w:val="24"/>
          <w:szCs w:val="24"/>
          <w:highlight w:val="none"/>
          <w:lang w:val="en-US" w:bidi="zh-CN"/>
        </w:rPr>
        <w:t>46</w:t>
      </w:r>
      <w:r>
        <w:rPr>
          <w:rFonts w:hint="eastAsia" w:ascii="宋体" w:hAnsi="宋体" w:eastAsia="宋体" w:cs="宋体"/>
          <w:color w:val="auto"/>
          <w:spacing w:val="-5"/>
          <w:sz w:val="24"/>
          <w:szCs w:val="24"/>
          <w:highlight w:val="none"/>
          <w:lang w:bidi="zh-CN"/>
        </w:rPr>
        <w:t>分钟；</w:t>
      </w:r>
    </w:p>
    <w:p w14:paraId="3EA33C1B">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最大可倾斜角度：≥</w:t>
      </w:r>
      <w:r>
        <w:rPr>
          <w:rFonts w:hint="eastAsia" w:ascii="宋体" w:hAnsi="宋体" w:eastAsia="宋体" w:cs="宋体"/>
          <w:color w:val="auto"/>
          <w:spacing w:val="-5"/>
          <w:sz w:val="24"/>
          <w:szCs w:val="24"/>
          <w:highlight w:val="none"/>
          <w:lang w:val="en-US" w:bidi="zh-CN"/>
        </w:rPr>
        <w:t>35</w:t>
      </w:r>
      <w:r>
        <w:rPr>
          <w:rFonts w:hint="eastAsia" w:ascii="宋体" w:hAnsi="宋体" w:eastAsia="宋体" w:cs="宋体"/>
          <w:color w:val="auto"/>
          <w:spacing w:val="-5"/>
          <w:sz w:val="24"/>
          <w:szCs w:val="24"/>
          <w:highlight w:val="none"/>
          <w:lang w:bidi="zh-CN"/>
        </w:rPr>
        <w:t>°；</w:t>
      </w:r>
    </w:p>
    <w:p w14:paraId="0C73421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工作环境温度：</w:t>
      </w:r>
      <w:r>
        <w:rPr>
          <w:rFonts w:hint="eastAsia" w:ascii="宋体" w:hAnsi="宋体" w:eastAsia="宋体" w:cs="宋体"/>
          <w:color w:val="auto"/>
          <w:spacing w:val="-5"/>
          <w:sz w:val="24"/>
          <w:szCs w:val="24"/>
          <w:highlight w:val="none"/>
          <w:lang w:val="en-US" w:bidi="zh-CN"/>
        </w:rPr>
        <w:t>-10</w:t>
      </w:r>
      <w:r>
        <w:rPr>
          <w:rFonts w:hint="eastAsia" w:ascii="宋体" w:hAnsi="宋体" w:eastAsia="宋体" w:cs="宋体"/>
          <w:color w:val="auto"/>
          <w:spacing w:val="-5"/>
          <w:sz w:val="24"/>
          <w:szCs w:val="24"/>
          <w:highlight w:val="none"/>
          <w:lang w:bidi="zh-CN"/>
        </w:rPr>
        <w:t>℃～40℃；</w:t>
      </w:r>
    </w:p>
    <w:p w14:paraId="1C41A6A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卫星导航系统：GPS+GLONASS+GALILEO</w:t>
      </w:r>
      <w:r>
        <w:rPr>
          <w:rFonts w:hint="eastAsia" w:ascii="宋体" w:hAnsi="宋体" w:eastAsia="宋体" w:cs="宋体"/>
          <w:color w:val="auto"/>
          <w:spacing w:val="-5"/>
          <w:sz w:val="24"/>
          <w:szCs w:val="24"/>
          <w:highlight w:val="none"/>
          <w:lang w:val="en-US" w:bidi="zh-CN"/>
        </w:rPr>
        <w:t>+</w:t>
      </w:r>
      <w:r>
        <w:rPr>
          <w:rFonts w:hint="eastAsia" w:ascii="宋体" w:hAnsi="宋体" w:eastAsia="宋体" w:cs="宋体"/>
          <w:i w:val="0"/>
          <w:iCs w:val="0"/>
          <w:caps w:val="0"/>
          <w:color w:val="auto"/>
          <w:spacing w:val="-5"/>
          <w:sz w:val="24"/>
          <w:szCs w:val="24"/>
          <w:highlight w:val="none"/>
          <w:shd w:val="clear" w:color="auto" w:fill="auto"/>
          <w:lang w:bidi="zh-CN"/>
        </w:rPr>
        <w:t>BeiDou</w:t>
      </w:r>
      <w:r>
        <w:rPr>
          <w:rFonts w:hint="eastAsia" w:ascii="宋体" w:hAnsi="宋体" w:eastAsia="宋体" w:cs="宋体"/>
          <w:color w:val="auto"/>
          <w:spacing w:val="-5"/>
          <w:sz w:val="24"/>
          <w:szCs w:val="24"/>
          <w:highlight w:val="none"/>
          <w:lang w:bidi="zh-CN"/>
        </w:rPr>
        <w:t>。</w:t>
      </w:r>
    </w:p>
    <w:p w14:paraId="64789506">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2</w:t>
      </w:r>
      <w:r>
        <w:rPr>
          <w:rFonts w:hint="eastAsia" w:ascii="宋体" w:hAnsi="宋体" w:eastAsia="宋体" w:cs="宋体"/>
          <w:color w:val="auto"/>
          <w:spacing w:val="-5"/>
          <w:sz w:val="24"/>
          <w:szCs w:val="24"/>
          <w:highlight w:val="none"/>
          <w:lang w:bidi="zh-CN"/>
        </w:rPr>
        <w:t>）云台</w:t>
      </w:r>
    </w:p>
    <w:p w14:paraId="497FAEB5">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稳定系统：</w:t>
      </w:r>
      <w:r>
        <w:rPr>
          <w:rFonts w:hint="eastAsia" w:ascii="宋体" w:hAnsi="宋体" w:eastAsia="宋体" w:cs="宋体"/>
          <w:i w:val="0"/>
          <w:iCs w:val="0"/>
          <w:caps w:val="0"/>
          <w:color w:val="auto"/>
          <w:spacing w:val="-5"/>
          <w:sz w:val="24"/>
          <w:szCs w:val="24"/>
          <w:highlight w:val="none"/>
          <w:shd w:val="clear" w:color="auto" w:fill="auto"/>
          <w:lang w:bidi="zh-CN"/>
        </w:rPr>
        <w:t>三轴机械云台（俯仰、横滚、平移）</w:t>
      </w:r>
      <w:r>
        <w:rPr>
          <w:rFonts w:hint="eastAsia" w:ascii="宋体" w:hAnsi="宋体" w:eastAsia="宋体" w:cs="宋体"/>
          <w:color w:val="auto"/>
          <w:spacing w:val="-5"/>
          <w:sz w:val="24"/>
          <w:szCs w:val="24"/>
          <w:highlight w:val="none"/>
          <w:lang w:bidi="zh-CN"/>
        </w:rPr>
        <w:t>；</w:t>
      </w:r>
    </w:p>
    <w:p w14:paraId="6FC150EB">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角度抖动量：±0.0</w:t>
      </w:r>
      <w:r>
        <w:rPr>
          <w:rFonts w:hint="eastAsia" w:ascii="宋体" w:hAnsi="宋体" w:eastAsia="宋体" w:cs="宋体"/>
          <w:color w:val="auto"/>
          <w:spacing w:val="-5"/>
          <w:sz w:val="24"/>
          <w:szCs w:val="24"/>
          <w:highlight w:val="none"/>
          <w:lang w:val="en-US" w:bidi="zh-CN"/>
        </w:rPr>
        <w:t>07</w:t>
      </w:r>
      <w:r>
        <w:rPr>
          <w:rFonts w:hint="eastAsia" w:ascii="宋体" w:hAnsi="宋体" w:eastAsia="宋体" w:cs="宋体"/>
          <w:color w:val="auto"/>
          <w:spacing w:val="-5"/>
          <w:sz w:val="24"/>
          <w:szCs w:val="24"/>
          <w:highlight w:val="none"/>
          <w:lang w:bidi="zh-CN"/>
        </w:rPr>
        <w:t>°。</w:t>
      </w:r>
    </w:p>
    <w:p w14:paraId="6F637E73">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3</w:t>
      </w:r>
      <w:r>
        <w:rPr>
          <w:rFonts w:hint="eastAsia" w:ascii="宋体" w:hAnsi="宋体" w:eastAsia="宋体" w:cs="宋体"/>
          <w:color w:val="auto"/>
          <w:spacing w:val="-5"/>
          <w:sz w:val="24"/>
          <w:szCs w:val="24"/>
          <w:highlight w:val="none"/>
          <w:lang w:bidi="zh-CN"/>
        </w:rPr>
        <w:t>）相机</w:t>
      </w:r>
    </w:p>
    <w:p w14:paraId="68DFFD78">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影像传感器：有效像素不小于1200万；</w:t>
      </w:r>
    </w:p>
    <w:p w14:paraId="67DA5C58">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视角：≥83°；</w:t>
      </w:r>
    </w:p>
    <w:p w14:paraId="428E5A80">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图片格式：JPEG/DNG(RAW)；</w:t>
      </w:r>
    </w:p>
    <w:p w14:paraId="7531E219">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视频格式：MP4（H.264/MPEG-4 AVC）。</w:t>
      </w:r>
    </w:p>
    <w:p w14:paraId="130412D1">
      <w:pPr>
        <w:pStyle w:val="5"/>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（4）喊话器</w:t>
      </w:r>
    </w:p>
    <w:p w14:paraId="2B6D431C">
      <w:pPr>
        <w:pStyle w:val="5"/>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最大响度：在1米处≥114分贝；</w:t>
      </w:r>
    </w:p>
    <w:p w14:paraId="23BC3226">
      <w:pPr>
        <w:pStyle w:val="5"/>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有效广播距离：≥300米；</w:t>
      </w:r>
    </w:p>
    <w:p w14:paraId="5A1E938E">
      <w:pPr>
        <w:pStyle w:val="5"/>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广播方式:实时喊话(支持回声啸叫抑制)、录音喊话、媒体导入(支持边传边播)、文字转语音；</w:t>
      </w:r>
    </w:p>
    <w:p w14:paraId="34368E76">
      <w:pPr>
        <w:pStyle w:val="5"/>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工作环境温度:-20℃至50℃；</w:t>
      </w:r>
    </w:p>
    <w:p w14:paraId="6950101D">
      <w:pPr>
        <w:pStyle w:val="5"/>
        <w:keepNext w:val="0"/>
        <w:keepLines w:val="0"/>
        <w:pageBreakBefore w:val="0"/>
        <w:wordWrap/>
        <w:overflowPunct/>
        <w:topLinePunct w:val="0"/>
        <w:bidi w:val="0"/>
        <w:adjustRightInd/>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val="en-US" w:bidi="zh-CN"/>
        </w:rPr>
        <w:t>防护等级:IP55。</w:t>
      </w:r>
    </w:p>
    <w:p w14:paraId="61B17B98">
      <w:pPr>
        <w:pStyle w:val="5"/>
        <w:keepNext w:val="0"/>
        <w:keepLines w:val="0"/>
        <w:pageBreakBefore w:val="0"/>
        <w:wordWrap/>
        <w:overflowPunct/>
        <w:topLinePunct w:val="0"/>
        <w:bidi w:val="0"/>
        <w:adjustRightInd/>
        <w:spacing w:line="460" w:lineRule="exact"/>
        <w:ind w:firstLine="462" w:firstLineChars="200"/>
        <w:rPr>
          <w:rFonts w:hint="eastAsia" w:ascii="宋体" w:hAnsi="宋体" w:eastAsia="宋体" w:cs="宋体"/>
          <w:b/>
          <w:color w:val="auto"/>
          <w:spacing w:val="-5"/>
          <w:sz w:val="24"/>
          <w:szCs w:val="24"/>
          <w:highlight w:val="none"/>
          <w:lang w:bidi="zh-CN"/>
        </w:rPr>
      </w:pPr>
      <w:r>
        <w:rPr>
          <w:rFonts w:hint="eastAsia" w:ascii="宋体" w:hAnsi="宋体" w:eastAsia="宋体" w:cs="宋体"/>
          <w:b/>
          <w:color w:val="auto"/>
          <w:spacing w:val="-5"/>
          <w:sz w:val="24"/>
          <w:szCs w:val="24"/>
          <w:highlight w:val="none"/>
          <w:lang w:val="en-US" w:bidi="zh-CN"/>
        </w:rPr>
        <w:t xml:space="preserve">2.7 </w:t>
      </w:r>
      <w:r>
        <w:rPr>
          <w:rFonts w:hint="eastAsia" w:ascii="宋体" w:hAnsi="宋体" w:eastAsia="宋体" w:cs="宋体"/>
          <w:b/>
          <w:bCs/>
          <w:color w:val="auto"/>
          <w:spacing w:val="-5"/>
          <w:sz w:val="24"/>
          <w:szCs w:val="24"/>
          <w:highlight w:val="none"/>
          <w:lang w:eastAsia="zh-CN" w:bidi="zh-CN"/>
        </w:rPr>
        <w:t>专业技术服务</w:t>
      </w:r>
      <w:r>
        <w:rPr>
          <w:rFonts w:hint="eastAsia" w:ascii="宋体" w:hAnsi="宋体" w:eastAsia="宋体" w:cs="宋体"/>
          <w:b/>
          <w:bCs/>
          <w:color w:val="auto"/>
          <w:spacing w:val="-5"/>
          <w:sz w:val="24"/>
          <w:szCs w:val="24"/>
          <w:highlight w:val="none"/>
          <w:lang w:val="en-US" w:eastAsia="zh-CN" w:bidi="zh-CN"/>
        </w:rPr>
        <w:t>及</w:t>
      </w:r>
      <w:r>
        <w:rPr>
          <w:rFonts w:hint="eastAsia" w:ascii="宋体" w:hAnsi="宋体" w:eastAsia="宋体" w:cs="宋体"/>
          <w:b/>
          <w:bCs/>
          <w:color w:val="auto"/>
          <w:spacing w:val="-5"/>
          <w:sz w:val="24"/>
          <w:szCs w:val="24"/>
          <w:highlight w:val="none"/>
          <w:lang w:eastAsia="zh-CN" w:bidi="zh-CN"/>
        </w:rPr>
        <w:t>数据分析报告</w:t>
      </w:r>
    </w:p>
    <w:p w14:paraId="7F3E755D">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val="en-US" w:bidi="zh-CN"/>
        </w:rPr>
      </w:pPr>
      <w:r>
        <w:rPr>
          <w:rFonts w:hint="eastAsia" w:ascii="宋体" w:hAnsi="宋体" w:eastAsia="宋体" w:cs="宋体"/>
          <w:b/>
          <w:color w:val="auto"/>
          <w:spacing w:val="-5"/>
          <w:sz w:val="24"/>
          <w:szCs w:val="24"/>
          <w:highlight w:val="none"/>
          <w:lang w:bidi="zh-CN"/>
        </w:rPr>
        <w:t>专业技术服务</w:t>
      </w:r>
      <w:r>
        <w:rPr>
          <w:rFonts w:hint="eastAsia" w:ascii="宋体" w:hAnsi="宋体" w:eastAsia="宋体" w:cs="宋体"/>
          <w:b/>
          <w:color w:val="auto"/>
          <w:spacing w:val="-5"/>
          <w:sz w:val="24"/>
          <w:szCs w:val="24"/>
          <w:highlight w:val="none"/>
          <w:lang w:val="en-US" w:bidi="zh-CN"/>
        </w:rPr>
        <w:t>:</w:t>
      </w:r>
    </w:p>
    <w:p w14:paraId="5784FD2E">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w:t>
      </w:r>
      <w:r>
        <w:rPr>
          <w:rFonts w:hint="eastAsia" w:ascii="宋体" w:hAnsi="宋体" w:eastAsia="宋体" w:cs="宋体"/>
          <w:color w:val="auto"/>
          <w:spacing w:val="-5"/>
          <w:sz w:val="24"/>
          <w:szCs w:val="24"/>
          <w:highlight w:val="none"/>
          <w:lang w:val="en-US" w:bidi="zh-CN"/>
        </w:rPr>
        <w:t>须</w:t>
      </w:r>
      <w:r>
        <w:rPr>
          <w:rFonts w:hint="eastAsia" w:ascii="宋体" w:hAnsi="宋体" w:eastAsia="宋体" w:cs="宋体"/>
          <w:color w:val="auto"/>
          <w:spacing w:val="-5"/>
          <w:sz w:val="24"/>
          <w:szCs w:val="24"/>
          <w:highlight w:val="none"/>
          <w:lang w:val="zh-CN" w:bidi="zh-CN"/>
        </w:rPr>
        <w:t>组建一支专业技术服务团队，就</w:t>
      </w:r>
      <w:r>
        <w:rPr>
          <w:rFonts w:hint="eastAsia" w:ascii="宋体" w:hAnsi="宋体" w:eastAsia="宋体" w:cs="宋体"/>
          <w:color w:val="auto"/>
          <w:spacing w:val="-5"/>
          <w:sz w:val="24"/>
          <w:szCs w:val="24"/>
          <w:highlight w:val="none"/>
          <w:lang w:val="en-US" w:bidi="zh-CN"/>
        </w:rPr>
        <w:t>赣江</w:t>
      </w:r>
      <w:r>
        <w:rPr>
          <w:rFonts w:hint="eastAsia" w:ascii="宋体" w:hAnsi="宋体" w:eastAsia="宋体" w:cs="宋体"/>
          <w:color w:val="auto"/>
          <w:spacing w:val="-5"/>
          <w:sz w:val="24"/>
          <w:szCs w:val="24"/>
          <w:highlight w:val="none"/>
          <w:lang w:bidi="zh-CN"/>
        </w:rPr>
        <w:t>新区</w:t>
      </w:r>
      <w:r>
        <w:rPr>
          <w:rFonts w:hint="eastAsia" w:ascii="宋体" w:hAnsi="宋体" w:eastAsia="宋体" w:cs="宋体"/>
          <w:color w:val="auto"/>
          <w:spacing w:val="-5"/>
          <w:sz w:val="24"/>
          <w:szCs w:val="24"/>
          <w:highlight w:val="none"/>
          <w:lang w:val="en-US" w:bidi="zh-CN"/>
        </w:rPr>
        <w:t>直管区</w:t>
      </w:r>
      <w:r>
        <w:rPr>
          <w:rFonts w:hint="eastAsia" w:ascii="宋体" w:hAnsi="宋体" w:eastAsia="宋体" w:cs="宋体"/>
          <w:color w:val="auto"/>
          <w:spacing w:val="-5"/>
          <w:sz w:val="24"/>
          <w:szCs w:val="24"/>
          <w:highlight w:val="none"/>
          <w:lang w:val="zh-CN" w:bidi="zh-CN"/>
        </w:rPr>
        <w:t>大气污染问题进行深入排查、专业分析，提出具体管控措施；协助制定</w:t>
      </w:r>
      <w:r>
        <w:rPr>
          <w:rFonts w:hint="eastAsia" w:ascii="宋体" w:hAnsi="宋体" w:eastAsia="宋体" w:cs="宋体"/>
          <w:color w:val="auto"/>
          <w:spacing w:val="-5"/>
          <w:sz w:val="24"/>
          <w:szCs w:val="24"/>
          <w:highlight w:val="none"/>
          <w:lang w:val="en-US" w:bidi="zh-CN"/>
        </w:rPr>
        <w:t>赣江新区直管区重点区域</w:t>
      </w:r>
      <w:r>
        <w:rPr>
          <w:rFonts w:hint="eastAsia" w:ascii="宋体" w:hAnsi="宋体" w:eastAsia="宋体" w:cs="宋体"/>
          <w:color w:val="auto"/>
          <w:spacing w:val="-5"/>
          <w:sz w:val="24"/>
          <w:szCs w:val="24"/>
          <w:highlight w:val="none"/>
          <w:lang w:val="zh-CN" w:bidi="zh-CN"/>
        </w:rPr>
        <w:t>污染源精细化管控等大气污染防治有关工作方案；</w:t>
      </w:r>
      <w:r>
        <w:rPr>
          <w:rFonts w:hint="eastAsia" w:ascii="宋体" w:hAnsi="宋体" w:eastAsia="宋体" w:cs="宋体"/>
          <w:b w:val="0"/>
          <w:bCs w:val="0"/>
          <w:color w:val="auto"/>
          <w:spacing w:val="-5"/>
          <w:sz w:val="24"/>
          <w:szCs w:val="24"/>
          <w:highlight w:val="none"/>
          <w:lang w:val="zh-CN" w:eastAsia="zh-CN" w:bidi="zh-CN"/>
        </w:rPr>
        <w:t>在遇到服务团队无法解决的问题时，</w:t>
      </w:r>
      <w:r>
        <w:rPr>
          <w:rFonts w:hint="eastAsia" w:ascii="宋体" w:hAnsi="宋体" w:eastAsia="宋体" w:cs="宋体"/>
          <w:color w:val="auto"/>
          <w:spacing w:val="-5"/>
          <w:sz w:val="24"/>
          <w:szCs w:val="24"/>
          <w:highlight w:val="none"/>
          <w:lang w:val="zh-CN" w:bidi="zh-CN"/>
        </w:rPr>
        <w:t>邀请高级别专家现场或远程开展</w:t>
      </w:r>
      <w:r>
        <w:rPr>
          <w:rFonts w:hint="eastAsia" w:ascii="宋体" w:hAnsi="宋体" w:eastAsia="宋体" w:cs="宋体"/>
          <w:color w:val="auto"/>
          <w:spacing w:val="-5"/>
          <w:sz w:val="24"/>
          <w:szCs w:val="24"/>
          <w:highlight w:val="none"/>
          <w:lang w:val="en-US" w:bidi="zh-CN"/>
        </w:rPr>
        <w:t>赣江</w:t>
      </w:r>
      <w:r>
        <w:rPr>
          <w:rFonts w:hint="eastAsia" w:ascii="宋体" w:hAnsi="宋体" w:eastAsia="宋体" w:cs="宋体"/>
          <w:color w:val="auto"/>
          <w:spacing w:val="-5"/>
          <w:sz w:val="24"/>
          <w:szCs w:val="24"/>
          <w:highlight w:val="none"/>
          <w:lang w:bidi="zh-CN"/>
        </w:rPr>
        <w:t>新区</w:t>
      </w:r>
      <w:r>
        <w:rPr>
          <w:rFonts w:hint="eastAsia" w:ascii="宋体" w:hAnsi="宋体" w:eastAsia="宋体" w:cs="宋体"/>
          <w:color w:val="auto"/>
          <w:spacing w:val="-5"/>
          <w:sz w:val="24"/>
          <w:szCs w:val="24"/>
          <w:highlight w:val="none"/>
          <w:lang w:val="en-US" w:bidi="zh-CN"/>
        </w:rPr>
        <w:t>直管区</w:t>
      </w:r>
      <w:r>
        <w:rPr>
          <w:rFonts w:hint="eastAsia" w:ascii="宋体" w:hAnsi="宋体" w:eastAsia="宋体" w:cs="宋体"/>
          <w:color w:val="auto"/>
          <w:spacing w:val="-5"/>
          <w:sz w:val="24"/>
          <w:szCs w:val="24"/>
          <w:highlight w:val="none"/>
          <w:lang w:val="zh-CN" w:bidi="zh-CN"/>
        </w:rPr>
        <w:t>空气质量改善形势研判会商，为空气质量改善工作给出专业指导建议。</w:t>
      </w:r>
    </w:p>
    <w:p w14:paraId="7730317B">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en-US" w:bidi="zh-CN"/>
        </w:rPr>
        <w:t>为提高本项目服务质量，</w:t>
      </w:r>
      <w:r>
        <w:rPr>
          <w:rFonts w:hint="eastAsia" w:ascii="宋体" w:hAnsi="宋体" w:eastAsia="宋体" w:cs="宋体"/>
          <w:color w:val="auto"/>
          <w:spacing w:val="-5"/>
          <w:sz w:val="24"/>
          <w:szCs w:val="24"/>
          <w:highlight w:val="none"/>
          <w:lang w:val="zh-CN" w:bidi="zh-CN"/>
        </w:rPr>
        <w:t>中标人</w:t>
      </w:r>
      <w:r>
        <w:rPr>
          <w:rFonts w:hint="eastAsia" w:ascii="宋体" w:hAnsi="宋体" w:eastAsia="宋体" w:cs="宋体"/>
          <w:b w:val="0"/>
          <w:bCs w:val="0"/>
          <w:color w:val="auto"/>
          <w:spacing w:val="-5"/>
          <w:sz w:val="24"/>
          <w:szCs w:val="24"/>
          <w:highlight w:val="none"/>
          <w:lang w:val="zh-CN" w:eastAsia="zh-CN" w:bidi="zh-CN"/>
        </w:rPr>
        <w:t>应</w:t>
      </w:r>
      <w:r>
        <w:rPr>
          <w:rFonts w:hint="eastAsia" w:ascii="宋体" w:hAnsi="宋体" w:eastAsia="宋体" w:cs="宋体"/>
          <w:b w:val="0"/>
          <w:bCs w:val="0"/>
          <w:color w:val="auto"/>
          <w:spacing w:val="-5"/>
          <w:kern w:val="2"/>
          <w:sz w:val="24"/>
          <w:szCs w:val="24"/>
          <w:highlight w:val="none"/>
          <w:lang w:val="zh-CN" w:eastAsia="zh-CN" w:bidi="zh-CN"/>
        </w:rPr>
        <w:t>安排不少于5人</w:t>
      </w:r>
      <w:r>
        <w:rPr>
          <w:rFonts w:hint="eastAsia" w:ascii="宋体" w:hAnsi="宋体" w:eastAsia="宋体" w:cs="宋体"/>
          <w:b w:val="0"/>
          <w:bCs w:val="0"/>
          <w:color w:val="auto"/>
          <w:spacing w:val="-5"/>
          <w:kern w:val="2"/>
          <w:sz w:val="24"/>
          <w:szCs w:val="24"/>
          <w:highlight w:val="none"/>
          <w:lang w:val="en-US" w:eastAsia="zh-CN" w:bidi="zh-CN"/>
        </w:rPr>
        <w:t>专职</w:t>
      </w:r>
      <w:r>
        <w:rPr>
          <w:rFonts w:hint="eastAsia" w:ascii="宋体" w:hAnsi="宋体" w:eastAsia="宋体" w:cs="宋体"/>
          <w:b w:val="0"/>
          <w:bCs w:val="0"/>
          <w:color w:val="auto"/>
          <w:spacing w:val="-5"/>
          <w:kern w:val="2"/>
          <w:sz w:val="24"/>
          <w:szCs w:val="24"/>
          <w:highlight w:val="none"/>
          <w:lang w:val="zh-CN" w:eastAsia="zh-CN" w:bidi="zh-CN"/>
        </w:rPr>
        <w:t>保证项目的顺利实施</w:t>
      </w:r>
      <w:r>
        <w:rPr>
          <w:rFonts w:hint="eastAsia" w:ascii="宋体" w:hAnsi="宋体" w:eastAsia="宋体" w:cs="宋体"/>
          <w:color w:val="auto"/>
          <w:sz w:val="24"/>
          <w:szCs w:val="24"/>
          <w:highlight w:val="none"/>
          <w:lang w:val="zh-CN"/>
        </w:rPr>
        <w:t>，</w:t>
      </w:r>
      <w:r>
        <w:rPr>
          <w:rFonts w:hint="eastAsia" w:ascii="宋体" w:hAnsi="宋体" w:eastAsia="宋体" w:cs="宋体"/>
          <w:color w:val="auto"/>
          <w:spacing w:val="-5"/>
          <w:sz w:val="24"/>
          <w:szCs w:val="24"/>
          <w:highlight w:val="none"/>
          <w:lang w:val="zh-CN" w:bidi="zh-CN"/>
        </w:rPr>
        <w:t>配备服务车辆</w:t>
      </w:r>
      <w:r>
        <w:rPr>
          <w:rFonts w:hint="eastAsia" w:ascii="宋体" w:hAnsi="宋体" w:eastAsia="宋体" w:cs="宋体"/>
          <w:color w:val="auto"/>
          <w:spacing w:val="-5"/>
          <w:sz w:val="24"/>
          <w:szCs w:val="24"/>
          <w:highlight w:val="none"/>
          <w:lang w:bidi="zh-CN"/>
        </w:rPr>
        <w:t>2</w:t>
      </w:r>
      <w:r>
        <w:rPr>
          <w:rFonts w:hint="eastAsia" w:ascii="宋体" w:hAnsi="宋体" w:eastAsia="宋体" w:cs="宋体"/>
          <w:color w:val="auto"/>
          <w:spacing w:val="-5"/>
          <w:sz w:val="24"/>
          <w:szCs w:val="24"/>
          <w:highlight w:val="none"/>
          <w:lang w:val="zh-CN" w:bidi="zh-CN"/>
        </w:rPr>
        <w:t>辆，对赣江新区</w:t>
      </w:r>
      <w:r>
        <w:rPr>
          <w:rFonts w:hint="eastAsia" w:ascii="宋体" w:hAnsi="宋体" w:eastAsia="宋体" w:cs="宋体"/>
          <w:color w:val="auto"/>
          <w:spacing w:val="-5"/>
          <w:sz w:val="24"/>
          <w:szCs w:val="24"/>
          <w:highlight w:val="none"/>
          <w:lang w:val="en-US" w:bidi="zh-CN"/>
        </w:rPr>
        <w:t>直管区</w:t>
      </w:r>
      <w:r>
        <w:rPr>
          <w:rFonts w:hint="eastAsia" w:ascii="宋体" w:hAnsi="宋体" w:eastAsia="宋体" w:cs="宋体"/>
          <w:color w:val="auto"/>
          <w:spacing w:val="-5"/>
          <w:sz w:val="24"/>
          <w:szCs w:val="24"/>
          <w:highlight w:val="none"/>
          <w:lang w:val="zh-CN" w:bidi="zh-CN"/>
        </w:rPr>
        <w:t>环境空气状况进行实地勘察，就当地的大气环境污染情况、污染源管控、大气环境监测体系建设等相关问题进行专业</w:t>
      </w:r>
      <w:r>
        <w:rPr>
          <w:rFonts w:hint="eastAsia" w:ascii="宋体" w:hAnsi="宋体" w:eastAsia="宋体" w:cs="宋体"/>
          <w:color w:val="auto"/>
          <w:spacing w:val="-5"/>
          <w:sz w:val="24"/>
          <w:szCs w:val="24"/>
          <w:highlight w:val="none"/>
          <w:lang w:bidi="zh-CN"/>
        </w:rPr>
        <w:t>分析，</w:t>
      </w:r>
      <w:r>
        <w:rPr>
          <w:rFonts w:hint="eastAsia" w:ascii="宋体" w:hAnsi="宋体" w:eastAsia="宋体" w:cs="宋体"/>
          <w:color w:val="auto"/>
          <w:spacing w:val="-5"/>
          <w:sz w:val="24"/>
          <w:szCs w:val="24"/>
          <w:highlight w:val="none"/>
          <w:lang w:val="zh-CN" w:bidi="zh-CN"/>
        </w:rPr>
        <w:t>结合日常数据分析与污染巡查结果，按照具体类型提报具体管控措施。</w:t>
      </w:r>
    </w:p>
    <w:p w14:paraId="1431B6F7">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中标人安排专业数据分析人员提供现场分析服务，并结合</w:t>
      </w:r>
      <w:r>
        <w:rPr>
          <w:rFonts w:hint="eastAsia" w:ascii="宋体" w:hAnsi="宋体" w:eastAsia="宋体" w:cs="宋体"/>
          <w:color w:val="auto"/>
          <w:spacing w:val="-5"/>
          <w:sz w:val="24"/>
          <w:szCs w:val="24"/>
          <w:highlight w:val="none"/>
          <w:lang w:val="en-US" w:bidi="zh-CN"/>
        </w:rPr>
        <w:t>平台</w:t>
      </w:r>
      <w:r>
        <w:rPr>
          <w:rFonts w:hint="eastAsia" w:ascii="宋体" w:hAnsi="宋体" w:eastAsia="宋体" w:cs="宋体"/>
          <w:color w:val="auto"/>
          <w:spacing w:val="-5"/>
          <w:sz w:val="24"/>
          <w:szCs w:val="24"/>
          <w:highlight w:val="none"/>
          <w:lang w:val="zh-CN" w:bidi="zh-CN"/>
        </w:rPr>
        <w:t>数据分析</w:t>
      </w:r>
      <w:r>
        <w:rPr>
          <w:rFonts w:hint="eastAsia" w:ascii="宋体" w:hAnsi="宋体" w:eastAsia="宋体" w:cs="宋体"/>
          <w:color w:val="auto"/>
          <w:spacing w:val="-5"/>
          <w:sz w:val="24"/>
          <w:szCs w:val="24"/>
          <w:highlight w:val="none"/>
          <w:lang w:val="en-US" w:bidi="zh-CN"/>
        </w:rPr>
        <w:t>、</w:t>
      </w:r>
      <w:r>
        <w:rPr>
          <w:rFonts w:hint="eastAsia" w:ascii="宋体" w:hAnsi="宋体" w:eastAsia="宋体" w:cs="宋体"/>
          <w:color w:val="auto"/>
          <w:spacing w:val="-5"/>
          <w:sz w:val="24"/>
          <w:szCs w:val="24"/>
          <w:highlight w:val="none"/>
          <w:lang w:val="zh-CN" w:bidi="zh-CN"/>
        </w:rPr>
        <w:t>远程技术支撑，综合区域内各类监测数据等，针对环境空气质量状况</w:t>
      </w:r>
      <w:r>
        <w:rPr>
          <w:rFonts w:hint="eastAsia" w:ascii="宋体" w:hAnsi="宋体" w:eastAsia="宋体" w:cs="宋体"/>
          <w:color w:val="auto"/>
          <w:spacing w:val="-5"/>
          <w:sz w:val="24"/>
          <w:szCs w:val="24"/>
          <w:highlight w:val="none"/>
          <w:lang w:val="en-US" w:bidi="zh-CN"/>
        </w:rPr>
        <w:t>实时分析，同时针对</w:t>
      </w:r>
      <w:r>
        <w:rPr>
          <w:rFonts w:hint="eastAsia" w:ascii="宋体" w:hAnsi="宋体" w:eastAsia="宋体" w:cs="宋体"/>
          <w:color w:val="auto"/>
          <w:spacing w:val="-5"/>
          <w:sz w:val="24"/>
          <w:szCs w:val="24"/>
          <w:highlight w:val="none"/>
          <w:lang w:val="zh-CN" w:bidi="zh-CN"/>
        </w:rPr>
        <w:t>数据异常</w:t>
      </w:r>
      <w:r>
        <w:rPr>
          <w:rFonts w:hint="eastAsia" w:ascii="宋体" w:hAnsi="宋体" w:eastAsia="宋体" w:cs="宋体"/>
          <w:color w:val="auto"/>
          <w:spacing w:val="-5"/>
          <w:sz w:val="24"/>
          <w:szCs w:val="24"/>
          <w:highlight w:val="none"/>
          <w:lang w:val="en-US" w:bidi="zh-CN"/>
        </w:rPr>
        <w:t>问题实时</w:t>
      </w:r>
      <w:r>
        <w:rPr>
          <w:rFonts w:hint="eastAsia" w:ascii="宋体" w:hAnsi="宋体" w:eastAsia="宋体" w:cs="宋体"/>
          <w:color w:val="auto"/>
          <w:spacing w:val="-5"/>
          <w:sz w:val="24"/>
          <w:szCs w:val="24"/>
          <w:highlight w:val="none"/>
          <w:lang w:val="zh-CN" w:bidi="zh-CN"/>
        </w:rPr>
        <w:t>分析，</w:t>
      </w:r>
      <w:r>
        <w:rPr>
          <w:rFonts w:hint="eastAsia" w:ascii="宋体" w:hAnsi="宋体" w:eastAsia="宋体" w:cs="宋体"/>
          <w:color w:val="auto"/>
          <w:spacing w:val="-5"/>
          <w:sz w:val="24"/>
          <w:szCs w:val="24"/>
          <w:highlight w:val="none"/>
          <w:lang w:val="en-US" w:bidi="zh-CN"/>
        </w:rPr>
        <w:t>准确、快速判断污染物来源，</w:t>
      </w:r>
      <w:r>
        <w:rPr>
          <w:rFonts w:hint="eastAsia" w:ascii="宋体" w:hAnsi="宋体" w:eastAsia="宋体" w:cs="宋体"/>
          <w:color w:val="auto"/>
          <w:spacing w:val="-5"/>
          <w:sz w:val="24"/>
          <w:szCs w:val="24"/>
          <w:highlight w:val="none"/>
          <w:lang w:val="zh-CN" w:bidi="zh-CN"/>
        </w:rPr>
        <w:t>提供针对性的管控建议，</w:t>
      </w:r>
      <w:r>
        <w:rPr>
          <w:rFonts w:hint="eastAsia" w:ascii="宋体" w:hAnsi="宋体" w:eastAsia="宋体" w:cs="宋体"/>
          <w:color w:val="auto"/>
          <w:spacing w:val="-5"/>
          <w:sz w:val="24"/>
          <w:szCs w:val="24"/>
          <w:highlight w:val="none"/>
          <w:lang w:val="en-US" w:bidi="zh-CN"/>
        </w:rPr>
        <w:t>有效减少</w:t>
      </w:r>
      <w:r>
        <w:rPr>
          <w:rFonts w:hint="eastAsia" w:ascii="宋体" w:hAnsi="宋体" w:eastAsia="宋体" w:cs="宋体"/>
          <w:color w:val="auto"/>
          <w:spacing w:val="-5"/>
          <w:sz w:val="24"/>
          <w:szCs w:val="24"/>
          <w:highlight w:val="none"/>
          <w:lang w:val="zh-CN" w:bidi="zh-CN"/>
        </w:rPr>
        <w:t>污染峰值，实现以时保日、以日保月、以月保年的管控目标，</w:t>
      </w:r>
      <w:r>
        <w:rPr>
          <w:rFonts w:hint="eastAsia" w:ascii="宋体" w:hAnsi="宋体" w:eastAsia="宋体" w:cs="宋体"/>
          <w:color w:val="auto"/>
          <w:spacing w:val="-5"/>
          <w:sz w:val="24"/>
          <w:szCs w:val="24"/>
          <w:highlight w:val="none"/>
          <w:lang w:val="en-US" w:bidi="zh-CN"/>
        </w:rPr>
        <w:t>精准</w:t>
      </w:r>
      <w:r>
        <w:rPr>
          <w:rFonts w:hint="eastAsia" w:ascii="宋体" w:hAnsi="宋体" w:eastAsia="宋体" w:cs="宋体"/>
          <w:color w:val="auto"/>
          <w:spacing w:val="-5"/>
          <w:sz w:val="24"/>
          <w:szCs w:val="24"/>
          <w:highlight w:val="none"/>
          <w:lang w:bidi="zh-CN"/>
        </w:rPr>
        <w:t>辅助</w:t>
      </w:r>
      <w:r>
        <w:rPr>
          <w:rFonts w:hint="eastAsia" w:ascii="宋体" w:hAnsi="宋体" w:eastAsia="宋体" w:cs="宋体"/>
          <w:color w:val="auto"/>
          <w:spacing w:val="-5"/>
          <w:sz w:val="24"/>
          <w:szCs w:val="24"/>
          <w:highlight w:val="none"/>
          <w:lang w:val="zh-CN" w:bidi="zh-CN"/>
        </w:rPr>
        <w:t>区域大气污染防治工作。</w:t>
      </w:r>
    </w:p>
    <w:p w14:paraId="4FCA1DFC">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中标人根据对“桑海产业园站点”数据以及</w:t>
      </w:r>
      <w:r>
        <w:rPr>
          <w:rFonts w:hint="eastAsia" w:ascii="宋体" w:hAnsi="宋体" w:eastAsia="宋体" w:cs="宋体"/>
          <w:color w:val="auto"/>
          <w:spacing w:val="-5"/>
          <w:sz w:val="24"/>
          <w:szCs w:val="24"/>
          <w:highlight w:val="none"/>
          <w:lang w:val="en-US" w:bidi="zh-CN"/>
        </w:rPr>
        <w:t>其他相关</w:t>
      </w:r>
      <w:r>
        <w:rPr>
          <w:rFonts w:hint="eastAsia" w:ascii="宋体" w:hAnsi="宋体" w:eastAsia="宋体" w:cs="宋体"/>
          <w:color w:val="auto"/>
          <w:spacing w:val="-5"/>
          <w:sz w:val="24"/>
          <w:szCs w:val="24"/>
          <w:highlight w:val="none"/>
          <w:lang w:val="zh-CN" w:bidi="zh-CN"/>
        </w:rPr>
        <w:t>监测数据的分析，对环境空气质量以及各类污染事件进行深度分析研判，提供各种有效直观的分析结果，</w:t>
      </w:r>
      <w:r>
        <w:rPr>
          <w:rFonts w:hint="eastAsia" w:ascii="宋体" w:hAnsi="宋体" w:eastAsia="宋体" w:cs="宋体"/>
          <w:color w:val="auto"/>
          <w:spacing w:val="-5"/>
          <w:sz w:val="24"/>
          <w:szCs w:val="24"/>
          <w:highlight w:val="none"/>
          <w:lang w:val="en-US" w:bidi="zh-CN"/>
        </w:rPr>
        <w:t>提供有效可行的近期、中期大气污染防治实施方案，</w:t>
      </w:r>
      <w:r>
        <w:rPr>
          <w:rFonts w:hint="eastAsia" w:ascii="宋体" w:hAnsi="宋体" w:eastAsia="宋体" w:cs="宋体"/>
          <w:color w:val="auto"/>
          <w:spacing w:val="-5"/>
          <w:sz w:val="24"/>
          <w:szCs w:val="24"/>
          <w:highlight w:val="none"/>
          <w:lang w:val="zh-CN" w:bidi="zh-CN"/>
        </w:rPr>
        <w:t>为大气污染治理规划及科学施治方案提供数据支撑，对管控情况进行跟踪和评估，</w:t>
      </w:r>
      <w:r>
        <w:rPr>
          <w:rFonts w:hint="eastAsia" w:ascii="宋体" w:hAnsi="宋体" w:eastAsia="宋体" w:cs="宋体"/>
          <w:color w:val="auto"/>
          <w:spacing w:val="-5"/>
          <w:sz w:val="24"/>
          <w:szCs w:val="24"/>
          <w:highlight w:val="none"/>
          <w:lang w:val="en-US" w:bidi="zh-CN"/>
        </w:rPr>
        <w:t>每年开展2次专家团队专项咨询或培训</w:t>
      </w:r>
      <w:r>
        <w:rPr>
          <w:rFonts w:hint="eastAsia" w:ascii="宋体" w:hAnsi="宋体" w:eastAsia="宋体" w:cs="宋体"/>
          <w:color w:val="auto"/>
          <w:spacing w:val="-5"/>
          <w:sz w:val="24"/>
          <w:szCs w:val="24"/>
          <w:highlight w:val="none"/>
          <w:lang w:val="zh-CN" w:bidi="zh-CN"/>
        </w:rPr>
        <w:t>。提供日报、周报、月报、季报、年报</w:t>
      </w:r>
      <w:r>
        <w:rPr>
          <w:rFonts w:hint="eastAsia" w:ascii="宋体" w:hAnsi="宋体" w:eastAsia="宋体" w:cs="宋体"/>
          <w:color w:val="auto"/>
          <w:spacing w:val="-5"/>
          <w:sz w:val="24"/>
          <w:szCs w:val="24"/>
          <w:highlight w:val="none"/>
          <w:lang w:bidi="zh-CN"/>
        </w:rPr>
        <w:t>等例行报告和</w:t>
      </w:r>
      <w:r>
        <w:rPr>
          <w:rFonts w:hint="eastAsia" w:ascii="宋体" w:hAnsi="宋体" w:eastAsia="宋体" w:cs="宋体"/>
          <w:color w:val="auto"/>
          <w:spacing w:val="-5"/>
          <w:sz w:val="24"/>
          <w:szCs w:val="24"/>
          <w:highlight w:val="none"/>
          <w:lang w:val="en-US" w:bidi="zh-CN"/>
        </w:rPr>
        <w:t>专门</w:t>
      </w:r>
      <w:r>
        <w:rPr>
          <w:rFonts w:hint="eastAsia" w:ascii="宋体" w:hAnsi="宋体" w:eastAsia="宋体" w:cs="宋体"/>
          <w:color w:val="auto"/>
          <w:spacing w:val="-5"/>
          <w:sz w:val="24"/>
          <w:szCs w:val="24"/>
          <w:highlight w:val="none"/>
          <w:lang w:bidi="zh-CN"/>
        </w:rPr>
        <w:t>报告</w:t>
      </w:r>
      <w:r>
        <w:rPr>
          <w:rFonts w:hint="eastAsia" w:ascii="宋体" w:hAnsi="宋体" w:eastAsia="宋体" w:cs="宋体"/>
          <w:color w:val="auto"/>
          <w:spacing w:val="-5"/>
          <w:sz w:val="24"/>
          <w:szCs w:val="24"/>
          <w:highlight w:val="none"/>
          <w:lang w:val="zh-CN" w:bidi="zh-CN"/>
        </w:rPr>
        <w:t>，并配合采购人根据上级要求制定相关专项工作方案并推动实施。</w:t>
      </w:r>
    </w:p>
    <w:p w14:paraId="23AFE985">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bidi="zh-CN"/>
        </w:rPr>
      </w:pPr>
      <w:bookmarkStart w:id="18" w:name="_Toc30060245"/>
      <w:bookmarkStart w:id="19" w:name="_Toc44257197"/>
      <w:r>
        <w:rPr>
          <w:rFonts w:hint="eastAsia" w:ascii="宋体" w:hAnsi="宋体" w:eastAsia="宋体" w:cs="宋体"/>
          <w:b/>
          <w:color w:val="auto"/>
          <w:spacing w:val="-5"/>
          <w:sz w:val="24"/>
          <w:szCs w:val="24"/>
          <w:highlight w:val="none"/>
          <w:lang w:bidi="zh-CN"/>
        </w:rPr>
        <w:t>数据分析</w:t>
      </w:r>
      <w:bookmarkEnd w:id="18"/>
      <w:bookmarkEnd w:id="19"/>
      <w:r>
        <w:rPr>
          <w:rFonts w:hint="eastAsia" w:ascii="宋体" w:hAnsi="宋体" w:eastAsia="宋体" w:cs="宋体"/>
          <w:b/>
          <w:color w:val="auto"/>
          <w:spacing w:val="-5"/>
          <w:sz w:val="24"/>
          <w:szCs w:val="24"/>
          <w:highlight w:val="none"/>
          <w:lang w:bidi="zh-CN"/>
        </w:rPr>
        <w:t>报告内容：</w:t>
      </w:r>
    </w:p>
    <w:p w14:paraId="6A7A6E42">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bidi="zh-CN"/>
        </w:rPr>
        <w:t>根据</w:t>
      </w:r>
      <w:r>
        <w:rPr>
          <w:rFonts w:hint="eastAsia" w:ascii="宋体" w:hAnsi="宋体" w:eastAsia="宋体" w:cs="宋体"/>
          <w:color w:val="auto"/>
          <w:spacing w:val="-5"/>
          <w:sz w:val="24"/>
          <w:szCs w:val="24"/>
          <w:highlight w:val="none"/>
          <w:lang w:val="zh-CN" w:bidi="zh-CN"/>
        </w:rPr>
        <w:t>赣江新区环境质量考核目标，</w:t>
      </w:r>
      <w:r>
        <w:rPr>
          <w:rFonts w:hint="eastAsia" w:ascii="宋体" w:hAnsi="宋体" w:eastAsia="宋体" w:cs="宋体"/>
          <w:color w:val="auto"/>
          <w:spacing w:val="-5"/>
          <w:sz w:val="24"/>
          <w:szCs w:val="24"/>
          <w:highlight w:val="none"/>
          <w:lang w:val="en" w:bidi="zh-CN"/>
        </w:rPr>
        <w:t>中标人</w:t>
      </w:r>
      <w:r>
        <w:rPr>
          <w:rFonts w:hint="eastAsia" w:ascii="宋体" w:hAnsi="宋体" w:eastAsia="宋体" w:cs="宋体"/>
          <w:color w:val="auto"/>
          <w:spacing w:val="-5"/>
          <w:sz w:val="24"/>
          <w:szCs w:val="24"/>
          <w:highlight w:val="none"/>
          <w:lang w:val="zh-CN" w:bidi="zh-CN"/>
        </w:rPr>
        <w:t>提供环境质量监测指标数据评估、综合分析报告和环境质量管控建议；组织数据分析团队</w:t>
      </w:r>
      <w:r>
        <w:rPr>
          <w:rFonts w:hint="eastAsia" w:ascii="宋体" w:hAnsi="宋体" w:eastAsia="宋体" w:cs="宋体"/>
          <w:color w:val="auto"/>
          <w:spacing w:val="-5"/>
          <w:sz w:val="24"/>
          <w:szCs w:val="24"/>
          <w:highlight w:val="none"/>
          <w:lang w:val="en-US" w:bidi="zh-CN"/>
        </w:rPr>
        <w:t>开展赣江</w:t>
      </w:r>
      <w:r>
        <w:rPr>
          <w:rFonts w:hint="eastAsia" w:ascii="宋体" w:hAnsi="宋体" w:eastAsia="宋体" w:cs="宋体"/>
          <w:color w:val="auto"/>
          <w:spacing w:val="-5"/>
          <w:sz w:val="24"/>
          <w:szCs w:val="24"/>
          <w:highlight w:val="none"/>
          <w:lang w:bidi="zh-CN"/>
        </w:rPr>
        <w:t>新区</w:t>
      </w:r>
      <w:r>
        <w:rPr>
          <w:rFonts w:hint="eastAsia" w:ascii="宋体" w:hAnsi="宋体" w:eastAsia="宋体" w:cs="宋体"/>
          <w:color w:val="auto"/>
          <w:spacing w:val="-5"/>
          <w:sz w:val="24"/>
          <w:szCs w:val="24"/>
          <w:highlight w:val="none"/>
          <w:lang w:val="en-US" w:bidi="zh-CN"/>
        </w:rPr>
        <w:t>直管区</w:t>
      </w:r>
      <w:r>
        <w:rPr>
          <w:rFonts w:hint="eastAsia" w:ascii="宋体" w:hAnsi="宋体" w:eastAsia="宋体" w:cs="宋体"/>
          <w:color w:val="auto"/>
          <w:spacing w:val="-5"/>
          <w:sz w:val="24"/>
          <w:szCs w:val="24"/>
          <w:highlight w:val="none"/>
          <w:lang w:val="zh-CN" w:bidi="zh-CN"/>
        </w:rPr>
        <w:t>调研、数据收集工作，发现问题、分析污染形成原因，</w:t>
      </w:r>
      <w:r>
        <w:rPr>
          <w:rFonts w:hint="eastAsia" w:ascii="宋体" w:hAnsi="宋体" w:eastAsia="宋体" w:cs="宋体"/>
          <w:color w:val="auto"/>
          <w:spacing w:val="-5"/>
          <w:sz w:val="24"/>
          <w:szCs w:val="24"/>
          <w:highlight w:val="none"/>
          <w:lang w:val="en-US" w:bidi="zh-CN"/>
        </w:rPr>
        <w:t>根据数据整理分析结果</w:t>
      </w:r>
      <w:r>
        <w:rPr>
          <w:rFonts w:hint="eastAsia" w:ascii="宋体" w:hAnsi="宋体" w:eastAsia="宋体" w:cs="宋体"/>
          <w:color w:val="auto"/>
          <w:spacing w:val="-5"/>
          <w:sz w:val="24"/>
          <w:szCs w:val="24"/>
          <w:highlight w:val="none"/>
          <w:lang w:val="zh-CN" w:bidi="zh-CN"/>
        </w:rPr>
        <w:t>，完成总结报告（如</w:t>
      </w:r>
      <w:r>
        <w:rPr>
          <w:rFonts w:hint="eastAsia" w:ascii="宋体" w:hAnsi="宋体" w:eastAsia="宋体" w:cs="宋体"/>
          <w:color w:val="auto"/>
          <w:spacing w:val="-5"/>
          <w:sz w:val="24"/>
          <w:szCs w:val="24"/>
          <w:highlight w:val="none"/>
          <w:lang w:val="en-US" w:bidi="zh-CN"/>
        </w:rPr>
        <w:t>日报、</w:t>
      </w:r>
      <w:r>
        <w:rPr>
          <w:rFonts w:hint="eastAsia" w:ascii="宋体" w:hAnsi="宋体" w:eastAsia="宋体" w:cs="宋体"/>
          <w:color w:val="auto"/>
          <w:spacing w:val="-5"/>
          <w:sz w:val="24"/>
          <w:szCs w:val="24"/>
          <w:highlight w:val="none"/>
          <w:lang w:val="zh-CN" w:bidi="zh-CN"/>
        </w:rPr>
        <w:t>周报、月报、季报、年报</w:t>
      </w:r>
      <w:r>
        <w:rPr>
          <w:rFonts w:hint="eastAsia" w:ascii="宋体" w:hAnsi="宋体" w:eastAsia="宋体" w:cs="宋体"/>
          <w:color w:val="auto"/>
          <w:spacing w:val="-5"/>
          <w:sz w:val="24"/>
          <w:szCs w:val="24"/>
          <w:highlight w:val="none"/>
          <w:lang w:val="en-US" w:bidi="zh-CN"/>
        </w:rPr>
        <w:t>等</w:t>
      </w:r>
      <w:r>
        <w:rPr>
          <w:rFonts w:hint="eastAsia" w:ascii="宋体" w:hAnsi="宋体" w:eastAsia="宋体" w:cs="宋体"/>
          <w:color w:val="auto"/>
          <w:spacing w:val="-5"/>
          <w:sz w:val="24"/>
          <w:szCs w:val="24"/>
          <w:highlight w:val="none"/>
          <w:lang w:bidi="zh-CN"/>
        </w:rPr>
        <w:t>例行</w:t>
      </w:r>
      <w:r>
        <w:rPr>
          <w:rFonts w:hint="eastAsia" w:ascii="宋体" w:hAnsi="宋体" w:eastAsia="宋体" w:cs="宋体"/>
          <w:color w:val="auto"/>
          <w:spacing w:val="-5"/>
          <w:sz w:val="24"/>
          <w:szCs w:val="24"/>
          <w:highlight w:val="none"/>
          <w:lang w:val="en-US" w:bidi="zh-CN"/>
        </w:rPr>
        <w:t>报告及专项报告</w:t>
      </w:r>
      <w:r>
        <w:rPr>
          <w:rFonts w:hint="eastAsia" w:ascii="宋体" w:hAnsi="宋体" w:eastAsia="宋体" w:cs="宋体"/>
          <w:color w:val="auto"/>
          <w:spacing w:val="-5"/>
          <w:sz w:val="24"/>
          <w:szCs w:val="24"/>
          <w:highlight w:val="none"/>
          <w:lang w:val="zh-CN" w:bidi="zh-CN"/>
        </w:rPr>
        <w:t>），并提出专业的辅助决策建议。数据分析报告包含但不限于以下方面：</w:t>
      </w:r>
    </w:p>
    <w:p w14:paraId="5A0661F1">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1</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日报</w:t>
      </w:r>
    </w:p>
    <w:p w14:paraId="257CDE20">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本项目服务周期内每日发布赣江新区空气质量日报1份，服务期内不少于365份。日报内容包括但不限于：</w:t>
      </w:r>
      <w:r>
        <w:rPr>
          <w:rFonts w:hint="eastAsia" w:ascii="宋体" w:hAnsi="宋体" w:eastAsia="宋体" w:cs="宋体"/>
          <w:color w:val="auto"/>
          <w:spacing w:val="-5"/>
          <w:sz w:val="24"/>
          <w:szCs w:val="24"/>
          <w:highlight w:val="none"/>
          <w:lang w:val="en-US" w:bidi="zh-CN"/>
        </w:rPr>
        <w:t>前一</w:t>
      </w:r>
      <w:r>
        <w:rPr>
          <w:rFonts w:hint="eastAsia" w:ascii="宋体" w:hAnsi="宋体" w:eastAsia="宋体" w:cs="宋体"/>
          <w:color w:val="auto"/>
          <w:spacing w:val="-5"/>
          <w:sz w:val="24"/>
          <w:szCs w:val="24"/>
          <w:highlight w:val="none"/>
          <w:lang w:val="zh-CN" w:bidi="zh-CN"/>
        </w:rPr>
        <w:t>日空气质量概况、</w:t>
      </w:r>
      <w:r>
        <w:rPr>
          <w:rFonts w:hint="eastAsia" w:ascii="宋体" w:hAnsi="宋体" w:eastAsia="宋体" w:cs="宋体"/>
          <w:color w:val="auto"/>
          <w:spacing w:val="-5"/>
          <w:sz w:val="24"/>
          <w:szCs w:val="24"/>
          <w:highlight w:val="none"/>
          <w:lang w:val="en-US" w:bidi="zh-CN"/>
        </w:rPr>
        <w:t>当天</w:t>
      </w:r>
      <w:r>
        <w:rPr>
          <w:rFonts w:hint="eastAsia" w:ascii="宋体" w:hAnsi="宋体" w:eastAsia="宋体" w:cs="宋体"/>
          <w:color w:val="auto"/>
          <w:spacing w:val="-5"/>
          <w:sz w:val="24"/>
          <w:szCs w:val="24"/>
          <w:highlight w:val="none"/>
          <w:lang w:val="zh-CN" w:bidi="zh-CN"/>
        </w:rPr>
        <w:t>空气质量预测、管控建议、</w:t>
      </w:r>
      <w:r>
        <w:rPr>
          <w:rFonts w:hint="eastAsia" w:ascii="宋体" w:hAnsi="宋体" w:eastAsia="宋体" w:cs="宋体"/>
          <w:color w:val="auto"/>
          <w:spacing w:val="-5"/>
          <w:sz w:val="24"/>
          <w:szCs w:val="24"/>
          <w:highlight w:val="none"/>
          <w:lang w:val="en-US" w:bidi="zh-CN"/>
        </w:rPr>
        <w:t>对超标风险天达标研判以及相关污染防治措施建议</w:t>
      </w:r>
      <w:r>
        <w:rPr>
          <w:rFonts w:hint="eastAsia" w:ascii="宋体" w:hAnsi="宋体" w:eastAsia="宋体" w:cs="宋体"/>
          <w:color w:val="auto"/>
          <w:spacing w:val="-5"/>
          <w:sz w:val="24"/>
          <w:szCs w:val="24"/>
          <w:highlight w:val="none"/>
          <w:lang w:val="zh-CN" w:bidi="zh-CN"/>
        </w:rPr>
        <w:t>。</w:t>
      </w:r>
    </w:p>
    <w:p w14:paraId="5088F573">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2</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周报</w:t>
      </w:r>
    </w:p>
    <w:p w14:paraId="409EF56E">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本项目服务周期内每周提供赣江新区空气质量周报1份，服务期内不少于52份。周报内容包括但不限于：空气质量状况、现场巡查情况、空气质量研判预测、工作建议。</w:t>
      </w:r>
    </w:p>
    <w:p w14:paraId="5335C738">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3</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月报</w:t>
      </w:r>
    </w:p>
    <w:p w14:paraId="01D7422A">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本项目服务周期内每月提供赣江新区空气质量月报1份，服务期内不少于12份。月报内容包括但不限于：空气质量总体情况、主要指标对比（含全省和新区组团）、气象分析、污染物特征分析、现场巡查情况、</w:t>
      </w:r>
      <w:r>
        <w:rPr>
          <w:rFonts w:hint="eastAsia" w:ascii="宋体" w:hAnsi="宋体" w:eastAsia="宋体" w:cs="宋体"/>
          <w:color w:val="auto"/>
          <w:spacing w:val="-5"/>
          <w:sz w:val="24"/>
          <w:szCs w:val="24"/>
          <w:highlight w:val="none"/>
          <w:lang w:val="en-US" w:bidi="zh-CN"/>
        </w:rPr>
        <w:t>月度工作总结、</w:t>
      </w:r>
      <w:r>
        <w:rPr>
          <w:rFonts w:hint="eastAsia" w:ascii="宋体" w:hAnsi="宋体" w:eastAsia="宋体" w:cs="宋体"/>
          <w:color w:val="auto"/>
          <w:spacing w:val="-5"/>
          <w:sz w:val="24"/>
          <w:szCs w:val="24"/>
          <w:highlight w:val="none"/>
          <w:lang w:val="zh-CN" w:bidi="zh-CN"/>
        </w:rPr>
        <w:t>空气质量改善形势分析和下一步</w:t>
      </w:r>
      <w:r>
        <w:rPr>
          <w:rFonts w:hint="eastAsia" w:ascii="宋体" w:hAnsi="宋体" w:eastAsia="宋体" w:cs="宋体"/>
          <w:color w:val="auto"/>
          <w:spacing w:val="-5"/>
          <w:sz w:val="24"/>
          <w:szCs w:val="24"/>
          <w:highlight w:val="none"/>
          <w:lang w:val="en-US" w:bidi="zh-CN"/>
        </w:rPr>
        <w:t>优化提升</w:t>
      </w:r>
      <w:r>
        <w:rPr>
          <w:rFonts w:hint="eastAsia" w:ascii="宋体" w:hAnsi="宋体" w:eastAsia="宋体" w:cs="宋体"/>
          <w:color w:val="auto"/>
          <w:spacing w:val="-5"/>
          <w:sz w:val="24"/>
          <w:szCs w:val="24"/>
          <w:highlight w:val="none"/>
          <w:lang w:val="zh-CN" w:bidi="zh-CN"/>
        </w:rPr>
        <w:t>建议。</w:t>
      </w:r>
    </w:p>
    <w:p w14:paraId="673228DD">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4</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季报</w:t>
      </w:r>
    </w:p>
    <w:p w14:paraId="74114D6E">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本项目服务周期内每季度提供赣江新区空气质量季报1份，服务期内不少于4份。季报内容包括但不限于：季度空气质量情况、考核排名分析（含全省和新区组团）、污染物特征分析（含气象影响、内源影响和外部传输影响分析等）、现场巡查情况、</w:t>
      </w:r>
      <w:r>
        <w:rPr>
          <w:rFonts w:hint="eastAsia" w:ascii="宋体" w:hAnsi="宋体" w:eastAsia="宋体" w:cs="宋体"/>
          <w:color w:val="auto"/>
          <w:spacing w:val="-5"/>
          <w:sz w:val="24"/>
          <w:szCs w:val="24"/>
          <w:highlight w:val="none"/>
          <w:lang w:val="en-US" w:bidi="zh-CN"/>
        </w:rPr>
        <w:t>季度工作总结、</w:t>
      </w:r>
      <w:r>
        <w:rPr>
          <w:rFonts w:hint="eastAsia" w:ascii="宋体" w:hAnsi="宋体" w:eastAsia="宋体" w:cs="宋体"/>
          <w:color w:val="auto"/>
          <w:spacing w:val="-5"/>
          <w:sz w:val="24"/>
          <w:szCs w:val="24"/>
          <w:highlight w:val="none"/>
          <w:lang w:val="zh-CN" w:bidi="zh-CN"/>
        </w:rPr>
        <w:t>空气质量改善形势分析和下一步</w:t>
      </w:r>
      <w:r>
        <w:rPr>
          <w:rFonts w:hint="eastAsia" w:ascii="宋体" w:hAnsi="宋体" w:eastAsia="宋体" w:cs="宋体"/>
          <w:color w:val="auto"/>
          <w:spacing w:val="-5"/>
          <w:sz w:val="24"/>
          <w:szCs w:val="24"/>
          <w:highlight w:val="none"/>
          <w:lang w:val="en-US" w:bidi="zh-CN"/>
        </w:rPr>
        <w:t>优化提升</w:t>
      </w:r>
      <w:r>
        <w:rPr>
          <w:rFonts w:hint="eastAsia" w:ascii="宋体" w:hAnsi="宋体" w:eastAsia="宋体" w:cs="宋体"/>
          <w:color w:val="auto"/>
          <w:spacing w:val="-5"/>
          <w:sz w:val="24"/>
          <w:szCs w:val="24"/>
          <w:highlight w:val="none"/>
          <w:lang w:val="zh-CN" w:bidi="zh-CN"/>
        </w:rPr>
        <w:t>建议。</w:t>
      </w:r>
    </w:p>
    <w:p w14:paraId="54F0477C">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5</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年报</w:t>
      </w:r>
    </w:p>
    <w:p w14:paraId="55A3EF06">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本项目服务周期内提供赣江新区空气质量年报1份，分析过去一年新区环境空气质量情况，并提出下一步工作建议。年报内容包括但不限于：空气质量总体情况、主要指标对比（含全省和新区组团）、污染物特征分析（含污染负荷分析、小时变化特征分析、月变化特征分析、相关性分析、污染来源分析等）、现场巡查情况总结、</w:t>
      </w:r>
      <w:r>
        <w:rPr>
          <w:rFonts w:hint="eastAsia" w:ascii="宋体" w:hAnsi="宋体" w:eastAsia="宋体" w:cs="宋体"/>
          <w:color w:val="auto"/>
          <w:spacing w:val="-5"/>
          <w:sz w:val="24"/>
          <w:szCs w:val="24"/>
          <w:highlight w:val="none"/>
          <w:lang w:val="en-US" w:bidi="zh-CN"/>
        </w:rPr>
        <w:t>年度工作总结</w:t>
      </w:r>
      <w:r>
        <w:rPr>
          <w:rFonts w:hint="eastAsia" w:ascii="宋体" w:hAnsi="宋体" w:eastAsia="宋体" w:cs="宋体"/>
          <w:color w:val="auto"/>
          <w:spacing w:val="-5"/>
          <w:sz w:val="24"/>
          <w:szCs w:val="24"/>
          <w:highlight w:val="none"/>
          <w:lang w:val="zh-CN" w:bidi="zh-CN"/>
        </w:rPr>
        <w:t>和下一步</w:t>
      </w:r>
      <w:r>
        <w:rPr>
          <w:rFonts w:hint="eastAsia" w:ascii="宋体" w:hAnsi="宋体" w:eastAsia="宋体" w:cs="宋体"/>
          <w:color w:val="auto"/>
          <w:spacing w:val="-5"/>
          <w:sz w:val="24"/>
          <w:szCs w:val="24"/>
          <w:highlight w:val="none"/>
          <w:lang w:val="en-US" w:bidi="zh-CN"/>
        </w:rPr>
        <w:t>优化提升</w:t>
      </w:r>
      <w:r>
        <w:rPr>
          <w:rFonts w:hint="eastAsia" w:ascii="宋体" w:hAnsi="宋体" w:eastAsia="宋体" w:cs="宋体"/>
          <w:color w:val="auto"/>
          <w:spacing w:val="-5"/>
          <w:sz w:val="24"/>
          <w:szCs w:val="24"/>
          <w:highlight w:val="none"/>
          <w:lang w:val="zh-CN" w:bidi="zh-CN"/>
        </w:rPr>
        <w:t>建议。</w:t>
      </w:r>
    </w:p>
    <w:p w14:paraId="4129EB78">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6</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污染天气预警预报</w:t>
      </w:r>
    </w:p>
    <w:p w14:paraId="47A21CE0">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w:t>
      </w:r>
      <w:r>
        <w:rPr>
          <w:rFonts w:hint="eastAsia" w:ascii="宋体" w:hAnsi="宋体" w:eastAsia="宋体" w:cs="宋体"/>
          <w:color w:val="auto"/>
          <w:spacing w:val="-5"/>
          <w:sz w:val="24"/>
          <w:szCs w:val="24"/>
          <w:highlight w:val="none"/>
          <w:lang w:bidi="zh-CN"/>
        </w:rPr>
        <w:t>在本项目服务期内为采购人提供</w:t>
      </w:r>
      <w:r>
        <w:rPr>
          <w:rFonts w:hint="eastAsia" w:ascii="宋体" w:hAnsi="宋体" w:eastAsia="宋体" w:cs="宋体"/>
          <w:color w:val="auto"/>
          <w:spacing w:val="-5"/>
          <w:sz w:val="24"/>
          <w:szCs w:val="24"/>
          <w:highlight w:val="none"/>
          <w:lang w:val="zh-CN" w:bidi="zh-CN"/>
        </w:rPr>
        <w:t>大气污染预测</w:t>
      </w:r>
      <w:r>
        <w:rPr>
          <w:rFonts w:hint="eastAsia" w:ascii="宋体" w:hAnsi="宋体" w:eastAsia="宋体" w:cs="宋体"/>
          <w:color w:val="auto"/>
          <w:spacing w:val="-5"/>
          <w:sz w:val="24"/>
          <w:szCs w:val="24"/>
          <w:highlight w:val="none"/>
          <w:lang w:bidi="zh-CN"/>
        </w:rPr>
        <w:t>服务，</w:t>
      </w:r>
      <w:r>
        <w:rPr>
          <w:rFonts w:hint="eastAsia" w:ascii="宋体" w:hAnsi="宋体" w:eastAsia="宋体" w:cs="宋体"/>
          <w:color w:val="auto"/>
          <w:spacing w:val="-5"/>
          <w:sz w:val="24"/>
          <w:szCs w:val="24"/>
          <w:highlight w:val="none"/>
          <w:lang w:val="zh-CN" w:bidi="zh-CN"/>
        </w:rPr>
        <w:t>当预测存在空气质量污染风险（AQI＞100）时，原则上应提前1天发布污染天气预警预报（重污染风险原则上应提前48小时发布），预警预报内容包括但不限于近期空气质量预测情况、应对措施等。当预测空气质量将达到新区污染天气预警条件时，还应提前向采购人提出发布相应级别污染天气预警的建议。</w:t>
      </w:r>
    </w:p>
    <w:p w14:paraId="2E39BE57">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7</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污染复盘分析报告</w:t>
      </w:r>
    </w:p>
    <w:p w14:paraId="72520204">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w:t>
      </w:r>
      <w:r>
        <w:rPr>
          <w:rFonts w:hint="eastAsia" w:ascii="宋体" w:hAnsi="宋体" w:eastAsia="宋体" w:cs="宋体"/>
          <w:color w:val="auto"/>
          <w:spacing w:val="-5"/>
          <w:sz w:val="24"/>
          <w:szCs w:val="24"/>
          <w:highlight w:val="none"/>
          <w:lang w:bidi="zh-CN"/>
        </w:rPr>
        <w:t>在本项目服务期内</w:t>
      </w:r>
      <w:r>
        <w:rPr>
          <w:rFonts w:hint="eastAsia" w:ascii="宋体" w:hAnsi="宋体" w:eastAsia="宋体" w:cs="宋体"/>
          <w:color w:val="auto"/>
          <w:spacing w:val="-5"/>
          <w:sz w:val="24"/>
          <w:szCs w:val="24"/>
          <w:highlight w:val="none"/>
          <w:lang w:val="zh-CN" w:bidi="zh-CN"/>
        </w:rPr>
        <w:t>根据采购人需要，对过去一定时期空气质量污染过程进行复盘分析，形成复盘分析报告。复盘分析报告内容包括但不限于：污染情况介绍、污染成因分析、采取的措施及取得的成效、存在的问题和改进建议等。</w:t>
      </w:r>
    </w:p>
    <w:p w14:paraId="2D62E057">
      <w:pPr>
        <w:keepNext w:val="0"/>
        <w:keepLines w:val="0"/>
        <w:pageBreakBefore w:val="0"/>
        <w:wordWrap/>
        <w:overflowPunct/>
        <w:topLinePunct w:val="0"/>
        <w:bidi w:val="0"/>
        <w:spacing w:line="460" w:lineRule="exact"/>
        <w:ind w:firstLine="462" w:firstLineChars="200"/>
        <w:rPr>
          <w:rFonts w:hint="eastAsia" w:ascii="宋体" w:hAnsi="宋体" w:eastAsia="宋体" w:cs="宋体"/>
          <w:b/>
          <w:bCs/>
          <w:color w:val="auto"/>
          <w:spacing w:val="-5"/>
          <w:sz w:val="24"/>
          <w:szCs w:val="24"/>
          <w:highlight w:val="none"/>
          <w:lang w:bidi="zh-CN"/>
        </w:rPr>
      </w:pP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8</w:t>
      </w:r>
      <w:r>
        <w:rPr>
          <w:rFonts w:hint="eastAsia" w:ascii="宋体" w:hAnsi="宋体" w:eastAsia="宋体" w:cs="宋体"/>
          <w:b/>
          <w:bCs/>
          <w:color w:val="auto"/>
          <w:spacing w:val="-5"/>
          <w:sz w:val="24"/>
          <w:szCs w:val="24"/>
          <w:highlight w:val="none"/>
          <w:lang w:val="zh-CN" w:bidi="zh-CN"/>
        </w:rPr>
        <w:t>）</w:t>
      </w:r>
      <w:r>
        <w:rPr>
          <w:rFonts w:hint="eastAsia" w:ascii="宋体" w:hAnsi="宋体" w:eastAsia="宋体" w:cs="宋体"/>
          <w:b/>
          <w:bCs/>
          <w:color w:val="auto"/>
          <w:spacing w:val="-5"/>
          <w:sz w:val="24"/>
          <w:szCs w:val="24"/>
          <w:highlight w:val="none"/>
          <w:lang w:bidi="zh-CN"/>
        </w:rPr>
        <w:t>其他专项分析报告</w:t>
      </w:r>
    </w:p>
    <w:p w14:paraId="28633E49">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val="zh-CN" w:bidi="zh-CN"/>
        </w:rPr>
        <w:t>中标人</w:t>
      </w:r>
      <w:r>
        <w:rPr>
          <w:rFonts w:hint="eastAsia" w:ascii="宋体" w:hAnsi="宋体" w:eastAsia="宋体" w:cs="宋体"/>
          <w:color w:val="auto"/>
          <w:spacing w:val="-5"/>
          <w:sz w:val="24"/>
          <w:szCs w:val="24"/>
          <w:highlight w:val="none"/>
          <w:lang w:bidi="zh-CN"/>
        </w:rPr>
        <w:t>在本项目服务期内</w:t>
      </w:r>
      <w:r>
        <w:rPr>
          <w:rFonts w:hint="eastAsia" w:ascii="宋体" w:hAnsi="宋体" w:eastAsia="宋体" w:cs="宋体"/>
          <w:color w:val="auto"/>
          <w:spacing w:val="-5"/>
          <w:sz w:val="24"/>
          <w:szCs w:val="24"/>
          <w:highlight w:val="none"/>
          <w:lang w:val="zh-CN" w:bidi="zh-CN"/>
        </w:rPr>
        <w:t>根据采购人需要，提供</w:t>
      </w:r>
      <w:r>
        <w:rPr>
          <w:rFonts w:hint="eastAsia" w:ascii="宋体" w:hAnsi="宋体" w:eastAsia="宋体" w:cs="宋体"/>
          <w:color w:val="auto"/>
          <w:sz w:val="24"/>
          <w:szCs w:val="24"/>
          <w:highlight w:val="none"/>
        </w:rPr>
        <w:t>污染高值分析报告、管控措施评估报告、空气质量改善形势分析报告等其他数据分析报告编制服务</w:t>
      </w:r>
      <w:r>
        <w:rPr>
          <w:rFonts w:hint="eastAsia" w:ascii="宋体" w:hAnsi="宋体" w:eastAsia="宋体" w:cs="宋体"/>
          <w:color w:val="auto"/>
          <w:spacing w:val="-5"/>
          <w:sz w:val="24"/>
          <w:szCs w:val="24"/>
          <w:highlight w:val="none"/>
          <w:lang w:val="zh-CN" w:bidi="zh-CN"/>
        </w:rPr>
        <w:t>。</w:t>
      </w:r>
    </w:p>
    <w:p w14:paraId="09B13267">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bidi="zh-CN"/>
        </w:rPr>
      </w:pPr>
      <w:r>
        <w:rPr>
          <w:rFonts w:hint="eastAsia" w:ascii="宋体" w:hAnsi="宋体" w:eastAsia="宋体" w:cs="宋体"/>
          <w:b/>
          <w:color w:val="auto"/>
          <w:spacing w:val="-5"/>
          <w:sz w:val="24"/>
          <w:szCs w:val="24"/>
          <w:highlight w:val="none"/>
          <w:lang w:val="en-US" w:bidi="zh-CN"/>
        </w:rPr>
        <w:t xml:space="preserve">2.8 </w:t>
      </w:r>
      <w:r>
        <w:rPr>
          <w:rFonts w:hint="eastAsia" w:ascii="宋体" w:hAnsi="宋体" w:eastAsia="宋体" w:cs="宋体"/>
          <w:b/>
          <w:bCs/>
          <w:color w:val="auto"/>
          <w:spacing w:val="-5"/>
          <w:sz w:val="24"/>
          <w:szCs w:val="24"/>
          <w:highlight w:val="none"/>
          <w:lang w:bidi="zh-CN"/>
        </w:rPr>
        <w:t>涉气企业帮扶指导</w:t>
      </w:r>
      <w:r>
        <w:rPr>
          <w:rFonts w:hint="eastAsia" w:ascii="宋体" w:hAnsi="宋体" w:eastAsia="宋体" w:cs="宋体"/>
          <w:b/>
          <w:color w:val="auto"/>
          <w:spacing w:val="-5"/>
          <w:sz w:val="24"/>
          <w:szCs w:val="24"/>
          <w:highlight w:val="none"/>
          <w:lang w:bidi="zh-CN"/>
        </w:rPr>
        <w:t>服务</w:t>
      </w:r>
    </w:p>
    <w:p w14:paraId="4DD38A3B">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1</w:t>
      </w:r>
      <w:r>
        <w:rPr>
          <w:rFonts w:hint="eastAsia" w:ascii="宋体" w:hAnsi="宋体" w:eastAsia="宋体" w:cs="宋体"/>
          <w:color w:val="auto"/>
          <w:spacing w:val="-5"/>
          <w:sz w:val="24"/>
          <w:szCs w:val="24"/>
          <w:highlight w:val="none"/>
          <w:lang w:bidi="zh-CN"/>
        </w:rPr>
        <w:t>）中标人在本项目服务期内协助采购人开展不少于1</w:t>
      </w:r>
      <w:r>
        <w:rPr>
          <w:rFonts w:hint="eastAsia" w:ascii="宋体" w:hAnsi="宋体" w:eastAsia="宋体" w:cs="宋体"/>
          <w:color w:val="auto"/>
          <w:spacing w:val="-5"/>
          <w:sz w:val="24"/>
          <w:szCs w:val="24"/>
          <w:highlight w:val="none"/>
          <w:lang w:val="en-US" w:bidi="zh-CN"/>
        </w:rPr>
        <w:t>2</w:t>
      </w:r>
      <w:r>
        <w:rPr>
          <w:rFonts w:hint="eastAsia" w:ascii="宋体" w:hAnsi="宋体" w:eastAsia="宋体" w:cs="宋体"/>
          <w:color w:val="auto"/>
          <w:spacing w:val="-5"/>
          <w:sz w:val="24"/>
          <w:szCs w:val="24"/>
          <w:highlight w:val="none"/>
          <w:lang w:bidi="zh-CN"/>
        </w:rPr>
        <w:t>次的涉气企业帮扶指导工作，主要内容包括</w:t>
      </w:r>
      <w:r>
        <w:rPr>
          <w:rFonts w:hint="eastAsia" w:ascii="宋体" w:hAnsi="宋体" w:eastAsia="宋体" w:cs="宋体"/>
          <w:color w:val="auto"/>
          <w:spacing w:val="-5"/>
          <w:sz w:val="24"/>
          <w:szCs w:val="24"/>
          <w:highlight w:val="none"/>
          <w:lang w:val="en-US" w:bidi="zh-CN"/>
        </w:rPr>
        <w:t>对</w:t>
      </w:r>
      <w:r>
        <w:rPr>
          <w:rFonts w:hint="eastAsia" w:ascii="宋体" w:hAnsi="宋体" w:eastAsia="宋体" w:cs="宋体"/>
          <w:color w:val="auto"/>
          <w:spacing w:val="-5"/>
          <w:sz w:val="24"/>
          <w:szCs w:val="24"/>
          <w:highlight w:val="none"/>
          <w:lang w:bidi="zh-CN"/>
        </w:rPr>
        <w:t>涉VOCs“十大”关键环节、低效（失效）废气治理设施排查整改</w:t>
      </w:r>
      <w:r>
        <w:rPr>
          <w:rFonts w:hint="eastAsia" w:ascii="宋体" w:hAnsi="宋体" w:eastAsia="宋体" w:cs="宋体"/>
          <w:color w:val="auto"/>
          <w:spacing w:val="-5"/>
          <w:sz w:val="24"/>
          <w:szCs w:val="24"/>
          <w:highlight w:val="none"/>
          <w:lang w:val="en-US" w:bidi="zh-CN"/>
        </w:rPr>
        <w:t>等进行</w:t>
      </w:r>
      <w:r>
        <w:rPr>
          <w:rFonts w:hint="eastAsia" w:ascii="宋体" w:hAnsi="宋体" w:eastAsia="宋体" w:cs="宋体"/>
          <w:color w:val="auto"/>
          <w:spacing w:val="-5"/>
          <w:sz w:val="24"/>
          <w:szCs w:val="24"/>
          <w:highlight w:val="none"/>
          <w:lang w:bidi="zh-CN"/>
        </w:rPr>
        <w:t>帮扶指导（</w:t>
      </w:r>
      <w:r>
        <w:rPr>
          <w:rFonts w:hint="eastAsia" w:ascii="宋体" w:hAnsi="宋体" w:eastAsia="宋体" w:cs="宋体"/>
          <w:color w:val="auto"/>
          <w:spacing w:val="-5"/>
          <w:sz w:val="24"/>
          <w:szCs w:val="24"/>
          <w:highlight w:val="none"/>
          <w:lang w:val="en-US" w:bidi="zh-CN"/>
        </w:rPr>
        <w:t>咨询行业专家或邀请行业专家现场指导不少于1次</w:t>
      </w:r>
      <w:r>
        <w:rPr>
          <w:rFonts w:hint="eastAsia" w:ascii="宋体" w:hAnsi="宋体" w:eastAsia="宋体" w:cs="宋体"/>
          <w:color w:val="auto"/>
          <w:spacing w:val="-5"/>
          <w:sz w:val="24"/>
          <w:szCs w:val="24"/>
          <w:highlight w:val="none"/>
          <w:lang w:bidi="zh-CN"/>
        </w:rPr>
        <w:t>），形成排查台账，协助采购人推动有关企业完成问题整改。</w:t>
      </w:r>
    </w:p>
    <w:p w14:paraId="5FECE9B8">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sz w:val="24"/>
          <w:szCs w:val="24"/>
          <w:highlight w:val="none"/>
          <w:lang w:val="en-US" w:bidi="zh-CN"/>
        </w:rPr>
        <w:t>2</w:t>
      </w:r>
      <w:r>
        <w:rPr>
          <w:rFonts w:hint="eastAsia" w:ascii="宋体" w:hAnsi="宋体" w:eastAsia="宋体" w:cs="宋体"/>
          <w:color w:val="auto"/>
          <w:spacing w:val="-5"/>
          <w:sz w:val="24"/>
          <w:szCs w:val="24"/>
          <w:highlight w:val="none"/>
          <w:lang w:bidi="zh-CN"/>
        </w:rPr>
        <w:t>）</w:t>
      </w:r>
      <w:r>
        <w:rPr>
          <w:rFonts w:hint="eastAsia" w:ascii="宋体" w:hAnsi="宋体" w:eastAsia="宋体" w:cs="宋体"/>
          <w:color w:val="auto"/>
          <w:spacing w:val="-5"/>
          <w:kern w:val="2"/>
          <w:sz w:val="24"/>
          <w:szCs w:val="24"/>
          <w:highlight w:val="none"/>
          <w:lang w:val="en-US" w:eastAsia="zh-CN" w:bidi="zh-CN"/>
        </w:rPr>
        <w:t>推动不少于3家涉气重点行业企业绩效分级帮扶指导：通过“监督+帮扶”模式，深入企业一线开展精准服务，帮助企业理解绩效分级意义和申报流程；实地查看生产车间和治污设施，核查台账、监测数据，发现废气收集不全、活性炭更换不及时等问题，并提出优化建议；指导符合条件的企业填写《绩效分级申请报告》，准备证明材料，确保真实规范反映环保水平；协助对企业填报的绩效分级上报材料进行初审，对所有上报材料进行逐一审核。</w:t>
      </w:r>
    </w:p>
    <w:p w14:paraId="66667D7C">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bidi="zh-CN"/>
        </w:rPr>
      </w:pPr>
      <w:r>
        <w:rPr>
          <w:rFonts w:hint="eastAsia" w:ascii="宋体" w:hAnsi="宋体" w:eastAsia="宋体" w:cs="宋体"/>
          <w:b/>
          <w:color w:val="auto"/>
          <w:spacing w:val="-5"/>
          <w:sz w:val="24"/>
          <w:szCs w:val="24"/>
          <w:highlight w:val="none"/>
          <w:lang w:val="en-US" w:bidi="zh-CN"/>
        </w:rPr>
        <w:t>2.9</w:t>
      </w:r>
      <w:r>
        <w:rPr>
          <w:rFonts w:hint="eastAsia" w:ascii="宋体" w:hAnsi="宋体" w:eastAsia="宋体" w:cs="宋体"/>
          <w:b/>
          <w:color w:val="auto"/>
          <w:spacing w:val="-5"/>
          <w:sz w:val="24"/>
          <w:szCs w:val="24"/>
          <w:highlight w:val="none"/>
          <w:lang w:bidi="zh-CN"/>
        </w:rPr>
        <w:t xml:space="preserve"> </w:t>
      </w:r>
      <w:r>
        <w:rPr>
          <w:rFonts w:hint="eastAsia" w:ascii="宋体" w:hAnsi="宋体" w:eastAsia="宋体" w:cs="宋体"/>
          <w:b/>
          <w:bCs/>
          <w:color w:val="auto"/>
          <w:spacing w:val="-5"/>
          <w:sz w:val="24"/>
          <w:szCs w:val="24"/>
          <w:highlight w:val="none"/>
          <w:lang w:val="en-US" w:eastAsia="zh-CN" w:bidi="zh-CN"/>
        </w:rPr>
        <w:t>大气污染源清单（含异味清单）更新及相关</w:t>
      </w:r>
      <w:r>
        <w:rPr>
          <w:rFonts w:hint="eastAsia" w:ascii="宋体" w:hAnsi="宋体" w:eastAsia="宋体" w:cs="宋体"/>
          <w:b/>
          <w:bCs/>
          <w:color w:val="auto"/>
          <w:spacing w:val="-5"/>
          <w:sz w:val="24"/>
          <w:szCs w:val="24"/>
          <w:highlight w:val="none"/>
          <w:lang w:val="en-US" w:bidi="zh-CN"/>
        </w:rPr>
        <w:t>服务</w:t>
      </w:r>
    </w:p>
    <w:p w14:paraId="65588DDA">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中标人在本项目服务期内协助采购人开展</w:t>
      </w:r>
      <w:r>
        <w:rPr>
          <w:rFonts w:hint="eastAsia" w:ascii="宋体" w:hAnsi="宋体" w:eastAsia="宋体" w:cs="宋体"/>
          <w:color w:val="auto"/>
          <w:spacing w:val="-5"/>
          <w:kern w:val="2"/>
          <w:sz w:val="24"/>
          <w:szCs w:val="24"/>
          <w:highlight w:val="none"/>
          <w:lang w:val="en-US" w:eastAsia="zh-CN" w:bidi="zh-CN"/>
        </w:rPr>
        <w:t>大气污染源排放清单的更新及应用工作，</w:t>
      </w:r>
      <w:r>
        <w:rPr>
          <w:rFonts w:hint="eastAsia" w:ascii="宋体" w:hAnsi="宋体" w:eastAsia="宋体" w:cs="宋体"/>
          <w:b w:val="0"/>
          <w:bCs w:val="0"/>
          <w:color w:val="auto"/>
          <w:spacing w:val="-5"/>
          <w:sz w:val="24"/>
          <w:szCs w:val="24"/>
          <w:highlight w:val="none"/>
          <w:lang w:val="en-US" w:eastAsia="zh-CN" w:bidi="zh-CN"/>
        </w:rPr>
        <w:t>在《赣江新区大气污染源排放清单编制技术报告》的基础上根据实际需要进行更新和完善，根据实际补充重点企业异味清单，为研究大气污染特征、机制和成因，开展环境空气质量数值模拟和预报预警等工作，提供数据支撑，</w:t>
      </w:r>
      <w:r>
        <w:rPr>
          <w:rFonts w:hint="eastAsia" w:ascii="宋体" w:hAnsi="宋体" w:eastAsia="宋体" w:cs="宋体"/>
          <w:color w:val="auto"/>
          <w:spacing w:val="-5"/>
          <w:kern w:val="2"/>
          <w:sz w:val="24"/>
          <w:szCs w:val="24"/>
          <w:highlight w:val="none"/>
          <w:lang w:val="en-US" w:eastAsia="zh-CN" w:bidi="zh-CN"/>
        </w:rPr>
        <w:t>推动赣江新区大气污染防治精细化管控，促进环境空气质量持续改善</w:t>
      </w:r>
      <w:r>
        <w:rPr>
          <w:rFonts w:hint="eastAsia" w:ascii="宋体" w:hAnsi="宋体" w:eastAsia="宋体" w:cs="宋体"/>
          <w:b w:val="0"/>
          <w:bCs w:val="0"/>
          <w:color w:val="auto"/>
          <w:spacing w:val="-5"/>
          <w:sz w:val="24"/>
          <w:szCs w:val="24"/>
          <w:highlight w:val="none"/>
          <w:lang w:val="en-US" w:eastAsia="zh-CN" w:bidi="zh-CN"/>
        </w:rPr>
        <w:t>。</w:t>
      </w:r>
    </w:p>
    <w:p w14:paraId="2C9848DF">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val="en-US" w:bidi="zh-CN"/>
        </w:rPr>
      </w:pPr>
      <w:r>
        <w:rPr>
          <w:rFonts w:hint="eastAsia" w:ascii="宋体" w:hAnsi="宋体" w:eastAsia="宋体" w:cs="宋体"/>
          <w:b/>
          <w:color w:val="auto"/>
          <w:spacing w:val="-5"/>
          <w:sz w:val="24"/>
          <w:szCs w:val="24"/>
          <w:highlight w:val="none"/>
          <w:lang w:val="en-US" w:bidi="zh-CN"/>
        </w:rPr>
        <w:t xml:space="preserve">2.10 </w:t>
      </w:r>
      <w:r>
        <w:rPr>
          <w:rFonts w:hint="eastAsia" w:ascii="宋体" w:hAnsi="宋体" w:eastAsia="宋体" w:cs="宋体"/>
          <w:b/>
          <w:bCs/>
          <w:color w:val="auto"/>
          <w:spacing w:val="-5"/>
          <w:sz w:val="24"/>
          <w:szCs w:val="24"/>
          <w:highlight w:val="none"/>
          <w:lang w:val="en-US" w:eastAsia="zh-CN" w:bidi="zh-CN"/>
        </w:rPr>
        <w:t>《涉气企业现场管理手册》更新及相关</w:t>
      </w:r>
      <w:r>
        <w:rPr>
          <w:rFonts w:hint="eastAsia" w:ascii="宋体" w:hAnsi="宋体" w:eastAsia="宋体" w:cs="宋体"/>
          <w:b/>
          <w:bCs/>
          <w:color w:val="auto"/>
          <w:spacing w:val="-5"/>
          <w:sz w:val="24"/>
          <w:szCs w:val="24"/>
          <w:highlight w:val="none"/>
          <w:lang w:val="en-US" w:bidi="zh-CN"/>
        </w:rPr>
        <w:t>服务</w:t>
      </w:r>
    </w:p>
    <w:p w14:paraId="419A1724">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eastAsia="zh-CN" w:bidi="zh-CN"/>
        </w:rPr>
      </w:pPr>
      <w:r>
        <w:rPr>
          <w:rFonts w:hint="eastAsia" w:ascii="宋体" w:hAnsi="宋体" w:eastAsia="宋体" w:cs="宋体"/>
          <w:color w:val="auto"/>
          <w:spacing w:val="-5"/>
          <w:sz w:val="24"/>
          <w:szCs w:val="24"/>
          <w:highlight w:val="none"/>
          <w:lang w:val="en-US" w:eastAsia="zh-CN" w:bidi="zh-CN"/>
        </w:rPr>
        <w:t>中标人在服务期内协助采购人开展持续推进《</w:t>
      </w:r>
      <w:r>
        <w:rPr>
          <w:rFonts w:hint="eastAsia" w:ascii="宋体" w:hAnsi="宋体" w:eastAsia="宋体" w:cs="宋体"/>
          <w:b w:val="0"/>
          <w:bCs w:val="0"/>
          <w:color w:val="auto"/>
          <w:spacing w:val="-5"/>
          <w:sz w:val="24"/>
          <w:szCs w:val="24"/>
          <w:highlight w:val="none"/>
          <w:lang w:val="en-US" w:eastAsia="zh-CN" w:bidi="zh-CN"/>
        </w:rPr>
        <w:t>涉气企业现场管理手册</w:t>
      </w:r>
      <w:r>
        <w:rPr>
          <w:rFonts w:hint="eastAsia" w:ascii="宋体" w:hAnsi="宋体" w:eastAsia="宋体" w:cs="宋体"/>
          <w:color w:val="auto"/>
          <w:spacing w:val="-5"/>
          <w:sz w:val="24"/>
          <w:szCs w:val="24"/>
          <w:highlight w:val="none"/>
          <w:lang w:val="en-US" w:eastAsia="zh-CN" w:bidi="zh-CN"/>
        </w:rPr>
        <w:t>》</w:t>
      </w:r>
      <w:r>
        <w:rPr>
          <w:rFonts w:hint="eastAsia" w:ascii="宋体" w:hAnsi="宋体" w:eastAsia="宋体" w:cs="宋体"/>
          <w:b w:val="0"/>
          <w:bCs w:val="0"/>
          <w:color w:val="auto"/>
          <w:spacing w:val="-5"/>
          <w:sz w:val="24"/>
          <w:szCs w:val="24"/>
          <w:highlight w:val="none"/>
          <w:lang w:val="en-US" w:eastAsia="zh-CN" w:bidi="zh-CN"/>
        </w:rPr>
        <w:t>应用，根据赣江新区实际情况补充完善管理清单，推进不少于10家有关企业使用现场管理手册开展问题自查和整改，助力赣江新区提升现场管理工作效率</w:t>
      </w:r>
      <w:r>
        <w:rPr>
          <w:rFonts w:hint="eastAsia" w:ascii="宋体" w:hAnsi="宋体" w:eastAsia="宋体" w:cs="宋体"/>
          <w:color w:val="auto"/>
          <w:spacing w:val="-5"/>
          <w:sz w:val="24"/>
          <w:szCs w:val="24"/>
          <w:highlight w:val="none"/>
          <w:lang w:val="en-US" w:eastAsia="zh-CN" w:bidi="zh-CN"/>
        </w:rPr>
        <w:t>。</w:t>
      </w:r>
    </w:p>
    <w:p w14:paraId="16855703">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bidi="zh-CN"/>
        </w:rPr>
      </w:pPr>
      <w:r>
        <w:rPr>
          <w:rFonts w:hint="eastAsia" w:ascii="宋体" w:hAnsi="宋体" w:eastAsia="宋体" w:cs="宋体"/>
          <w:b/>
          <w:color w:val="auto"/>
          <w:spacing w:val="-5"/>
          <w:sz w:val="24"/>
          <w:szCs w:val="24"/>
          <w:highlight w:val="none"/>
          <w:lang w:val="en-US" w:bidi="zh-CN"/>
        </w:rPr>
        <w:t xml:space="preserve">2.11 </w:t>
      </w:r>
      <w:r>
        <w:rPr>
          <w:rFonts w:hint="eastAsia" w:ascii="宋体" w:hAnsi="宋体" w:eastAsia="宋体" w:cs="宋体"/>
          <w:b/>
          <w:color w:val="auto"/>
          <w:spacing w:val="-5"/>
          <w:sz w:val="24"/>
          <w:szCs w:val="24"/>
          <w:highlight w:val="none"/>
          <w:lang w:bidi="zh-CN"/>
        </w:rPr>
        <w:t>技术培训、专家研讨及宣传</w:t>
      </w:r>
    </w:p>
    <w:p w14:paraId="48EEC8AB">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en-US" w:bidi="zh-CN"/>
        </w:rPr>
      </w:pPr>
      <w:r>
        <w:rPr>
          <w:rFonts w:hint="eastAsia" w:ascii="宋体" w:hAnsi="宋体" w:eastAsia="宋体" w:cs="宋体"/>
          <w:color w:val="auto"/>
          <w:spacing w:val="-5"/>
          <w:sz w:val="24"/>
          <w:szCs w:val="24"/>
          <w:highlight w:val="none"/>
          <w:lang w:val="en-US" w:bidi="zh-CN"/>
        </w:rPr>
        <w:t>中标人在服务期内</w:t>
      </w:r>
      <w:r>
        <w:rPr>
          <w:rFonts w:hint="eastAsia" w:ascii="宋体" w:hAnsi="宋体" w:eastAsia="宋体" w:cs="宋体"/>
          <w:color w:val="auto"/>
          <w:spacing w:val="-5"/>
          <w:sz w:val="24"/>
          <w:szCs w:val="24"/>
          <w:highlight w:val="none"/>
          <w:lang w:val="en-US" w:eastAsia="zh-CN" w:bidi="zh-CN"/>
        </w:rPr>
        <w:t>围绕</w:t>
      </w:r>
      <w:r>
        <w:rPr>
          <w:rFonts w:hint="eastAsia" w:ascii="宋体" w:hAnsi="宋体" w:eastAsia="宋体" w:cs="宋体"/>
          <w:color w:val="auto"/>
          <w:spacing w:val="-5"/>
          <w:sz w:val="24"/>
          <w:szCs w:val="24"/>
          <w:highlight w:val="none"/>
          <w:lang w:val="zh-CN" w:eastAsia="zh-CN" w:bidi="zh-CN"/>
        </w:rPr>
        <w:t>大气污染防治工作</w:t>
      </w:r>
      <w:r>
        <w:rPr>
          <w:rFonts w:hint="eastAsia" w:ascii="宋体" w:hAnsi="宋体" w:eastAsia="宋体" w:cs="宋体"/>
          <w:color w:val="auto"/>
          <w:spacing w:val="-5"/>
          <w:sz w:val="24"/>
          <w:szCs w:val="24"/>
          <w:highlight w:val="none"/>
          <w:lang w:bidi="zh-CN"/>
        </w:rPr>
        <w:t>组织技术培训</w:t>
      </w:r>
      <w:r>
        <w:rPr>
          <w:rFonts w:hint="eastAsia" w:ascii="宋体" w:hAnsi="宋体" w:eastAsia="宋体" w:cs="宋体"/>
          <w:color w:val="auto"/>
          <w:spacing w:val="-5"/>
          <w:sz w:val="24"/>
          <w:szCs w:val="24"/>
          <w:highlight w:val="none"/>
          <w:lang w:val="en-US" w:bidi="zh-CN"/>
        </w:rPr>
        <w:t>不低于</w:t>
      </w:r>
      <w:r>
        <w:rPr>
          <w:rFonts w:hint="eastAsia" w:ascii="宋体" w:hAnsi="宋体" w:eastAsia="宋体" w:cs="宋体"/>
          <w:color w:val="auto"/>
          <w:spacing w:val="-5"/>
          <w:sz w:val="24"/>
          <w:szCs w:val="24"/>
          <w:highlight w:val="none"/>
          <w:lang w:bidi="zh-CN"/>
        </w:rPr>
        <w:t>2次，</w:t>
      </w:r>
      <w:r>
        <w:rPr>
          <w:rFonts w:hint="eastAsia" w:ascii="宋体" w:hAnsi="宋体" w:eastAsia="宋体" w:cs="宋体"/>
          <w:color w:val="auto"/>
          <w:spacing w:val="-5"/>
          <w:sz w:val="24"/>
          <w:szCs w:val="24"/>
          <w:highlight w:val="none"/>
          <w:lang w:val="en-US" w:bidi="zh-CN"/>
        </w:rPr>
        <w:t>行业</w:t>
      </w:r>
      <w:r>
        <w:rPr>
          <w:rFonts w:hint="eastAsia" w:ascii="宋体" w:hAnsi="宋体" w:eastAsia="宋体" w:cs="宋体"/>
          <w:color w:val="auto"/>
          <w:spacing w:val="-5"/>
          <w:sz w:val="24"/>
          <w:szCs w:val="24"/>
          <w:highlight w:val="none"/>
          <w:lang w:bidi="zh-CN"/>
        </w:rPr>
        <w:t>专家研讨</w:t>
      </w:r>
      <w:r>
        <w:rPr>
          <w:rFonts w:hint="eastAsia" w:ascii="宋体" w:hAnsi="宋体" w:eastAsia="宋体" w:cs="宋体"/>
          <w:color w:val="auto"/>
          <w:spacing w:val="-5"/>
          <w:sz w:val="24"/>
          <w:szCs w:val="24"/>
          <w:highlight w:val="none"/>
          <w:lang w:val="en-US" w:bidi="zh-CN"/>
        </w:rPr>
        <w:t>不低于</w:t>
      </w:r>
      <w:r>
        <w:rPr>
          <w:rFonts w:hint="eastAsia" w:ascii="宋体" w:hAnsi="宋体" w:eastAsia="宋体" w:cs="宋体"/>
          <w:color w:val="auto"/>
          <w:spacing w:val="-5"/>
          <w:sz w:val="24"/>
          <w:szCs w:val="24"/>
          <w:highlight w:val="none"/>
          <w:lang w:bidi="zh-CN"/>
        </w:rPr>
        <w:t>1次，在地市级及以上媒体上发布新闻宣传稿2篇。</w:t>
      </w:r>
      <w:r>
        <w:rPr>
          <w:rFonts w:hint="eastAsia" w:ascii="宋体" w:hAnsi="宋体" w:eastAsia="宋体" w:cs="宋体"/>
          <w:color w:val="auto"/>
          <w:spacing w:val="-5"/>
          <w:sz w:val="24"/>
          <w:szCs w:val="24"/>
          <w:highlight w:val="none"/>
          <w:lang w:val="en-US" w:bidi="zh-CN"/>
        </w:rPr>
        <w:t>主要包括：</w:t>
      </w:r>
    </w:p>
    <w:p w14:paraId="09A5FD7D">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val="zh-CN" w:bidi="zh-CN"/>
        </w:rPr>
      </w:pPr>
      <w:r>
        <w:rPr>
          <w:rFonts w:hint="eastAsia" w:ascii="宋体" w:hAnsi="宋体" w:eastAsia="宋体" w:cs="宋体"/>
          <w:color w:val="auto"/>
          <w:spacing w:val="-5"/>
          <w:sz w:val="24"/>
          <w:szCs w:val="24"/>
          <w:highlight w:val="none"/>
          <w:lang w:bidi="zh-CN"/>
        </w:rPr>
        <w:t>中标人围绕</w:t>
      </w:r>
      <w:r>
        <w:rPr>
          <w:rFonts w:hint="eastAsia" w:ascii="宋体" w:hAnsi="宋体" w:eastAsia="宋体" w:cs="宋体"/>
          <w:color w:val="auto"/>
          <w:spacing w:val="-5"/>
          <w:sz w:val="24"/>
          <w:szCs w:val="24"/>
          <w:highlight w:val="none"/>
          <w:lang w:val="zh-CN" w:bidi="zh-CN"/>
        </w:rPr>
        <w:t>本项目</w:t>
      </w:r>
      <w:r>
        <w:rPr>
          <w:rFonts w:hint="eastAsia" w:ascii="宋体" w:hAnsi="宋体" w:eastAsia="宋体" w:cs="宋体"/>
          <w:color w:val="auto"/>
          <w:spacing w:val="-5"/>
          <w:sz w:val="24"/>
          <w:szCs w:val="24"/>
          <w:highlight w:val="none"/>
          <w:lang w:bidi="zh-CN"/>
        </w:rPr>
        <w:t>涉及的</w:t>
      </w:r>
      <w:r>
        <w:rPr>
          <w:rFonts w:hint="eastAsia" w:ascii="宋体" w:hAnsi="宋体" w:eastAsia="宋体" w:cs="宋体"/>
          <w:color w:val="auto"/>
          <w:spacing w:val="-5"/>
          <w:sz w:val="24"/>
          <w:szCs w:val="24"/>
          <w:highlight w:val="none"/>
          <w:lang w:val="zh-CN" w:bidi="zh-CN"/>
        </w:rPr>
        <w:t>监测技术手段，</w:t>
      </w:r>
      <w:r>
        <w:rPr>
          <w:rFonts w:hint="eastAsia" w:ascii="宋体" w:hAnsi="宋体" w:eastAsia="宋体" w:cs="宋体"/>
          <w:color w:val="auto"/>
          <w:spacing w:val="-5"/>
          <w:sz w:val="24"/>
          <w:szCs w:val="24"/>
          <w:highlight w:val="none"/>
          <w:lang w:bidi="zh-CN"/>
        </w:rPr>
        <w:t>提供</w:t>
      </w:r>
      <w:r>
        <w:rPr>
          <w:rFonts w:hint="eastAsia" w:ascii="宋体" w:hAnsi="宋体" w:eastAsia="宋体" w:cs="宋体"/>
          <w:color w:val="auto"/>
          <w:spacing w:val="-5"/>
          <w:sz w:val="24"/>
          <w:szCs w:val="24"/>
          <w:highlight w:val="none"/>
          <w:lang w:val="en-US" w:bidi="zh-CN"/>
        </w:rPr>
        <w:t>相关的技术</w:t>
      </w:r>
      <w:r>
        <w:rPr>
          <w:rFonts w:hint="eastAsia" w:ascii="宋体" w:hAnsi="宋体" w:eastAsia="宋体" w:cs="宋体"/>
          <w:color w:val="auto"/>
          <w:spacing w:val="-5"/>
          <w:sz w:val="24"/>
          <w:szCs w:val="24"/>
          <w:highlight w:val="none"/>
          <w:lang w:bidi="zh-CN"/>
        </w:rPr>
        <w:t>培训、</w:t>
      </w:r>
      <w:r>
        <w:rPr>
          <w:rFonts w:hint="eastAsia" w:ascii="宋体" w:hAnsi="宋体" w:eastAsia="宋体" w:cs="宋体"/>
          <w:color w:val="auto"/>
          <w:spacing w:val="-5"/>
          <w:sz w:val="24"/>
          <w:szCs w:val="24"/>
          <w:highlight w:val="none"/>
          <w:lang w:val="en-US" w:bidi="zh-CN"/>
        </w:rPr>
        <w:t>宣讲</w:t>
      </w:r>
      <w:r>
        <w:rPr>
          <w:rFonts w:hint="eastAsia" w:ascii="宋体" w:hAnsi="宋体" w:eastAsia="宋体" w:cs="宋体"/>
          <w:color w:val="auto"/>
          <w:spacing w:val="-5"/>
          <w:sz w:val="24"/>
          <w:szCs w:val="24"/>
          <w:highlight w:val="none"/>
          <w:lang w:val="zh-CN" w:bidi="zh-CN"/>
        </w:rPr>
        <w:t>。</w:t>
      </w:r>
    </w:p>
    <w:p w14:paraId="6419D59E">
      <w:pPr>
        <w:pStyle w:val="9"/>
        <w:keepNext w:val="0"/>
        <w:keepLines w:val="0"/>
        <w:pageBreakBefore w:val="0"/>
        <w:widowControl w:val="0"/>
        <w:wordWrap/>
        <w:overflowPunct/>
        <w:topLinePunct w:val="0"/>
        <w:bidi w:val="0"/>
        <w:spacing w:beforeLines="0" w:afterLines="0" w:line="460" w:lineRule="exact"/>
        <w:ind w:firstLine="460"/>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bidi="zh-CN"/>
        </w:rPr>
        <w:t>中标人邀请大气管控相关的行业专家</w:t>
      </w:r>
      <w:r>
        <w:rPr>
          <w:rFonts w:hint="eastAsia" w:ascii="宋体" w:hAnsi="宋体" w:eastAsia="宋体" w:cs="宋体"/>
          <w:color w:val="auto"/>
          <w:spacing w:val="-5"/>
          <w:sz w:val="24"/>
          <w:szCs w:val="24"/>
          <w:highlight w:val="none"/>
          <w:lang w:val="en-US" w:bidi="zh-CN"/>
        </w:rPr>
        <w:t>开展</w:t>
      </w:r>
      <w:r>
        <w:rPr>
          <w:rFonts w:hint="eastAsia" w:ascii="宋体" w:hAnsi="宋体" w:eastAsia="宋体" w:cs="宋体"/>
          <w:color w:val="auto"/>
          <w:spacing w:val="-5"/>
          <w:sz w:val="24"/>
          <w:szCs w:val="24"/>
          <w:highlight w:val="none"/>
          <w:lang w:bidi="zh-CN"/>
        </w:rPr>
        <w:t>座谈研讨，分析</w:t>
      </w:r>
      <w:r>
        <w:rPr>
          <w:rFonts w:hint="eastAsia" w:ascii="宋体" w:hAnsi="宋体" w:eastAsia="宋体" w:cs="宋体"/>
          <w:color w:val="auto"/>
          <w:spacing w:val="-5"/>
          <w:sz w:val="24"/>
          <w:szCs w:val="24"/>
          <w:highlight w:val="none"/>
          <w:lang w:val="en-US" w:bidi="zh-CN"/>
        </w:rPr>
        <w:t>赣江</w:t>
      </w:r>
      <w:r>
        <w:rPr>
          <w:rFonts w:hint="eastAsia" w:ascii="宋体" w:hAnsi="宋体" w:eastAsia="宋体" w:cs="宋体"/>
          <w:color w:val="auto"/>
          <w:spacing w:val="-5"/>
          <w:sz w:val="24"/>
          <w:szCs w:val="24"/>
          <w:highlight w:val="none"/>
          <w:lang w:bidi="zh-CN"/>
        </w:rPr>
        <w:t>新区大气污染形势，提出</w:t>
      </w:r>
      <w:r>
        <w:rPr>
          <w:rFonts w:hint="eastAsia" w:ascii="宋体" w:hAnsi="宋体" w:eastAsia="宋体" w:cs="宋体"/>
          <w:color w:val="auto"/>
          <w:spacing w:val="-5"/>
          <w:sz w:val="24"/>
          <w:szCs w:val="24"/>
          <w:highlight w:val="none"/>
          <w:lang w:val="en-US" w:bidi="zh-CN"/>
        </w:rPr>
        <w:t>相关</w:t>
      </w:r>
      <w:r>
        <w:rPr>
          <w:rFonts w:hint="eastAsia" w:ascii="宋体" w:hAnsi="宋体" w:eastAsia="宋体" w:cs="宋体"/>
          <w:color w:val="auto"/>
          <w:spacing w:val="-5"/>
          <w:sz w:val="24"/>
          <w:szCs w:val="24"/>
          <w:highlight w:val="none"/>
          <w:lang w:bidi="zh-CN"/>
        </w:rPr>
        <w:t>意见和建议。</w:t>
      </w:r>
    </w:p>
    <w:p w14:paraId="39A5D0A5">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bidi="zh-CN"/>
        </w:rPr>
        <w:t>中标人对服务工作过程中的亮点工作进行及时总结，配合开展宣传报道。</w:t>
      </w:r>
    </w:p>
    <w:p w14:paraId="6EA616E3">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val="en-US" w:eastAsia="zh-CN" w:bidi="zh-CN"/>
        </w:rPr>
      </w:pPr>
      <w:r>
        <w:rPr>
          <w:rFonts w:hint="eastAsia" w:ascii="宋体" w:hAnsi="宋体" w:eastAsia="宋体" w:cs="宋体"/>
          <w:b/>
          <w:color w:val="auto"/>
          <w:spacing w:val="-5"/>
          <w:sz w:val="24"/>
          <w:szCs w:val="24"/>
          <w:highlight w:val="none"/>
          <w:lang w:val="en-US" w:bidi="zh-CN"/>
        </w:rPr>
        <w:t>2.12</w:t>
      </w:r>
      <w:bookmarkStart w:id="20" w:name="_Toc16115"/>
      <w:r>
        <w:rPr>
          <w:rFonts w:hint="eastAsia" w:ascii="宋体" w:hAnsi="宋体" w:eastAsia="宋体" w:cs="宋体"/>
          <w:b/>
          <w:color w:val="auto"/>
          <w:spacing w:val="-5"/>
          <w:sz w:val="24"/>
          <w:szCs w:val="24"/>
          <w:highlight w:val="none"/>
          <w:lang w:val="en-US" w:bidi="zh-CN"/>
        </w:rPr>
        <w:t xml:space="preserve"> </w:t>
      </w:r>
      <w:bookmarkEnd w:id="20"/>
      <w:r>
        <w:rPr>
          <w:rFonts w:hint="eastAsia" w:ascii="宋体" w:hAnsi="宋体" w:eastAsia="宋体" w:cs="宋体"/>
          <w:b/>
          <w:color w:val="auto"/>
          <w:spacing w:val="-5"/>
          <w:sz w:val="24"/>
          <w:szCs w:val="24"/>
          <w:highlight w:val="none"/>
          <w:lang w:val="en-US" w:eastAsia="zh-CN" w:bidi="zh-CN"/>
        </w:rPr>
        <w:t>大气污染防治信息化服务</w:t>
      </w:r>
    </w:p>
    <w:p w14:paraId="697CCDB4">
      <w:pPr>
        <w:pStyle w:val="9"/>
        <w:keepNext w:val="0"/>
        <w:keepLines w:val="0"/>
        <w:pageBreakBefore w:val="0"/>
        <w:widowControl w:val="0"/>
        <w:wordWrap/>
        <w:overflowPunct/>
        <w:topLinePunct w:val="0"/>
        <w:bidi w:val="0"/>
        <w:spacing w:beforeLines="0" w:afterLines="0" w:line="460" w:lineRule="exact"/>
        <w:ind w:firstLine="460"/>
        <w:rPr>
          <w:rFonts w:hint="eastAsia" w:ascii="宋体" w:hAnsi="宋体" w:eastAsia="宋体" w:cs="宋体"/>
          <w:color w:val="auto"/>
          <w:spacing w:val="-5"/>
          <w:kern w:val="2"/>
          <w:sz w:val="24"/>
          <w:szCs w:val="24"/>
          <w:highlight w:val="none"/>
          <w:lang w:val="en-US" w:eastAsia="zh-CN" w:bidi="zh-CN"/>
        </w:rPr>
      </w:pPr>
      <w:r>
        <w:rPr>
          <w:rFonts w:hint="eastAsia" w:ascii="宋体" w:hAnsi="宋体" w:eastAsia="宋体" w:cs="宋体"/>
          <w:color w:val="auto"/>
          <w:spacing w:val="-5"/>
          <w:kern w:val="2"/>
          <w:sz w:val="24"/>
          <w:szCs w:val="24"/>
          <w:highlight w:val="none"/>
          <w:lang w:val="en-US" w:eastAsia="zh-CN" w:bidi="zh-CN"/>
        </w:rPr>
        <w:t>依托新区智慧环保等信息化技术手段，提供的数据处理和分析服务，进一步提升赣江新区大气环境智慧化监管能力，完善新区、管理处、企业等多级联动问题闭环管理机制。</w:t>
      </w:r>
    </w:p>
    <w:p w14:paraId="37EF7C02">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2"/>
          <w:sz w:val="24"/>
          <w:szCs w:val="24"/>
          <w:highlight w:val="none"/>
          <w:lang w:val="en-US" w:eastAsia="zh-CN" w:bidi="zh-CN"/>
        </w:rPr>
      </w:pPr>
      <w:r>
        <w:rPr>
          <w:rFonts w:hint="eastAsia" w:ascii="宋体" w:hAnsi="宋体" w:eastAsia="宋体" w:cs="宋体"/>
          <w:color w:val="auto"/>
          <w:spacing w:val="-5"/>
          <w:kern w:val="2"/>
          <w:sz w:val="24"/>
          <w:szCs w:val="24"/>
          <w:highlight w:val="none"/>
          <w:lang w:val="en-US" w:eastAsia="zh-CN" w:bidi="zh-CN"/>
        </w:rPr>
        <w:t>服务过程中监测及巡查相关数据，需与赣江新区智慧环保平台进行对接，智慧环保平台数据服务：包括监测数据接入、数据审核、巡查台账及报告上传等工作，提高大气环保技术服务数字化管理水平。</w:t>
      </w:r>
    </w:p>
    <w:p w14:paraId="7C270B08">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val="en-US" w:bidi="zh-CN"/>
        </w:rPr>
      </w:pPr>
      <w:r>
        <w:rPr>
          <w:rFonts w:hint="eastAsia" w:ascii="宋体" w:hAnsi="宋体" w:eastAsia="宋体" w:cs="宋体"/>
          <w:b/>
          <w:color w:val="auto"/>
          <w:spacing w:val="-5"/>
          <w:sz w:val="24"/>
          <w:szCs w:val="24"/>
          <w:highlight w:val="none"/>
          <w:lang w:val="en-US" w:bidi="zh-CN"/>
        </w:rPr>
        <w:t xml:space="preserve">2.13 </w:t>
      </w:r>
      <w:r>
        <w:rPr>
          <w:rFonts w:hint="eastAsia" w:ascii="宋体" w:hAnsi="宋体" w:eastAsia="宋体" w:cs="宋体"/>
          <w:b/>
          <w:color w:val="auto"/>
          <w:spacing w:val="-5"/>
          <w:sz w:val="24"/>
          <w:szCs w:val="24"/>
          <w:highlight w:val="none"/>
          <w:lang w:bidi="zh-CN"/>
        </w:rPr>
        <w:t>试点单元的允许排放量核算</w:t>
      </w:r>
      <w:r>
        <w:rPr>
          <w:rFonts w:hint="eastAsia" w:ascii="宋体" w:hAnsi="宋体" w:eastAsia="宋体" w:cs="宋体"/>
          <w:b/>
          <w:color w:val="auto"/>
          <w:spacing w:val="-5"/>
          <w:sz w:val="24"/>
          <w:szCs w:val="24"/>
          <w:highlight w:val="none"/>
          <w:lang w:val="en-US" w:bidi="zh-CN"/>
        </w:rPr>
        <w:t>服务</w:t>
      </w:r>
    </w:p>
    <w:p w14:paraId="6247A564">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kern w:val="2"/>
          <w:sz w:val="24"/>
          <w:szCs w:val="24"/>
          <w:highlight w:val="none"/>
          <w:lang w:val="en-US" w:eastAsia="zh-CN" w:bidi="zh-CN"/>
        </w:rPr>
      </w:pPr>
      <w:r>
        <w:rPr>
          <w:rFonts w:hint="eastAsia" w:ascii="宋体" w:hAnsi="宋体" w:eastAsia="宋体" w:cs="宋体"/>
          <w:i w:val="0"/>
          <w:iCs w:val="0"/>
          <w:caps w:val="0"/>
          <w:color w:val="auto"/>
          <w:spacing w:val="-5"/>
          <w:sz w:val="24"/>
          <w:szCs w:val="24"/>
          <w:highlight w:val="none"/>
          <w:shd w:val="clear"/>
          <w:lang w:val="en-US" w:bidi="zh-CN"/>
        </w:rPr>
        <w:t>中</w:t>
      </w:r>
      <w:r>
        <w:rPr>
          <w:rFonts w:hint="eastAsia" w:ascii="宋体" w:hAnsi="宋体" w:eastAsia="宋体" w:cs="宋体"/>
          <w:i w:val="0"/>
          <w:iCs w:val="0"/>
          <w:caps w:val="0"/>
          <w:color w:val="auto"/>
          <w:spacing w:val="-5"/>
          <w:sz w:val="24"/>
          <w:szCs w:val="24"/>
          <w:highlight w:val="none"/>
          <w:shd w:val="clear"/>
          <w:lang w:bidi="zh-CN"/>
        </w:rPr>
        <w:t>标人须承担新区直管区生态环境分区管控单元允许排放量核算相关工作，</w:t>
      </w:r>
      <w:r>
        <w:rPr>
          <w:rFonts w:hint="eastAsia" w:ascii="宋体" w:hAnsi="宋体" w:eastAsia="宋体" w:cs="宋体"/>
          <w:b w:val="0"/>
          <w:color w:val="auto"/>
          <w:spacing w:val="-5"/>
          <w:sz w:val="24"/>
          <w:szCs w:val="24"/>
          <w:highlight w:val="none"/>
          <w:lang w:bidi="zh-CN"/>
        </w:rPr>
        <w:t>探索基于环境质量改善目标的单元污染物允许排放量核算，并在生态环境准入清单中予以规定。以PM</w:t>
      </w:r>
      <w:r>
        <w:rPr>
          <w:rFonts w:hint="eastAsia" w:ascii="宋体" w:hAnsi="宋体" w:eastAsia="宋体" w:cs="宋体"/>
          <w:b w:val="0"/>
          <w:color w:val="auto"/>
          <w:spacing w:val="-5"/>
          <w:sz w:val="24"/>
          <w:szCs w:val="24"/>
          <w:highlight w:val="none"/>
          <w:vertAlign w:val="subscript"/>
          <w:lang w:bidi="zh-CN"/>
        </w:rPr>
        <w:t>2.5</w:t>
      </w:r>
      <w:r>
        <w:rPr>
          <w:rFonts w:hint="eastAsia" w:ascii="宋体" w:hAnsi="宋体" w:eastAsia="宋体" w:cs="宋体"/>
          <w:b w:val="0"/>
          <w:color w:val="auto"/>
          <w:spacing w:val="-5"/>
          <w:sz w:val="24"/>
          <w:szCs w:val="24"/>
          <w:highlight w:val="none"/>
          <w:lang w:bidi="zh-CN"/>
        </w:rPr>
        <w:t>管理目标为主线，在园区尺度测算PM</w:t>
      </w:r>
      <w:r>
        <w:rPr>
          <w:rFonts w:hint="eastAsia" w:ascii="宋体" w:hAnsi="宋体" w:eastAsia="宋体" w:cs="宋体"/>
          <w:b w:val="0"/>
          <w:color w:val="auto"/>
          <w:spacing w:val="-5"/>
          <w:sz w:val="24"/>
          <w:szCs w:val="24"/>
          <w:highlight w:val="none"/>
          <w:vertAlign w:val="subscript"/>
          <w:lang w:bidi="zh-CN"/>
        </w:rPr>
        <w:t>2.5</w:t>
      </w:r>
      <w:r>
        <w:rPr>
          <w:rFonts w:hint="eastAsia" w:ascii="宋体" w:hAnsi="宋体" w:eastAsia="宋体" w:cs="宋体"/>
          <w:b w:val="0"/>
          <w:color w:val="auto"/>
          <w:spacing w:val="-5"/>
          <w:sz w:val="24"/>
          <w:szCs w:val="24"/>
          <w:highlight w:val="none"/>
          <w:lang w:bidi="zh-CN"/>
        </w:rPr>
        <w:t>前体物允许排放量，统筹考虑试点单元对区域大气环境质量目标考核的影响，差异化确定试点单元环境质量目标和允许排放量，并采用导则推荐模型进行情景验证。</w:t>
      </w:r>
    </w:p>
    <w:p w14:paraId="09E53B81">
      <w:pPr>
        <w:keepNext w:val="0"/>
        <w:keepLines w:val="0"/>
        <w:pageBreakBefore w:val="0"/>
        <w:wordWrap/>
        <w:overflowPunct/>
        <w:topLinePunct w:val="0"/>
        <w:bidi w:val="0"/>
        <w:spacing w:line="460" w:lineRule="exact"/>
        <w:ind w:firstLine="462" w:firstLineChars="200"/>
        <w:rPr>
          <w:rFonts w:hint="eastAsia" w:ascii="宋体" w:hAnsi="宋体" w:eastAsia="宋体" w:cs="宋体"/>
          <w:b/>
          <w:color w:val="auto"/>
          <w:spacing w:val="-5"/>
          <w:sz w:val="24"/>
          <w:szCs w:val="24"/>
          <w:highlight w:val="none"/>
          <w:lang w:bidi="zh-CN"/>
        </w:rPr>
      </w:pPr>
      <w:r>
        <w:rPr>
          <w:rFonts w:hint="eastAsia" w:ascii="宋体" w:hAnsi="宋体" w:eastAsia="宋体" w:cs="宋体"/>
          <w:b/>
          <w:color w:val="auto"/>
          <w:spacing w:val="-5"/>
          <w:sz w:val="24"/>
          <w:szCs w:val="24"/>
          <w:highlight w:val="none"/>
          <w:lang w:val="en-US" w:bidi="zh-CN"/>
        </w:rPr>
        <w:t xml:space="preserve">2.14 </w:t>
      </w:r>
      <w:r>
        <w:rPr>
          <w:rFonts w:hint="eastAsia" w:ascii="宋体" w:hAnsi="宋体" w:eastAsia="宋体" w:cs="宋体"/>
          <w:b/>
          <w:color w:val="auto"/>
          <w:spacing w:val="-5"/>
          <w:sz w:val="24"/>
          <w:szCs w:val="24"/>
          <w:highlight w:val="none"/>
          <w:lang w:bidi="zh-CN"/>
        </w:rPr>
        <w:t>其他服务</w:t>
      </w:r>
    </w:p>
    <w:p w14:paraId="52DBDF46">
      <w:pPr>
        <w:keepNext w:val="0"/>
        <w:keepLines w:val="0"/>
        <w:pageBreakBefore w:val="0"/>
        <w:wordWrap/>
        <w:overflowPunct/>
        <w:topLinePunct w:val="0"/>
        <w:bidi w:val="0"/>
        <w:spacing w:line="460" w:lineRule="exact"/>
        <w:ind w:firstLine="460" w:firstLineChars="200"/>
        <w:rPr>
          <w:rFonts w:hint="eastAsia" w:ascii="宋体" w:hAnsi="宋体" w:eastAsia="宋体" w:cs="宋体"/>
          <w:color w:val="auto"/>
          <w:spacing w:val="-5"/>
          <w:sz w:val="24"/>
          <w:szCs w:val="24"/>
          <w:highlight w:val="none"/>
          <w:lang w:bidi="zh-CN"/>
        </w:rPr>
      </w:pPr>
      <w:r>
        <w:rPr>
          <w:rFonts w:hint="eastAsia" w:ascii="宋体" w:hAnsi="宋体" w:eastAsia="宋体" w:cs="宋体"/>
          <w:color w:val="auto"/>
          <w:spacing w:val="-5"/>
          <w:sz w:val="24"/>
          <w:szCs w:val="24"/>
          <w:highlight w:val="none"/>
          <w:lang w:val="en-US" w:eastAsia="zh-CN" w:bidi="zh-CN"/>
        </w:rPr>
        <w:t>协助采购人完成上级部署的其他大气污染防治相关任务。</w:t>
      </w:r>
    </w:p>
    <w:p w14:paraId="5D7CBDEF">
      <w:pPr>
        <w:pStyle w:val="4"/>
        <w:keepNext w:val="0"/>
        <w:keepLines w:val="0"/>
        <w:pageBreakBefore w:val="0"/>
        <w:wordWrap/>
        <w:overflowPunct/>
        <w:topLinePunct w:val="0"/>
        <w:bidi w:val="0"/>
        <w:spacing w:line="460" w:lineRule="exact"/>
        <w:ind w:firstLine="360" w:firstLineChars="150"/>
        <w:rPr>
          <w:rFonts w:hint="eastAsia" w:ascii="宋体" w:hAnsi="宋体" w:eastAsia="宋体" w:cs="宋体"/>
          <w:b/>
          <w:color w:val="auto"/>
          <w:kern w:val="2"/>
          <w:sz w:val="24"/>
          <w:szCs w:val="24"/>
          <w:highlight w:val="none"/>
        </w:rPr>
      </w:pPr>
      <w:r>
        <w:rPr>
          <w:rFonts w:hint="eastAsia" w:ascii="宋体" w:hAnsi="宋体" w:eastAsia="宋体" w:cs="宋体"/>
          <w:color w:val="auto"/>
          <w:kern w:val="2"/>
          <w:sz w:val="24"/>
          <w:szCs w:val="24"/>
          <w:highlight w:val="none"/>
        </w:rPr>
        <w:t xml:space="preserve"> </w:t>
      </w:r>
      <w:r>
        <w:rPr>
          <w:rFonts w:hint="eastAsia" w:ascii="宋体" w:hAnsi="宋体" w:eastAsia="宋体" w:cs="宋体"/>
          <w:b/>
          <w:color w:val="auto"/>
          <w:kern w:val="2"/>
          <w:sz w:val="24"/>
          <w:szCs w:val="24"/>
          <w:highlight w:val="none"/>
          <w:lang w:val="en-US" w:eastAsia="zh-CN"/>
        </w:rPr>
        <w:t>3、</w:t>
      </w:r>
      <w:r>
        <w:rPr>
          <w:rFonts w:hint="eastAsia" w:ascii="宋体" w:hAnsi="宋体" w:eastAsia="宋体" w:cs="宋体"/>
          <w:b/>
          <w:color w:val="auto"/>
          <w:kern w:val="2"/>
          <w:sz w:val="24"/>
          <w:szCs w:val="24"/>
          <w:highlight w:val="none"/>
        </w:rPr>
        <w:t>人员要求</w:t>
      </w:r>
    </w:p>
    <w:p w14:paraId="3A298E84">
      <w:pPr>
        <w:pStyle w:val="10"/>
        <w:keepNext w:val="0"/>
        <w:keepLines w:val="0"/>
        <w:pageBreakBefore w:val="0"/>
        <w:wordWrap/>
        <w:overflowPunct/>
        <w:topLinePunct w:val="0"/>
        <w:bidi w:val="0"/>
        <w:spacing w:line="460" w:lineRule="exact"/>
        <w:ind w:firstLine="480"/>
        <w:jc w:val="both"/>
        <w:rPr>
          <w:rFonts w:hint="eastAsia" w:ascii="宋体" w:hAnsi="宋体" w:eastAsia="宋体" w:cs="宋体"/>
          <w:color w:val="auto"/>
          <w:spacing w:val="-5"/>
          <w:sz w:val="24"/>
          <w:szCs w:val="24"/>
          <w:highlight w:val="none"/>
          <w:lang w:eastAsia="zh-CN" w:bidi="zh-CN"/>
        </w:rPr>
      </w:pPr>
      <w:r>
        <w:rPr>
          <w:rFonts w:hint="eastAsia" w:cs="宋体"/>
          <w:color w:val="auto"/>
          <w:spacing w:val="-5"/>
          <w:sz w:val="24"/>
          <w:szCs w:val="24"/>
          <w:highlight w:val="none"/>
          <w:lang w:val="en-US" w:eastAsia="zh-CN" w:bidi="zh-CN"/>
        </w:rPr>
        <w:t>3.1</w:t>
      </w:r>
      <w:r>
        <w:rPr>
          <w:rFonts w:hint="eastAsia" w:ascii="宋体" w:hAnsi="宋体" w:eastAsia="宋体" w:cs="宋体"/>
          <w:color w:val="auto"/>
          <w:spacing w:val="-5"/>
          <w:sz w:val="24"/>
          <w:szCs w:val="24"/>
          <w:highlight w:val="none"/>
          <w:lang w:eastAsia="zh-CN" w:bidi="zh-CN"/>
        </w:rPr>
        <w:t>为保障本项目服务质量，服务期内</w:t>
      </w:r>
      <w:r>
        <w:rPr>
          <w:rFonts w:hint="eastAsia" w:ascii="宋体" w:hAnsi="宋体" w:eastAsia="宋体" w:cs="宋体"/>
          <w:color w:val="auto"/>
          <w:spacing w:val="-5"/>
          <w:sz w:val="24"/>
          <w:szCs w:val="24"/>
          <w:highlight w:val="none"/>
          <w:lang w:val="en-US" w:eastAsia="zh-CN" w:bidi="zh-CN"/>
        </w:rPr>
        <w:t>中</w:t>
      </w:r>
      <w:r>
        <w:rPr>
          <w:rFonts w:hint="eastAsia" w:ascii="宋体" w:hAnsi="宋体" w:eastAsia="宋体" w:cs="宋体"/>
          <w:color w:val="auto"/>
          <w:spacing w:val="-5"/>
          <w:sz w:val="24"/>
          <w:szCs w:val="24"/>
          <w:highlight w:val="none"/>
          <w:lang w:eastAsia="zh-CN" w:bidi="zh-CN"/>
        </w:rPr>
        <w:t>标人投入的项目团队应包含</w:t>
      </w:r>
      <w:r>
        <w:rPr>
          <w:rFonts w:hint="eastAsia" w:ascii="宋体" w:hAnsi="宋体" w:eastAsia="宋体" w:cs="宋体"/>
          <w:color w:val="auto"/>
          <w:spacing w:val="-5"/>
          <w:sz w:val="24"/>
          <w:szCs w:val="24"/>
          <w:highlight w:val="none"/>
          <w:lang w:val="en-US" w:eastAsia="zh-CN" w:bidi="zh-CN"/>
        </w:rPr>
        <w:t>项目团队负责人、</w:t>
      </w:r>
      <w:r>
        <w:rPr>
          <w:rFonts w:hint="eastAsia" w:ascii="宋体" w:hAnsi="宋体" w:eastAsia="宋体" w:cs="宋体"/>
          <w:color w:val="auto"/>
          <w:spacing w:val="-5"/>
          <w:sz w:val="24"/>
          <w:szCs w:val="24"/>
          <w:highlight w:val="none"/>
          <w:lang w:eastAsia="zh-CN" w:bidi="zh-CN"/>
        </w:rPr>
        <w:t>后台支撑组、现场服务组、专家团队等，项目团队总人数不少于10人。其中须安排不少于5人专职负责项目实施推进</w:t>
      </w:r>
      <w:r>
        <w:rPr>
          <w:rFonts w:hint="eastAsia" w:cs="宋体"/>
          <w:color w:val="FF0000"/>
          <w:spacing w:val="-5"/>
          <w:sz w:val="24"/>
          <w:szCs w:val="24"/>
          <w:highlight w:val="none"/>
          <w:lang w:eastAsia="zh-CN" w:bidi="zh-CN"/>
        </w:rPr>
        <w:t>（</w:t>
      </w:r>
      <w:r>
        <w:rPr>
          <w:rFonts w:hint="eastAsia" w:cs="宋体"/>
          <w:color w:val="FF0000"/>
          <w:spacing w:val="-5"/>
          <w:sz w:val="24"/>
          <w:szCs w:val="24"/>
          <w:highlight w:val="none"/>
          <w:lang w:val="en-US" w:eastAsia="zh-CN" w:bidi="zh-CN"/>
        </w:rPr>
        <w:t>指采购需求2.7中人员</w:t>
      </w:r>
      <w:r>
        <w:rPr>
          <w:rFonts w:hint="eastAsia" w:cs="宋体"/>
          <w:color w:val="FF0000"/>
          <w:spacing w:val="-5"/>
          <w:sz w:val="24"/>
          <w:szCs w:val="24"/>
          <w:highlight w:val="none"/>
          <w:lang w:eastAsia="zh-CN" w:bidi="zh-CN"/>
        </w:rPr>
        <w:t>）</w:t>
      </w:r>
      <w:r>
        <w:rPr>
          <w:rFonts w:hint="eastAsia" w:ascii="宋体" w:hAnsi="宋体" w:eastAsia="宋体" w:cs="宋体"/>
          <w:color w:val="auto"/>
          <w:spacing w:val="-5"/>
          <w:sz w:val="24"/>
          <w:szCs w:val="24"/>
          <w:highlight w:val="none"/>
          <w:lang w:eastAsia="zh-CN" w:bidi="zh-CN"/>
        </w:rPr>
        <w:t>，保障项目顺利开展，具体包括：现场服务团队负责人1名，须具备2年及以上同类项目服务管理经验；数据分析师2名，其中至少1名具备良好的数据分析、报告编制能力；现场巡查人员2名，须具备1年及以上同类项目服务经验。</w:t>
      </w:r>
    </w:p>
    <w:p w14:paraId="77787705">
      <w:pPr>
        <w:pStyle w:val="10"/>
        <w:keepNext w:val="0"/>
        <w:keepLines w:val="0"/>
        <w:pageBreakBefore w:val="0"/>
        <w:wordWrap/>
        <w:overflowPunct/>
        <w:topLinePunct w:val="0"/>
        <w:bidi w:val="0"/>
        <w:spacing w:line="460" w:lineRule="exact"/>
        <w:ind w:firstLine="480"/>
        <w:jc w:val="both"/>
        <w:rPr>
          <w:rFonts w:hint="eastAsia" w:ascii="宋体" w:hAnsi="宋体" w:eastAsia="宋体" w:cs="宋体"/>
          <w:color w:val="auto"/>
          <w:spacing w:val="-5"/>
          <w:sz w:val="24"/>
          <w:szCs w:val="24"/>
          <w:highlight w:val="none"/>
          <w:lang w:eastAsia="zh-CN" w:bidi="zh-CN"/>
        </w:rPr>
      </w:pPr>
      <w:r>
        <w:rPr>
          <w:rFonts w:hint="eastAsia" w:cs="宋体"/>
          <w:color w:val="auto"/>
          <w:spacing w:val="-5"/>
          <w:sz w:val="24"/>
          <w:szCs w:val="24"/>
          <w:highlight w:val="none"/>
          <w:lang w:val="en-US" w:eastAsia="zh-CN" w:bidi="zh-CN"/>
        </w:rPr>
        <w:t>3.2</w:t>
      </w:r>
      <w:r>
        <w:rPr>
          <w:rFonts w:hint="eastAsia" w:ascii="宋体" w:hAnsi="宋体" w:eastAsia="宋体" w:cs="宋体"/>
          <w:color w:val="auto"/>
          <w:spacing w:val="-5"/>
          <w:sz w:val="24"/>
          <w:szCs w:val="24"/>
          <w:highlight w:val="none"/>
          <w:lang w:eastAsia="zh-CN" w:bidi="zh-CN"/>
        </w:rPr>
        <w:t>中标人安排的技术服务人员应具备独立提供专业技术服务的能力，并配备满足技术服务需求的远程技术支撑团队、专家支持团队。</w:t>
      </w:r>
    </w:p>
    <w:p w14:paraId="214D07DA">
      <w:pPr>
        <w:pStyle w:val="10"/>
        <w:keepNext w:val="0"/>
        <w:keepLines w:val="0"/>
        <w:pageBreakBefore w:val="0"/>
        <w:wordWrap/>
        <w:overflowPunct/>
        <w:topLinePunct w:val="0"/>
        <w:bidi w:val="0"/>
        <w:spacing w:line="460" w:lineRule="exact"/>
        <w:ind w:firstLine="480"/>
        <w:jc w:val="both"/>
        <w:rPr>
          <w:rFonts w:hint="eastAsia" w:ascii="宋体" w:hAnsi="宋体" w:eastAsia="宋体" w:cs="宋体"/>
          <w:color w:val="auto"/>
          <w:spacing w:val="-5"/>
          <w:sz w:val="24"/>
          <w:szCs w:val="24"/>
          <w:highlight w:val="none"/>
          <w:lang w:eastAsia="zh-CN" w:bidi="zh-CN"/>
        </w:rPr>
      </w:pPr>
      <w:r>
        <w:rPr>
          <w:rFonts w:hint="eastAsia" w:cs="宋体"/>
          <w:color w:val="auto"/>
          <w:spacing w:val="-5"/>
          <w:sz w:val="24"/>
          <w:szCs w:val="24"/>
          <w:highlight w:val="none"/>
          <w:lang w:val="en-US" w:eastAsia="zh-CN" w:bidi="zh-CN"/>
        </w:rPr>
        <w:t>3.3</w:t>
      </w:r>
      <w:r>
        <w:rPr>
          <w:rFonts w:hint="eastAsia" w:ascii="宋体" w:hAnsi="宋体" w:eastAsia="宋体" w:cs="宋体"/>
          <w:color w:val="auto"/>
          <w:spacing w:val="-5"/>
          <w:sz w:val="24"/>
          <w:szCs w:val="24"/>
          <w:highlight w:val="none"/>
          <w:lang w:eastAsia="zh-CN" w:bidi="zh-CN"/>
        </w:rPr>
        <w:t>中标人安排的技术服务人员，非经采购人同意不得随意更换；服务期间若出现工作态度消极、服务质量不达标等问题，采购人有权要求中标人立即更换，更换人员须满足相应岗位要求，并在20个日历天内到岗履职。</w:t>
      </w:r>
    </w:p>
    <w:p w14:paraId="7AD7A08F">
      <w:pPr>
        <w:pStyle w:val="10"/>
        <w:keepNext w:val="0"/>
        <w:keepLines w:val="0"/>
        <w:pageBreakBefore w:val="0"/>
        <w:wordWrap/>
        <w:overflowPunct/>
        <w:topLinePunct w:val="0"/>
        <w:bidi w:val="0"/>
        <w:spacing w:line="460" w:lineRule="exact"/>
        <w:rPr>
          <w:rFonts w:hint="eastAsia" w:ascii="宋体" w:hAnsi="宋体" w:eastAsia="宋体" w:cs="宋体"/>
          <w:color w:val="auto"/>
          <w:spacing w:val="-5"/>
          <w:sz w:val="24"/>
          <w:szCs w:val="24"/>
          <w:highlight w:val="none"/>
          <w:lang w:eastAsia="zh-CN" w:bidi="zh-CN"/>
        </w:rPr>
      </w:pPr>
      <w:r>
        <w:rPr>
          <w:rFonts w:hint="eastAsia" w:cs="宋体"/>
          <w:color w:val="auto"/>
          <w:spacing w:val="-5"/>
          <w:sz w:val="24"/>
          <w:szCs w:val="24"/>
          <w:highlight w:val="none"/>
          <w:lang w:val="en-US" w:eastAsia="zh-CN" w:bidi="zh-CN"/>
        </w:rPr>
        <w:t>3.4</w:t>
      </w:r>
      <w:r>
        <w:rPr>
          <w:rFonts w:hint="eastAsia" w:ascii="宋体" w:hAnsi="宋体" w:eastAsia="宋体" w:cs="宋体"/>
          <w:color w:val="auto"/>
          <w:spacing w:val="-5"/>
          <w:sz w:val="24"/>
          <w:szCs w:val="24"/>
          <w:highlight w:val="none"/>
          <w:lang w:eastAsia="zh-CN" w:bidi="zh-CN"/>
        </w:rPr>
        <w:t>中标人在服务期内须为项目专职技术服务人员提供完成工作所必需的工作环境及相关保障条件。</w:t>
      </w:r>
    </w:p>
    <w:p w14:paraId="6E38DB81">
      <w:pPr>
        <w:pStyle w:val="4"/>
        <w:keepNext w:val="0"/>
        <w:keepLines w:val="0"/>
        <w:pageBreakBefore w:val="0"/>
        <w:wordWrap/>
        <w:overflowPunct/>
        <w:topLinePunct w:val="0"/>
        <w:bidi w:val="0"/>
        <w:spacing w:line="460" w:lineRule="exact"/>
        <w:ind w:firstLine="482" w:firstLineChars="200"/>
        <w:rPr>
          <w:rFonts w:hint="eastAsia" w:ascii="宋体" w:hAnsi="宋体" w:eastAsia="宋体" w:cs="宋体"/>
          <w:b/>
          <w:color w:val="auto"/>
          <w:kern w:val="2"/>
          <w:sz w:val="24"/>
          <w:szCs w:val="24"/>
          <w:highlight w:val="none"/>
        </w:rPr>
      </w:pPr>
      <w:r>
        <w:rPr>
          <w:rFonts w:hint="eastAsia" w:ascii="宋体" w:hAnsi="宋体" w:eastAsia="宋体" w:cs="宋体"/>
          <w:b/>
          <w:color w:val="auto"/>
          <w:kern w:val="2"/>
          <w:sz w:val="24"/>
          <w:szCs w:val="24"/>
          <w:highlight w:val="none"/>
          <w:lang w:val="en-US" w:eastAsia="zh-CN"/>
        </w:rPr>
        <w:t>4、</w:t>
      </w:r>
      <w:r>
        <w:rPr>
          <w:rFonts w:hint="eastAsia" w:ascii="宋体" w:hAnsi="宋体" w:eastAsia="宋体" w:cs="宋体"/>
          <w:b/>
          <w:color w:val="auto"/>
          <w:kern w:val="2"/>
          <w:sz w:val="24"/>
          <w:szCs w:val="24"/>
          <w:highlight w:val="none"/>
        </w:rPr>
        <w:t>服务范围</w:t>
      </w:r>
    </w:p>
    <w:p w14:paraId="593DA8C8">
      <w:pPr>
        <w:keepNext w:val="0"/>
        <w:keepLines w:val="0"/>
        <w:pageBreakBefore w:val="0"/>
        <w:kinsoku/>
        <w:wordWrap/>
        <w:overflowPunct/>
        <w:topLinePunct w:val="0"/>
        <w:bidi w:val="0"/>
        <w:spacing w:line="460" w:lineRule="exact"/>
        <w:ind w:firstLine="480" w:firstLineChars="20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重点服务区域为赣江新区</w:t>
      </w:r>
      <w:r>
        <w:rPr>
          <w:rFonts w:hint="eastAsia" w:ascii="宋体" w:hAnsi="宋体" w:eastAsia="宋体" w:cs="宋体"/>
          <w:bCs/>
          <w:color w:val="auto"/>
          <w:sz w:val="24"/>
          <w:szCs w:val="24"/>
          <w:highlight w:val="none"/>
          <w:lang w:val="en-US" w:eastAsia="zh-CN"/>
        </w:rPr>
        <w:t>直管区</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监测服务</w:t>
      </w:r>
      <w:r>
        <w:rPr>
          <w:rFonts w:hint="eastAsia" w:ascii="宋体" w:hAnsi="宋体" w:eastAsia="宋体" w:cs="宋体"/>
          <w:bCs/>
          <w:color w:val="auto"/>
          <w:sz w:val="24"/>
          <w:szCs w:val="24"/>
          <w:highlight w:val="none"/>
        </w:rPr>
        <w:t>兼顾中医药科创城及儒乐湖片区</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空气质量数据</w:t>
      </w:r>
      <w:r>
        <w:rPr>
          <w:rFonts w:hint="eastAsia" w:ascii="宋体" w:hAnsi="宋体" w:eastAsia="宋体" w:cs="宋体"/>
          <w:bCs/>
          <w:color w:val="auto"/>
          <w:sz w:val="24"/>
          <w:szCs w:val="24"/>
          <w:highlight w:val="none"/>
          <w:lang w:val="en-US" w:eastAsia="zh-CN"/>
        </w:rPr>
        <w:t>收集</w:t>
      </w:r>
      <w:r>
        <w:rPr>
          <w:rFonts w:hint="eastAsia" w:ascii="宋体" w:hAnsi="宋体" w:eastAsia="宋体" w:cs="宋体"/>
          <w:bCs/>
          <w:color w:val="auto"/>
          <w:sz w:val="24"/>
          <w:szCs w:val="24"/>
          <w:highlight w:val="none"/>
        </w:rPr>
        <w:t>及分析</w:t>
      </w:r>
      <w:r>
        <w:rPr>
          <w:rFonts w:hint="eastAsia" w:ascii="宋体" w:hAnsi="宋体" w:eastAsia="宋体" w:cs="宋体"/>
          <w:bCs/>
          <w:color w:val="auto"/>
          <w:sz w:val="24"/>
          <w:szCs w:val="24"/>
          <w:highlight w:val="none"/>
          <w:lang w:val="en-US" w:eastAsia="zh-CN"/>
        </w:rPr>
        <w:t>主要</w:t>
      </w:r>
      <w:r>
        <w:rPr>
          <w:rFonts w:hint="eastAsia" w:ascii="宋体" w:hAnsi="宋体" w:eastAsia="宋体" w:cs="宋体"/>
          <w:bCs/>
          <w:color w:val="auto"/>
          <w:sz w:val="24"/>
          <w:szCs w:val="24"/>
          <w:highlight w:val="none"/>
        </w:rPr>
        <w:t>包括赣江新区</w:t>
      </w:r>
      <w:r>
        <w:rPr>
          <w:rFonts w:hint="eastAsia" w:ascii="宋体" w:hAnsi="宋体" w:eastAsia="宋体" w:cs="宋体"/>
          <w:bCs/>
          <w:color w:val="auto"/>
          <w:sz w:val="24"/>
          <w:szCs w:val="24"/>
          <w:highlight w:val="none"/>
          <w:lang w:val="en-US" w:eastAsia="zh-CN"/>
        </w:rPr>
        <w:t>直管区及下辖组团</w:t>
      </w:r>
      <w:r>
        <w:rPr>
          <w:rFonts w:hint="eastAsia" w:ascii="宋体" w:hAnsi="宋体" w:eastAsia="宋体" w:cs="宋体"/>
          <w:bCs/>
          <w:color w:val="auto"/>
          <w:sz w:val="24"/>
          <w:szCs w:val="24"/>
          <w:highlight w:val="none"/>
        </w:rPr>
        <w:t>。</w:t>
      </w:r>
    </w:p>
    <w:p w14:paraId="5503FB76">
      <w:pPr>
        <w:kinsoku/>
        <w:spacing w:line="460" w:lineRule="exact"/>
        <w:rPr>
          <w:rFonts w:hint="eastAsia" w:ascii="宋体" w:hAnsi="宋体" w:eastAsia="宋体" w:cs="宋体"/>
          <w:bCs/>
          <w:color w:val="auto"/>
          <w:sz w:val="24"/>
          <w:szCs w:val="24"/>
          <w:highlight w:val="none"/>
        </w:rPr>
      </w:pPr>
    </w:p>
    <w:p w14:paraId="7D2E6394">
      <w:r>
        <w:rPr>
          <w:rFonts w:hint="eastAsia" w:ascii="宋体" w:hAnsi="宋体" w:eastAsia="宋体" w:cs="宋体"/>
          <w:b/>
          <w:bCs/>
          <w:spacing w:val="2"/>
          <w:sz w:val="24"/>
          <w:szCs w:val="24"/>
          <w:lang w:eastAsia="zh-CN"/>
        </w:rPr>
        <w:t>注：以上“技术要求”为实质性条款须完全响应，否则投标无效。</w:t>
      </w:r>
      <w:bookmarkStart w:id="21" w:name="_GoBack"/>
      <w:bookmarkEnd w:id="2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AF677C"/>
    <w:rsid w:val="51AF67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spacing w:line="500" w:lineRule="exact"/>
      <w:jc w:val="center"/>
      <w:outlineLvl w:val="0"/>
    </w:pPr>
    <w:rPr>
      <w:rFonts w:ascii="Times New Roman" w:hAnsi="Times New Roman" w:eastAsia="宋体" w:cs="Times New Roman"/>
      <w:b/>
      <w:bCs/>
      <w:kern w:val="44"/>
      <w:sz w:val="28"/>
      <w:szCs w:val="24"/>
    </w:rPr>
  </w:style>
  <w:style w:type="paragraph" w:styleId="3">
    <w:name w:val="heading 2"/>
    <w:basedOn w:val="1"/>
    <w:next w:val="1"/>
    <w:qFormat/>
    <w:uiPriority w:val="0"/>
    <w:pPr>
      <w:keepNext/>
      <w:keepLines/>
      <w:kinsoku/>
      <w:spacing w:line="460" w:lineRule="exact"/>
      <w:outlineLvl w:val="1"/>
    </w:pPr>
    <w:rPr>
      <w:rFonts w:ascii="宋体" w:hAnsi="宋体" w:eastAsia="宋体"/>
      <w:b/>
      <w:bCs/>
      <w:sz w:val="24"/>
      <w:szCs w:val="32"/>
    </w:rPr>
  </w:style>
  <w:style w:type="character" w:default="1" w:styleId="8">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pPr>
    <w:rPr>
      <w:kern w:val="0"/>
      <w:sz w:val="20"/>
      <w:szCs w:val="20"/>
    </w:rPr>
  </w:style>
  <w:style w:type="paragraph" w:styleId="5">
    <w:name w:val="Body Text 2"/>
    <w:basedOn w:val="1"/>
    <w:next w:val="1"/>
    <w:qFormat/>
    <w:uiPriority w:val="0"/>
    <w:pPr>
      <w:autoSpaceDE w:val="0"/>
      <w:autoSpaceDN w:val="0"/>
      <w:adjustRightInd w:val="0"/>
    </w:pPr>
    <w:rPr>
      <w:rFonts w:ascii="宋体"/>
      <w:kern w:val="0"/>
      <w:sz w:val="28"/>
      <w:szCs w:val="20"/>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正文格式"/>
    <w:qFormat/>
    <w:uiPriority w:val="0"/>
    <w:pPr>
      <w:spacing w:beforeLines="50" w:afterLines="50" w:line="360" w:lineRule="auto"/>
      <w:ind w:firstLine="480" w:firstLineChars="200"/>
    </w:pPr>
    <w:rPr>
      <w:rFonts w:ascii="Times New Roman" w:hAnsi="Times New Roman" w:eastAsia="宋体" w:cs="Times New Roman"/>
      <w:kern w:val="2"/>
      <w:sz w:val="24"/>
      <w:szCs w:val="22"/>
      <w:lang w:val="en-US" w:eastAsia="zh-CN" w:bidi="ar-SA"/>
    </w:rPr>
  </w:style>
  <w:style w:type="paragraph" w:styleId="10">
    <w:name w:val="List Paragraph"/>
    <w:basedOn w:val="1"/>
    <w:qFormat/>
    <w:uiPriority w:val="34"/>
    <w:pPr>
      <w:widowControl/>
      <w:ind w:firstLine="420" w:firstLineChars="2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2026-06-02T09:15:00Z</dcterms:created>
  <dc:creator>包泽宁</dc:creator>
  <cp:lastModifiedBy>包泽宁</cp:lastModifiedBy>
  <dcterms:modified xsi:type="dcterms:W3CDTF">2026-06-02T09:15:06Z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11B4D61C4D70481495A5CEB3DA7F2AC3_11</vt:lpwstr>
  </property>
  <property fmtid="{D5CDD505-2E9C-101B-9397-08002B2CF9AE}" pid="4" name="KSOTemplateDocerSaveRecord">
    <vt:lpwstr>eyJoZGlkIjoiYzZlNTk0ZGE0NTJlNTIyMjhmNWIzMDM4NWQ1MmNkNjgiLCJ1c2VySWQiOiIyODQ3NjAxNjYifQ==</vt:lpwstr>
  </property>
</Properties>
</file>