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0BC0FF">
      <w:pPr>
        <w:widowControl w:val="0"/>
        <w:spacing w:before="63" w:line="224" w:lineRule="auto"/>
        <w:jc w:val="center"/>
        <w:outlineLvl w:val="0"/>
        <w:rPr>
          <w:rFonts w:ascii="宋体" w:hAnsi="宋体" w:eastAsia="宋体" w:cs="宋体"/>
          <w:b/>
          <w:bCs/>
          <w:color w:val="auto"/>
          <w:sz w:val="31"/>
          <w:szCs w:val="31"/>
          <w:highlight w:val="none"/>
          <w:lang w:eastAsia="zh-CN"/>
        </w:rPr>
      </w:pPr>
      <w:r>
        <w:rPr>
          <w:rFonts w:ascii="宋体" w:hAnsi="宋体" w:eastAsia="宋体" w:cs="宋体"/>
          <w:b/>
          <w:bCs/>
          <w:color w:val="auto"/>
          <w:spacing w:val="9"/>
          <w:sz w:val="31"/>
          <w:szCs w:val="31"/>
          <w:highlight w:val="none"/>
          <w:lang w:eastAsia="zh-CN"/>
        </w:rPr>
        <w:t>采购需求</w:t>
      </w:r>
    </w:p>
    <w:p w14:paraId="5F5604EE">
      <w:pPr>
        <w:widowControl w:val="0"/>
        <w:spacing w:line="309" w:lineRule="auto"/>
        <w:jc w:val="center"/>
        <w:rPr>
          <w:color w:val="auto"/>
          <w:highlight w:val="none"/>
          <w:lang w:eastAsia="zh-CN"/>
        </w:rPr>
      </w:pPr>
    </w:p>
    <w:p w14:paraId="12DA3B99">
      <w:pPr>
        <w:widowControl w:val="0"/>
        <w:spacing w:before="78" w:line="219" w:lineRule="auto"/>
        <w:outlineLvl w:val="1"/>
        <w:rPr>
          <w:rFonts w:hint="eastAsia" w:ascii="宋体" w:hAnsi="宋体" w:eastAsia="宋体" w:cs="宋体"/>
          <w:color w:val="auto"/>
          <w:highlight w:val="none"/>
        </w:rPr>
      </w:pPr>
      <w:bookmarkStart w:id="0" w:name="_Toc874"/>
      <w:r>
        <w:rPr>
          <w:rFonts w:hint="eastAsia" w:ascii="宋体" w:hAnsi="宋体" w:eastAsia="宋体" w:cs="宋体"/>
          <w:b/>
          <w:bCs/>
          <w:color w:val="auto"/>
          <w:spacing w:val="-5"/>
          <w:sz w:val="24"/>
          <w:szCs w:val="24"/>
          <w:highlight w:val="none"/>
          <w:lang w:eastAsia="zh-CN"/>
        </w:rPr>
        <w:t>一、服务要求</w:t>
      </w:r>
      <w:bookmarkEnd w:id="0"/>
    </w:p>
    <w:tbl>
      <w:tblPr>
        <w:tblStyle w:val="3"/>
        <w:tblW w:w="919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8"/>
        <w:gridCol w:w="6379"/>
        <w:gridCol w:w="1396"/>
      </w:tblGrid>
      <w:tr w14:paraId="321CE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1418" w:type="dxa"/>
            <w:noWrap/>
            <w:vAlign w:val="center"/>
          </w:tcPr>
          <w:p w14:paraId="1173AB4A">
            <w:pPr>
              <w:keepNext w:val="0"/>
              <w:keepLines w:val="0"/>
              <w:pageBreakBefore w:val="0"/>
              <w:widowControl/>
              <w:kinsoku w:val="0"/>
              <w:wordWrap/>
              <w:overflowPunct/>
              <w:topLinePunct w:val="0"/>
              <w:autoSpaceDE w:val="0"/>
              <w:autoSpaceDN w:val="0"/>
              <w:bidi w:val="0"/>
              <w:adjustRightInd w:val="0"/>
              <w:snapToGrid w:val="0"/>
              <w:spacing w:line="480" w:lineRule="exact"/>
              <w:jc w:val="center"/>
              <w:textAlignment w:val="baseline"/>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lang w:eastAsia="zh-CN"/>
              </w:rPr>
              <w:t>服务</w:t>
            </w:r>
            <w:r>
              <w:rPr>
                <w:rFonts w:hint="eastAsia" w:ascii="宋体" w:hAnsi="宋体" w:eastAsia="宋体" w:cs="宋体"/>
                <w:b/>
                <w:bCs/>
                <w:color w:val="000000"/>
                <w:kern w:val="0"/>
                <w:sz w:val="24"/>
                <w:szCs w:val="24"/>
              </w:rPr>
              <w:t>名称</w:t>
            </w:r>
          </w:p>
        </w:tc>
        <w:tc>
          <w:tcPr>
            <w:tcW w:w="6379" w:type="dxa"/>
            <w:noWrap/>
            <w:vAlign w:val="center"/>
          </w:tcPr>
          <w:p w14:paraId="7D681830">
            <w:pPr>
              <w:keepNext w:val="0"/>
              <w:keepLines w:val="0"/>
              <w:pageBreakBefore w:val="0"/>
              <w:widowControl/>
              <w:kinsoku w:val="0"/>
              <w:wordWrap/>
              <w:overflowPunct/>
              <w:topLinePunct w:val="0"/>
              <w:autoSpaceDE w:val="0"/>
              <w:autoSpaceDN w:val="0"/>
              <w:bidi w:val="0"/>
              <w:adjustRightInd w:val="0"/>
              <w:snapToGrid w:val="0"/>
              <w:spacing w:line="480" w:lineRule="exact"/>
              <w:jc w:val="center"/>
              <w:textAlignment w:val="baseline"/>
              <w:rPr>
                <w:rFonts w:hint="eastAsia" w:ascii="宋体" w:hAnsi="宋体" w:eastAsia="宋体" w:cs="宋体"/>
                <w:b/>
                <w:bCs/>
                <w:color w:val="000000"/>
                <w:kern w:val="0"/>
                <w:sz w:val="24"/>
                <w:szCs w:val="24"/>
              </w:rPr>
            </w:pPr>
            <w:r>
              <w:rPr>
                <w:rFonts w:hint="eastAsia" w:ascii="宋体" w:hAnsi="宋体" w:eastAsia="宋体" w:cs="宋体"/>
                <w:b/>
                <w:bCs/>
                <w:color w:val="000000"/>
                <w:sz w:val="24"/>
                <w:szCs w:val="24"/>
              </w:rPr>
              <w:t>技术要求</w:t>
            </w:r>
          </w:p>
        </w:tc>
        <w:tc>
          <w:tcPr>
            <w:tcW w:w="1396" w:type="dxa"/>
            <w:noWrap/>
            <w:vAlign w:val="center"/>
          </w:tcPr>
          <w:p w14:paraId="206D6F7F">
            <w:pPr>
              <w:keepNext w:val="0"/>
              <w:keepLines w:val="0"/>
              <w:pageBreakBefore w:val="0"/>
              <w:widowControl/>
              <w:kinsoku w:val="0"/>
              <w:wordWrap/>
              <w:overflowPunct/>
              <w:topLinePunct w:val="0"/>
              <w:autoSpaceDE w:val="0"/>
              <w:autoSpaceDN w:val="0"/>
              <w:bidi w:val="0"/>
              <w:adjustRightInd w:val="0"/>
              <w:snapToGrid w:val="0"/>
              <w:spacing w:line="480" w:lineRule="exact"/>
              <w:jc w:val="center"/>
              <w:textAlignment w:val="baseline"/>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数量</w:t>
            </w:r>
          </w:p>
          <w:p w14:paraId="2BD85CAF">
            <w:pPr>
              <w:keepNext w:val="0"/>
              <w:keepLines w:val="0"/>
              <w:pageBreakBefore w:val="0"/>
              <w:widowControl/>
              <w:kinsoku w:val="0"/>
              <w:wordWrap/>
              <w:overflowPunct/>
              <w:topLinePunct w:val="0"/>
              <w:autoSpaceDE w:val="0"/>
              <w:autoSpaceDN w:val="0"/>
              <w:bidi w:val="0"/>
              <w:adjustRightInd w:val="0"/>
              <w:snapToGrid w:val="0"/>
              <w:spacing w:line="480" w:lineRule="exact"/>
              <w:jc w:val="center"/>
              <w:textAlignment w:val="baseline"/>
              <w:rPr>
                <w:rFonts w:hint="eastAsia" w:ascii="宋体" w:hAnsi="宋体" w:eastAsia="宋体" w:cs="宋体"/>
                <w:b/>
                <w:bCs/>
                <w:color w:val="000000"/>
                <w:kern w:val="0"/>
                <w:sz w:val="24"/>
                <w:szCs w:val="24"/>
                <w:lang w:eastAsia="zh-CN"/>
              </w:rPr>
            </w:pPr>
            <w:r>
              <w:rPr>
                <w:rFonts w:hint="eastAsia" w:ascii="宋体" w:hAnsi="宋体" w:eastAsia="宋体" w:cs="宋体"/>
                <w:b/>
                <w:bCs/>
                <w:color w:val="000000"/>
                <w:kern w:val="0"/>
                <w:sz w:val="24"/>
                <w:szCs w:val="24"/>
                <w:lang w:eastAsia="zh-CN"/>
              </w:rPr>
              <w:t>（单位）</w:t>
            </w:r>
          </w:p>
        </w:tc>
      </w:tr>
      <w:tr w14:paraId="6C2A8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2" w:hRule="atLeast"/>
          <w:jc w:val="center"/>
        </w:trPr>
        <w:tc>
          <w:tcPr>
            <w:tcW w:w="1418" w:type="dxa"/>
            <w:noWrap/>
            <w:vAlign w:val="center"/>
          </w:tcPr>
          <w:p w14:paraId="3BADD0C9">
            <w:pPr>
              <w:keepNext w:val="0"/>
              <w:keepLines w:val="0"/>
              <w:pageBreakBefore w:val="0"/>
              <w:widowControl/>
              <w:kinsoku w:val="0"/>
              <w:wordWrap/>
              <w:overflowPunct/>
              <w:topLinePunct w:val="0"/>
              <w:autoSpaceDE w:val="0"/>
              <w:autoSpaceDN w:val="0"/>
              <w:bidi w:val="0"/>
              <w:adjustRightInd w:val="0"/>
              <w:snapToGrid w:val="0"/>
              <w:spacing w:line="480" w:lineRule="exact"/>
              <w:jc w:val="center"/>
              <w:textAlignment w:val="baseline"/>
              <w:rPr>
                <w:rFonts w:hint="eastAsia" w:ascii="宋体" w:hAnsi="宋体" w:eastAsia="宋体" w:cs="宋体"/>
                <w:b/>
                <w:color w:val="000000"/>
                <w:kern w:val="0"/>
                <w:sz w:val="24"/>
                <w:szCs w:val="24"/>
              </w:rPr>
            </w:pPr>
            <w:r>
              <w:rPr>
                <w:rFonts w:hint="eastAsia" w:ascii="宋体" w:hAnsi="宋体" w:eastAsia="宋体" w:cs="宋体"/>
                <w:b/>
                <w:color w:val="000000"/>
                <w:kern w:val="0"/>
                <w:sz w:val="24"/>
                <w:szCs w:val="24"/>
                <w:lang w:val="en-US" w:eastAsia="zh-CN"/>
              </w:rPr>
              <w:t>互联网专线（900M）</w:t>
            </w:r>
          </w:p>
        </w:tc>
        <w:tc>
          <w:tcPr>
            <w:tcW w:w="6379" w:type="dxa"/>
            <w:noWrap/>
            <w:vAlign w:val="top"/>
          </w:tcPr>
          <w:p w14:paraId="49A4A239">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1.总体要求：提供一条稳定、安全、方便管理和扩展的链路；</w:t>
            </w:r>
          </w:p>
          <w:p w14:paraId="2F2AABF1">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具体要求如下：带宽要求：不低于900M互联网出口专线。</w:t>
            </w:r>
          </w:p>
          <w:p w14:paraId="74FFE203">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1）在不改动校方现有网络环境前提下，提供一条江西中医药大学湾里校区的出口专线</w:t>
            </w:r>
          </w:p>
          <w:p w14:paraId="6942D9B2">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2）为保证稳定性，该链路由校方设备连出后，应实现双物理链路到运营商机房；</w:t>
            </w:r>
          </w:p>
          <w:p w14:paraId="225B17D3">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b/>
                <w:bCs/>
                <w:kern w:val="2"/>
                <w:sz w:val="24"/>
                <w:szCs w:val="24"/>
                <w:lang w:val="en-US" w:eastAsia="zh-CN" w:bidi="ar-SA"/>
              </w:rPr>
            </w:pPr>
            <w:r>
              <w:rPr>
                <w:rFonts w:hint="eastAsia" w:ascii="宋体" w:hAnsi="宋体" w:eastAsia="宋体" w:cs="宋体"/>
                <w:kern w:val="2"/>
                <w:sz w:val="24"/>
                <w:szCs w:val="24"/>
                <w:lang w:val="en-US" w:eastAsia="zh-CN" w:bidi="ar-SA"/>
              </w:rPr>
              <w:t>3）服务提供商须提供网络拓扑图和服务方案</w:t>
            </w:r>
            <w:r>
              <w:rPr>
                <w:rFonts w:hint="eastAsia" w:ascii="宋体" w:hAnsi="宋体" w:eastAsia="宋体" w:cs="宋体"/>
                <w:b/>
                <w:bCs/>
                <w:kern w:val="2"/>
                <w:sz w:val="24"/>
                <w:szCs w:val="24"/>
                <w:lang w:val="en-US" w:eastAsia="zh-CN" w:bidi="ar-SA"/>
              </w:rPr>
              <w:t>（响应文件中提供满足需求的网络拓扑图和服务方案并加盖供应商公章佐证，未提供的视为无效响应）。</w:t>
            </w:r>
          </w:p>
          <w:p w14:paraId="75E5E166">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4）在湾里中心机房放置传送接入设备一套，网络设备支持100M/1000M/10000M等类端口接入能力，可满足不同层级的业务需求。</w:t>
            </w:r>
          </w:p>
          <w:p w14:paraId="7EAEACF2">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5）IPV4地址≥64个 ；IPV6地址≥一组子网前缀60位的IPV6地址；</w:t>
            </w:r>
          </w:p>
          <w:p w14:paraId="06AFC5EC">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2、网络服务需求</w:t>
            </w:r>
          </w:p>
          <w:p w14:paraId="09CADED6">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（一）服务内容及职责</w:t>
            </w:r>
          </w:p>
          <w:p w14:paraId="67F15459">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服务内容主要包括连接湾里校区电路及相关设备服务，保持网络正常运行。服务范围包括连接湾里的电路等网络节点构成元素，及安放相关设备的机柜、配线间等。</w:t>
            </w:r>
          </w:p>
          <w:p w14:paraId="129083FA">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1.电路线缆等相关设备的日常维护。</w:t>
            </w:r>
          </w:p>
          <w:p w14:paraId="0B1D061A">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2.负责新建设电路接入用户的投诉处理、上门装机及故障处理工作。</w:t>
            </w:r>
          </w:p>
          <w:p w14:paraId="5659D0F0">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3.负责新建设电路所有网络设备及线缆资源、用户网管资料的归档及更新。</w:t>
            </w:r>
          </w:p>
          <w:p w14:paraId="09315A73">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4.定期做好新建设电路网络及接口巡检。</w:t>
            </w:r>
          </w:p>
          <w:p w14:paraId="69DA7F5A">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5.配合完成新建设电路网络优化改造等工作，安排落实拨测工作。</w:t>
            </w:r>
          </w:p>
          <w:p w14:paraId="3CC8B189">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6.每年一次向校方汇报新建设电路运行整体情况，并根据学校网络和用户实际使用需求的变化及时优化网络保障服务，并要求提供一份详细的网络优化方案。</w:t>
            </w:r>
          </w:p>
          <w:p w14:paraId="658781EB">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（二）网络服务要求</w:t>
            </w:r>
          </w:p>
          <w:p w14:paraId="5E93CB5E">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供应商须严格按照设备维护规程和采购人技术要求进行电路服务工作，确保采购人连接两校区网络的安全、稳定运行，具体要求如下：</w:t>
            </w:r>
          </w:p>
          <w:p w14:paraId="6CEE7FDA">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供应商每年一次向江西中医药大学提交新建设电路网络运行分析报告（包括电路的可用情况、电路流量报告、当年故障清单、故障原因、故障发生时间和结束时间等），若网络运行状况良好，则不用提供新建设电路网络运行分析报告。</w:t>
            </w:r>
          </w:p>
          <w:p w14:paraId="1FE1752A">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供应商每年一次对提供的电路、设备等进行巡检，并将巡检结果以书面形式递交给江西中医药大学，若网络运行状况良好，则不用以书面形式递交。</w:t>
            </w:r>
          </w:p>
          <w:p w14:paraId="67F33E90">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在新建设电路网络运行期内，供应商负责该网络安全可靠运行，并提供及时的服务。并对一切与之有关的线路、设备及技术接口、技术服务等问题负全部责任。</w:t>
            </w:r>
          </w:p>
          <w:p w14:paraId="7A4C5454">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供应商将按照以下要求安排每个年度定期维修及检查：</w:t>
            </w:r>
          </w:p>
          <w:p w14:paraId="6C4EA77B">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对所有网络设备进行例行检查；</w:t>
            </w:r>
          </w:p>
          <w:p w14:paraId="52D18D41">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替换所有损坏的设备。</w:t>
            </w:r>
          </w:p>
          <w:p w14:paraId="1B1F1D75">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针对此条电路，供应商的相关技术知识、后勤资源、以及服务体系均每周7天、每天24小时开放---技术支持工程师必须竭尽全力地保证该网络电路的正常运行。</w:t>
            </w:r>
          </w:p>
          <w:p w14:paraId="395F58B2">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2.利用电子邮件、传真、手机、电话等方式，对采购人所反映的任何有关新建设电路网络运行问题在30分钟之内得到及时响应。为采购人提供每周7天、每天24小时的技术热线。</w:t>
            </w:r>
          </w:p>
          <w:p w14:paraId="70698367">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供应商在接到电话支持服务请求后，如果不能通过电话支持服务解决设备或产品发生的技术故障，供应商派技术支持工程师赴现场排除故障。</w:t>
            </w:r>
          </w:p>
          <w:p w14:paraId="4A02A108">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3.当客户端设备（如路由器、光猫等）发生单点故障影响客户电路时，应立即更换相应备件，再进行反复测试，直至网络运行正常。</w:t>
            </w:r>
          </w:p>
          <w:p w14:paraId="5E656E6F">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当因外线原因导致校方新建设电路故障时，供应商应立即启动如下应急预案：</w:t>
            </w:r>
          </w:p>
          <w:p w14:paraId="166515DF">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（1）在网络通信资源满足的情况下先将校方网络进行路由迂回恢复，可采用通过SDH环路保护方式将校方故障段落的电路迂回，经过测试直至正常，此修复过程应不超过2小时。</w:t>
            </w:r>
          </w:p>
          <w:p w14:paraId="303E580F">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（2）运用分段测试法，进行故障定位，查找故障原因，反复论证，直至测试正常，保留测试记录。</w:t>
            </w:r>
          </w:p>
          <w:p w14:paraId="1F8D3795">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（3）电路故障恢复后，进行备案，分析具体原因以防类似事件出现。</w:t>
            </w:r>
          </w:p>
          <w:p w14:paraId="2D69B880">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（4）供应商准备足够的备件，确保校方设备故障时能及时完成替换。</w:t>
            </w:r>
          </w:p>
          <w:p w14:paraId="0DEFFB3D">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（三）日常运维服务要求</w:t>
            </w:r>
          </w:p>
          <w:p w14:paraId="7877495A">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1、故障申报</w:t>
            </w:r>
          </w:p>
          <w:p w14:paraId="4C61B8FD">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严格执行网络电路故障汇报制度，遇到重大故障（如出现网络节点脱网），造成业务受影响时，供应商第一时间优先抢通重要电路。同时组织技术力量抢修故障，启动应急保障预案。</w:t>
            </w:r>
          </w:p>
          <w:p w14:paraId="59C741F1">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2、响应服务机制</w:t>
            </w:r>
          </w:p>
          <w:p w14:paraId="31195CEB">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 xml:space="preserve">供应商根据故障现象描述及询问进行故障判断、定位，并根据故障性质指导用户配合和局端处理解决，供应商电路负责人及时沟通和协调各相关部门作业，确保时限内恢复故障。                         </w:t>
            </w:r>
          </w:p>
          <w:p w14:paraId="2C0226B5">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 xml:space="preserve">3、故障的原因及处理 </w:t>
            </w:r>
          </w:p>
          <w:p w14:paraId="4F7C3417">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w:t>
            </w:r>
            <w:r>
              <w:rPr>
                <w:rFonts w:hint="eastAsia" w:ascii="宋体" w:hAnsi="宋体" w:eastAsia="宋体" w:cs="宋体"/>
                <w:kern w:val="2"/>
                <w:sz w:val="24"/>
                <w:szCs w:val="24"/>
                <w:lang w:val="en-US" w:eastAsia="zh-CN" w:bidi="ar-SA"/>
              </w:rPr>
              <w:tab/>
            </w:r>
            <w:r>
              <w:rPr>
                <w:rFonts w:hint="eastAsia" w:ascii="宋体" w:hAnsi="宋体" w:eastAsia="宋体" w:cs="宋体"/>
                <w:kern w:val="2"/>
                <w:sz w:val="24"/>
                <w:szCs w:val="24"/>
                <w:lang w:val="en-US" w:eastAsia="zh-CN" w:bidi="ar-SA"/>
              </w:rPr>
              <w:t>（1）采购人自身原因</w:t>
            </w:r>
          </w:p>
          <w:p w14:paraId="5F0D8516">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因采购人在新建设电路使用过程中操作不当造成设备告警，不影响采购人电路业务正常运行，技术维护人员将提供7ⅹ24小时远程电话技术支持或现场协助用户解决问题。</w:t>
            </w:r>
          </w:p>
          <w:p w14:paraId="52564A12">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w:t>
            </w:r>
            <w:r>
              <w:rPr>
                <w:rFonts w:hint="eastAsia" w:ascii="宋体" w:hAnsi="宋体" w:eastAsia="宋体" w:cs="宋体"/>
                <w:kern w:val="2"/>
                <w:sz w:val="24"/>
                <w:szCs w:val="24"/>
                <w:lang w:val="en-US" w:eastAsia="zh-CN" w:bidi="ar-SA"/>
              </w:rPr>
              <w:tab/>
            </w:r>
            <w:r>
              <w:rPr>
                <w:rFonts w:hint="eastAsia" w:ascii="宋体" w:hAnsi="宋体" w:eastAsia="宋体" w:cs="宋体"/>
                <w:kern w:val="2"/>
                <w:sz w:val="24"/>
                <w:szCs w:val="24"/>
                <w:lang w:val="en-US" w:eastAsia="zh-CN" w:bidi="ar-SA"/>
              </w:rPr>
              <w:t>（2）线路中断原因</w:t>
            </w:r>
          </w:p>
          <w:p w14:paraId="0BAEFE17">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定期对新建设电路使用的线路进行巡检。</w:t>
            </w:r>
          </w:p>
          <w:p w14:paraId="2914707C">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w:t>
            </w:r>
            <w:r>
              <w:rPr>
                <w:rFonts w:hint="eastAsia" w:ascii="宋体" w:hAnsi="宋体" w:eastAsia="宋体" w:cs="宋体"/>
                <w:kern w:val="2"/>
                <w:sz w:val="24"/>
                <w:szCs w:val="24"/>
                <w:lang w:val="en-US" w:eastAsia="zh-CN" w:bidi="ar-SA"/>
              </w:rPr>
              <w:tab/>
            </w:r>
            <w:r>
              <w:rPr>
                <w:rFonts w:hint="eastAsia" w:ascii="宋体" w:hAnsi="宋体" w:eastAsia="宋体" w:cs="宋体"/>
                <w:kern w:val="2"/>
                <w:sz w:val="24"/>
                <w:szCs w:val="24"/>
                <w:lang w:val="en-US" w:eastAsia="zh-CN" w:bidi="ar-SA"/>
              </w:rPr>
              <w:t>（3）设备原因</w:t>
            </w:r>
          </w:p>
          <w:p w14:paraId="79794CD9">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定期对相关设备运行情况进行巡检，同时保证备品备件充足。对相关设备问题引发的业务中断，供应商根据实际情况进行相关设备调试和更换备件。</w:t>
            </w:r>
          </w:p>
          <w:p w14:paraId="1E553BF4">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网络故障时限要求：7×24小时，采购人发现该条电路故障后通告供应商技术负责人处理。</w:t>
            </w:r>
          </w:p>
          <w:p w14:paraId="5701BAAA">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供应商接到故障通告后0.5小时内定位故障，对采购人使用的新建设网络线路故障恢复时间在1小时内处理，2小时之内抢修完成。（注：故障中断总时长不超时4小时。）</w:t>
            </w:r>
          </w:p>
          <w:p w14:paraId="6C79E7EB">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（四）管理制度要求</w:t>
            </w:r>
          </w:p>
          <w:p w14:paraId="04CD10BE">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供应商至少建立如下管理制度，以加强网络服务工作的落实和管理：</w:t>
            </w:r>
          </w:p>
          <w:p w14:paraId="6025CD91">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1.明确该条电路管理人员岗位职责。</w:t>
            </w:r>
          </w:p>
          <w:p w14:paraId="467587D8">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2.建立应急网络通信保障机制和安全生产责任制。</w:t>
            </w:r>
          </w:p>
          <w:p w14:paraId="22119C73">
            <w:pPr>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3.建立监督、检查、绩效考核等制度。</w:t>
            </w:r>
          </w:p>
          <w:p w14:paraId="096EBC19">
            <w:pPr>
              <w:pStyle w:val="2"/>
              <w:keepNext w:val="0"/>
              <w:keepLines w:val="0"/>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color w:val="000000"/>
                <w:sz w:val="24"/>
                <w:szCs w:val="24"/>
              </w:rPr>
            </w:pPr>
            <w:r>
              <w:rPr>
                <w:rFonts w:hint="eastAsia" w:ascii="宋体" w:hAnsi="宋体" w:eastAsia="宋体" w:cs="宋体"/>
                <w:kern w:val="2"/>
                <w:sz w:val="24"/>
                <w:szCs w:val="24"/>
                <w:lang w:val="en-US" w:eastAsia="zh-CN" w:bidi="ar-SA"/>
              </w:rPr>
              <w:t>4.制定各项管理工作的规范化工作流程，以及服务工作准则</w:t>
            </w:r>
            <w:r>
              <w:rPr>
                <w:rFonts w:hint="eastAsia" w:ascii="宋体" w:hAnsi="宋体" w:eastAsia="宋体" w:cs="宋体"/>
                <w:sz w:val="24"/>
                <w:szCs w:val="24"/>
                <w:lang w:eastAsia="zh-CN"/>
              </w:rPr>
              <w:t>。</w:t>
            </w:r>
            <w:r>
              <w:rPr>
                <w:rFonts w:hint="eastAsia" w:ascii="宋体" w:hAnsi="宋体" w:eastAsia="宋体" w:cs="宋体"/>
                <w:kern w:val="2"/>
                <w:sz w:val="24"/>
                <w:szCs w:val="24"/>
                <w:lang w:val="en-US" w:eastAsia="zh-CN" w:bidi="ar-SA"/>
              </w:rPr>
              <w:br w:type="textWrapping"/>
            </w:r>
            <w:r>
              <w:rPr>
                <w:rFonts w:hint="eastAsia" w:ascii="宋体" w:hAnsi="宋体" w:eastAsia="宋体" w:cs="宋体"/>
                <w:b/>
                <w:bCs/>
                <w:snapToGrid w:val="0"/>
                <w:color w:val="000000"/>
                <w:kern w:val="0"/>
                <w:sz w:val="24"/>
                <w:szCs w:val="24"/>
                <w:lang w:eastAsia="en-US"/>
              </w:rPr>
              <w:t>以上（四）</w:t>
            </w:r>
            <w:r>
              <w:rPr>
                <w:rFonts w:hint="eastAsia" w:ascii="宋体" w:hAnsi="宋体" w:eastAsia="宋体" w:cs="宋体"/>
                <w:b/>
                <w:bCs/>
                <w:snapToGrid w:val="0"/>
                <w:color w:val="000000"/>
                <w:kern w:val="0"/>
                <w:sz w:val="24"/>
                <w:szCs w:val="24"/>
                <w:lang w:val="en-US" w:eastAsia="zh-CN"/>
              </w:rPr>
              <w:t>1-4项</w:t>
            </w:r>
            <w:r>
              <w:rPr>
                <w:rFonts w:hint="eastAsia" w:ascii="宋体" w:hAnsi="宋体" w:eastAsia="宋体" w:cs="宋体"/>
                <w:b/>
                <w:bCs/>
                <w:snapToGrid w:val="0"/>
                <w:color w:val="000000"/>
                <w:kern w:val="0"/>
                <w:sz w:val="24"/>
                <w:szCs w:val="24"/>
                <w:lang w:eastAsia="en-US"/>
              </w:rPr>
              <w:t>管理制度供应商在成交后需向采购人提供纸质文档并加盖公章。</w:t>
            </w:r>
          </w:p>
        </w:tc>
        <w:tc>
          <w:tcPr>
            <w:tcW w:w="1396" w:type="dxa"/>
            <w:noWrap/>
            <w:vAlign w:val="center"/>
          </w:tcPr>
          <w:p w14:paraId="5BD9DF8A">
            <w:pPr>
              <w:pStyle w:val="5"/>
              <w:keepNext w:val="0"/>
              <w:keepLines w:val="0"/>
              <w:pageBreakBefore w:val="0"/>
              <w:widowControl/>
              <w:kinsoku w:val="0"/>
              <w:wordWrap/>
              <w:overflowPunct/>
              <w:topLinePunct w:val="0"/>
              <w:autoSpaceDE w:val="0"/>
              <w:autoSpaceDN w:val="0"/>
              <w:bidi w:val="0"/>
              <w:adjustRightInd w:val="0"/>
              <w:snapToGrid w:val="0"/>
              <w:spacing w:line="480" w:lineRule="exact"/>
              <w:ind w:firstLine="0" w:firstLineChars="0"/>
              <w:jc w:val="center"/>
              <w:textAlignment w:val="baseline"/>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1年</w:t>
            </w:r>
          </w:p>
        </w:tc>
      </w:tr>
    </w:tbl>
    <w:p w14:paraId="3A792E93">
      <w:pPr>
        <w:spacing w:line="400" w:lineRule="exact"/>
      </w:pPr>
      <w:r>
        <w:rPr>
          <w:rFonts w:hint="eastAsia" w:ascii="宋体" w:hAnsi="宋体" w:eastAsia="宋体" w:cs="宋体"/>
          <w:b/>
          <w:color w:val="auto"/>
          <w:spacing w:val="2"/>
          <w:kern w:val="0"/>
          <w:sz w:val="24"/>
          <w:highlight w:val="none"/>
        </w:rPr>
        <w:t>注：</w:t>
      </w:r>
      <w:r>
        <w:rPr>
          <w:rFonts w:hint="eastAsia" w:ascii="宋体" w:hAnsi="宋体" w:eastAsia="宋体" w:cs="宋体"/>
          <w:b/>
          <w:color w:val="auto"/>
          <w:sz w:val="24"/>
          <w:szCs w:val="24"/>
          <w:highlight w:val="none"/>
        </w:rPr>
        <w:t>以上</w:t>
      </w:r>
      <w:r>
        <w:rPr>
          <w:rFonts w:hint="eastAsia" w:ascii="宋体" w:hAnsi="宋体" w:eastAsia="宋体" w:cs="宋体"/>
          <w:b/>
          <w:color w:val="auto"/>
          <w:sz w:val="24"/>
          <w:szCs w:val="24"/>
          <w:highlight w:val="none"/>
          <w:lang w:eastAsia="zh-CN"/>
        </w:rPr>
        <w:t>所有的服务要求</w:t>
      </w:r>
      <w:r>
        <w:rPr>
          <w:rFonts w:hint="eastAsia" w:ascii="宋体" w:hAnsi="宋体" w:eastAsia="宋体" w:cs="宋体"/>
          <w:b/>
          <w:color w:val="auto"/>
          <w:sz w:val="24"/>
          <w:szCs w:val="24"/>
          <w:highlight w:val="none"/>
        </w:rPr>
        <w:t>为必须满足项，否则作无效响应处理。</w:t>
      </w:r>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PMingLiU">
    <w:panose1 w:val="02020500000000000000"/>
    <w:charset w:val="88"/>
    <w:family w:val="auto"/>
    <w:pitch w:val="default"/>
    <w:sig w:usb0="A00002FF" w:usb1="28CFFCFA" w:usb2="00000016" w:usb3="00000000" w:csb0="001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E035408"/>
    <w:rsid w:val="4E0354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annotation text"/>
    <w:basedOn w:val="1"/>
    <w:qFormat/>
    <w:uiPriority w:val="0"/>
  </w:style>
  <w:style w:type="paragraph" w:styleId="5">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2026-06-02T05:46:00Z</dcterms:created>
  <dc:creator>江西安澜李欢</dc:creator>
  <cp:lastModifiedBy>江西安澜李欢</cp:lastModifiedBy>
  <dcterms:modified xsi:type="dcterms:W3CDTF">2026-06-02T05:47:09Z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D1394EF4B952407EA1B1E1976C0DFDAF_11</vt:lpwstr>
  </property>
  <property fmtid="{D5CDD505-2E9C-101B-9397-08002B2CF9AE}" pid="4" name="KSOTemplateDocerSaveRecord">
    <vt:lpwstr>eyJoZGlkIjoiOWJhZWU4ZjE5MDc2NzRjZmFhM2EzNTgwYTZlMDBiNDgiLCJ1c2VySWQiOiI1NDQ4NjM5MjEifQ==</vt:lpwstr>
  </property>
</Properties>
</file>