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773943">
      <w:pPr>
        <w:spacing w:line="360" w:lineRule="auto"/>
        <w:jc w:val="center"/>
        <w:rPr>
          <w:rStyle w:val="7"/>
          <w:rFonts w:hint="eastAsia" w:hAnsi="宋体"/>
          <w:b/>
          <w:sz w:val="32"/>
          <w:highlight w:val="none"/>
        </w:rPr>
      </w:pPr>
      <w:r>
        <w:rPr>
          <w:rStyle w:val="7"/>
          <w:rFonts w:hint="eastAsia" w:hAnsi="宋体"/>
          <w:b/>
          <w:sz w:val="32"/>
          <w:highlight w:val="none"/>
        </w:rPr>
        <w:t>技术/服务部分</w:t>
      </w:r>
    </w:p>
    <w:p w14:paraId="02D17FFE">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val="en-US" w:eastAsia="zh-CN"/>
        </w:rPr>
        <w:t>一</w:t>
      </w:r>
      <w:r>
        <w:rPr>
          <w:rFonts w:hint="eastAsia" w:ascii="宋体" w:hAnsi="宋体" w:cs="仿宋"/>
          <w:sz w:val="24"/>
          <w:szCs w:val="24"/>
          <w:highlight w:val="none"/>
        </w:rPr>
        <w:t>、采购内容：本项目</w:t>
      </w:r>
      <w:r>
        <w:rPr>
          <w:rFonts w:hint="eastAsia" w:ascii="宋体" w:hAnsi="宋体" w:cs="仿宋"/>
          <w:sz w:val="24"/>
          <w:szCs w:val="24"/>
          <w:highlight w:val="none"/>
          <w:lang w:eastAsia="zh-CN"/>
        </w:rPr>
        <w:t>中标人</w:t>
      </w:r>
      <w:r>
        <w:rPr>
          <w:rFonts w:hint="eastAsia" w:ascii="宋体" w:hAnsi="宋体" w:cs="仿宋"/>
          <w:sz w:val="24"/>
          <w:szCs w:val="24"/>
          <w:highlight w:val="none"/>
        </w:rPr>
        <w:t>承担采购人指定的化工园区区域内202</w:t>
      </w:r>
      <w:r>
        <w:rPr>
          <w:rFonts w:hint="eastAsia" w:ascii="宋体" w:hAnsi="宋体" w:cs="仿宋"/>
          <w:sz w:val="24"/>
          <w:szCs w:val="24"/>
          <w:highlight w:val="none"/>
          <w:lang w:val="en-US" w:eastAsia="zh-CN"/>
        </w:rPr>
        <w:t>6</w:t>
      </w:r>
      <w:r>
        <w:rPr>
          <w:rFonts w:hint="eastAsia" w:ascii="宋体" w:hAnsi="宋体" w:cs="仿宋"/>
          <w:sz w:val="24"/>
          <w:szCs w:val="24"/>
          <w:highlight w:val="none"/>
        </w:rPr>
        <w:t>年特种设备安全隐患排查治理技术服务。</w:t>
      </w:r>
    </w:p>
    <w:p w14:paraId="4BD6190D">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val="en-US" w:eastAsia="zh-CN"/>
        </w:rPr>
        <w:t>二</w:t>
      </w:r>
      <w:r>
        <w:rPr>
          <w:rFonts w:hint="eastAsia" w:ascii="宋体" w:hAnsi="宋体" w:cs="仿宋"/>
          <w:sz w:val="24"/>
          <w:szCs w:val="24"/>
          <w:highlight w:val="none"/>
        </w:rPr>
        <w:t>、项目实施地点：江西省境内。</w:t>
      </w:r>
    </w:p>
    <w:p w14:paraId="77664F51">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val="en-US" w:eastAsia="zh-CN"/>
        </w:rPr>
        <w:t>三</w:t>
      </w:r>
      <w:r>
        <w:rPr>
          <w:rFonts w:hint="eastAsia" w:ascii="宋体" w:hAnsi="宋体" w:cs="仿宋"/>
          <w:sz w:val="24"/>
          <w:szCs w:val="24"/>
          <w:highlight w:val="none"/>
        </w:rPr>
        <w:t>、标的情况</w:t>
      </w:r>
    </w:p>
    <w:p w14:paraId="7E7A6527">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eastAsia="zh-CN"/>
        </w:rPr>
        <w:t>（一）</w:t>
      </w:r>
      <w:r>
        <w:rPr>
          <w:rFonts w:hint="eastAsia" w:ascii="宋体" w:hAnsi="宋体" w:cs="仿宋"/>
          <w:sz w:val="24"/>
          <w:szCs w:val="24"/>
          <w:highlight w:val="none"/>
        </w:rPr>
        <w:t>项目概况</w:t>
      </w:r>
    </w:p>
    <w:p w14:paraId="7504B17D">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cs="仿宋"/>
          <w:sz w:val="24"/>
          <w:szCs w:val="24"/>
          <w:highlight w:val="none"/>
        </w:rPr>
        <w:t>为持续深化江西省市场监管部门安全生产治本攻坚三年行动，深入排查整治化工园区特种设备安全隐患，提升化工园区特种设备使用单位安全管理水平，依据《中华人民共和国特种设备安全法》《特种设备安全监察条例》《特种设备安全监督检查办法》（国家市场监督管理总局令第57 号）《特种设备使用单位落实使用安全主体责任监督管理规定》（国家市场监督管理总局令第 74 号令）《特种设备使用管理规则》（TSG08-2017）等法律法规和技</w:t>
      </w:r>
      <w:r>
        <w:rPr>
          <w:rFonts w:hint="eastAsia" w:ascii="宋体" w:hAnsi="宋体" w:eastAsia="宋体" w:cs="仿宋"/>
          <w:sz w:val="24"/>
          <w:szCs w:val="24"/>
          <w:highlight w:val="none"/>
        </w:rPr>
        <w:t>术规范要求，采购人计划在 202</w:t>
      </w:r>
      <w:r>
        <w:rPr>
          <w:rFonts w:hint="eastAsia" w:ascii="宋体" w:hAnsi="宋体" w:eastAsia="宋体" w:cs="仿宋"/>
          <w:sz w:val="24"/>
          <w:szCs w:val="24"/>
          <w:highlight w:val="none"/>
          <w:lang w:val="en-US" w:eastAsia="zh-CN"/>
        </w:rPr>
        <w:t>6</w:t>
      </w:r>
      <w:r>
        <w:rPr>
          <w:rFonts w:hint="eastAsia" w:ascii="宋体" w:hAnsi="宋体" w:eastAsia="宋体" w:cs="仿宋"/>
          <w:sz w:val="24"/>
          <w:szCs w:val="24"/>
          <w:highlight w:val="none"/>
        </w:rPr>
        <w:t xml:space="preserve"> 年组织对化工园区开展隐患排查。拟委托一家经市场监管部门核准的特种设备检验机构（核准项目涵盖锅炉、压力容器、压力管道、电梯、起重机械、场（厂）内专用机动车辆等特种设备的监督检验和定期检验）为本次隐患排查工作提供技术服务，检查的化工园区不少于</w:t>
      </w:r>
      <w:r>
        <w:rPr>
          <w:rFonts w:hint="eastAsia" w:ascii="宋体" w:hAnsi="宋体" w:eastAsia="宋体" w:cs="仿宋"/>
          <w:sz w:val="24"/>
          <w:szCs w:val="24"/>
          <w:highlight w:val="none"/>
          <w:lang w:val="en-US" w:eastAsia="zh-CN"/>
        </w:rPr>
        <w:t>4</w:t>
      </w:r>
      <w:r>
        <w:rPr>
          <w:rFonts w:hint="eastAsia" w:ascii="宋体" w:hAnsi="宋体" w:eastAsia="宋体" w:cs="仿宋"/>
          <w:sz w:val="24"/>
          <w:szCs w:val="24"/>
          <w:highlight w:val="none"/>
        </w:rPr>
        <w:t>个，特种设备数量不少于</w:t>
      </w:r>
      <w:r>
        <w:rPr>
          <w:rFonts w:hint="eastAsia" w:ascii="宋体" w:hAnsi="宋体" w:eastAsia="宋体" w:cs="仿宋"/>
          <w:sz w:val="24"/>
          <w:szCs w:val="24"/>
          <w:highlight w:val="none"/>
          <w:lang w:val="en-US" w:eastAsia="zh-CN"/>
        </w:rPr>
        <w:t>4</w:t>
      </w:r>
      <w:r>
        <w:rPr>
          <w:rFonts w:hint="eastAsia" w:ascii="宋体" w:hAnsi="宋体" w:eastAsia="宋体" w:cs="仿宋"/>
          <w:sz w:val="24"/>
          <w:szCs w:val="24"/>
          <w:highlight w:val="none"/>
        </w:rPr>
        <w:t>000台。</w:t>
      </w:r>
    </w:p>
    <w:p w14:paraId="6CE559D6">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lang w:eastAsia="zh-CN"/>
        </w:rPr>
        <w:t>（二）</w:t>
      </w:r>
      <w:r>
        <w:rPr>
          <w:rFonts w:hint="eastAsia" w:ascii="宋体" w:hAnsi="宋体" w:eastAsia="宋体" w:cs="仿宋"/>
          <w:sz w:val="24"/>
          <w:szCs w:val="24"/>
          <w:highlight w:val="none"/>
        </w:rPr>
        <w:t>组织实施</w:t>
      </w:r>
    </w:p>
    <w:p w14:paraId="60A6FAA5">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1、本次化工园区内特种设备安全隐患排查由采购人特设局组织实施，委托</w:t>
      </w:r>
      <w:r>
        <w:rPr>
          <w:rFonts w:hint="eastAsia" w:ascii="宋体" w:hAnsi="宋体" w:eastAsia="宋体" w:cs="仿宋"/>
          <w:sz w:val="24"/>
          <w:szCs w:val="24"/>
          <w:highlight w:val="none"/>
          <w:lang w:val="en-US" w:eastAsia="zh-CN"/>
        </w:rPr>
        <w:t>投标人</w:t>
      </w:r>
      <w:r>
        <w:rPr>
          <w:rFonts w:hint="eastAsia" w:ascii="宋体" w:hAnsi="宋体" w:eastAsia="宋体" w:cs="仿宋"/>
          <w:sz w:val="24"/>
          <w:szCs w:val="24"/>
          <w:highlight w:val="none"/>
        </w:rPr>
        <w:t>提供安全隐患排查技术服务。</w:t>
      </w:r>
    </w:p>
    <w:p w14:paraId="3793DC46">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1.1抽查人员的确定：</w:t>
      </w:r>
      <w:r>
        <w:rPr>
          <w:rFonts w:hint="eastAsia" w:ascii="宋体" w:hAnsi="宋体" w:eastAsia="宋体" w:cs="仿宋"/>
          <w:sz w:val="24"/>
          <w:szCs w:val="24"/>
          <w:highlight w:val="none"/>
          <w:lang w:val="en-US" w:eastAsia="zh-CN"/>
        </w:rPr>
        <w:t>投标人</w:t>
      </w:r>
      <w:r>
        <w:rPr>
          <w:rFonts w:hint="eastAsia" w:ascii="宋体" w:hAnsi="宋体" w:eastAsia="宋体" w:cs="仿宋"/>
          <w:sz w:val="24"/>
          <w:szCs w:val="24"/>
          <w:highlight w:val="none"/>
        </w:rPr>
        <w:t>应当成立安全隐患排查项目组，依据采购人需求，编制检查表格、制定项目实施计划、成立抽查组、汇总检查结果等工作。</w:t>
      </w:r>
    </w:p>
    <w:p w14:paraId="50EE0322">
      <w:pPr>
        <w:widowControl/>
        <w:spacing w:line="360" w:lineRule="auto"/>
        <w:ind w:firstLine="480" w:firstLineChars="200"/>
        <w:jc w:val="both"/>
        <w:rPr>
          <w:rFonts w:hint="eastAsia" w:ascii="宋体" w:hAnsi="宋体" w:eastAsia="宋体" w:cs="仿宋"/>
          <w:sz w:val="24"/>
          <w:szCs w:val="24"/>
          <w:highlight w:val="none"/>
        </w:rPr>
      </w:pPr>
      <w:bookmarkStart w:id="0" w:name="_GoBack"/>
      <w:r>
        <w:rPr>
          <w:rFonts w:hint="eastAsia" w:ascii="宋体" w:hAnsi="宋体" w:eastAsia="宋体" w:cs="仿宋"/>
          <w:sz w:val="24"/>
          <w:szCs w:val="24"/>
          <w:highlight w:val="none"/>
        </w:rPr>
        <mc:AlternateContent>
          <mc:Choice Requires="wps">
            <w:drawing>
              <wp:anchor distT="0" distB="0" distL="114300" distR="114300" simplePos="0" relativeHeight="251659264" behindDoc="0" locked="0" layoutInCell="1" allowOverlap="1">
                <wp:simplePos x="0" y="0"/>
                <wp:positionH relativeFrom="column">
                  <wp:posOffset>5902325</wp:posOffset>
                </wp:positionH>
                <wp:positionV relativeFrom="paragraph">
                  <wp:posOffset>2256155</wp:posOffset>
                </wp:positionV>
                <wp:extent cx="0" cy="317500"/>
                <wp:effectExtent l="4445" t="4445" r="10795" b="13335"/>
                <wp:wrapNone/>
                <wp:docPr id="1" name="任意多边形 1"/>
                <wp:cNvGraphicFramePr/>
                <a:graphic xmlns:a="http://schemas.openxmlformats.org/drawingml/2006/main">
                  <a:graphicData uri="http://schemas.microsoft.com/office/word/2010/wordprocessingShape">
                    <wps:wsp>
                      <wps:cNvSpPr/>
                      <wps:spPr>
                        <a:xfrm>
                          <a:off x="0" y="0"/>
                          <a:ext cx="0" cy="317500"/>
                        </a:xfrm>
                        <a:custGeom>
                          <a:avLst/>
                          <a:gdLst/>
                          <a:ahLst/>
                          <a:cxnLst/>
                          <a:pathLst>
                            <a:path h="500">
                              <a:moveTo>
                                <a:pt x="0" y="0"/>
                              </a:moveTo>
                              <a:lnTo>
                                <a:pt x="0" y="500"/>
                              </a:lnTo>
                            </a:path>
                          </a:pathLst>
                        </a:custGeom>
                        <a:noFill/>
                        <a:ln w="0" cap="sq" cmpd="sng">
                          <a:solidFill>
                            <a:srgbClr val="000000"/>
                          </a:solidFill>
                          <a:prstDash val="solid"/>
                          <a:bevel/>
                          <a:headEnd type="none" w="med" len="med"/>
                          <a:tailEnd type="none" w="med" len="med"/>
                        </a:ln>
                      </wps:spPr>
                      <wps:bodyPr upright="1"/>
                    </wps:wsp>
                  </a:graphicData>
                </a:graphic>
              </wp:anchor>
            </w:drawing>
          </mc:Choice>
          <mc:Fallback>
            <w:pict>
              <v:shape id="_x0000_s1026" o:spid="_x0000_s1026" o:spt="100" style="position:absolute;left:0pt;margin-left:464.75pt;margin-top:177.65pt;height:25pt;width:0pt;z-index:251659264;mso-width-relative:page;mso-height-relative:page;" filled="f" stroked="t" coordsize="0,500" o:gfxdata="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Du4pCrZAAAACwEAAA8AAAAAAAAAAQAgAAAAIgAAAGRycy9kb3ducmV2LnhtbFBLAQIUABQAAAAI&#10;AIdO4kCdwooqJQIAAIQEAAAOAAAAAAAAAAEAIAAAACgBAABkcnMvZTJvRG9jLnhtbFBLBQYAAAAA&#10;BgAGAFkBAAC/BQAAAAA=&#10;" path="m0,0l0,500e">
                <v:fill on="f" focussize="0,0"/>
                <v:stroke weight="0pt" miterlimit="0" joinstyle="bevel" endcap="square"/>
                <v:imagedata o:title=""/>
                <o:lock v:ext="edit"/>
              </v:shape>
            </w:pict>
          </mc:Fallback>
        </mc:AlternateContent>
      </w:r>
      <w:bookmarkEnd w:id="0"/>
      <w:r>
        <w:rPr>
          <w:rFonts w:hint="eastAsia" w:ascii="宋体" w:hAnsi="宋体" w:eastAsia="宋体" w:cs="仿宋"/>
          <w:sz w:val="24"/>
          <w:szCs w:val="24"/>
          <w:highlight w:val="none"/>
        </w:rPr>
        <w:t>1.2拟派安全隐患排查项目组团队人员信息表（投标时，按下表填写拟派人员信息）</w:t>
      </w:r>
    </w:p>
    <w:p w14:paraId="76E704C4">
      <w:pPr>
        <w:spacing w:line="19" w:lineRule="exact"/>
        <w:rPr>
          <w:highlight w:val="none"/>
        </w:rPr>
      </w:pPr>
    </w:p>
    <w:tbl>
      <w:tblPr>
        <w:tblStyle w:val="9"/>
        <w:tblW w:w="4997"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696"/>
        <w:gridCol w:w="964"/>
        <w:gridCol w:w="1370"/>
        <w:gridCol w:w="1068"/>
        <w:gridCol w:w="1101"/>
        <w:gridCol w:w="994"/>
        <w:gridCol w:w="1023"/>
        <w:gridCol w:w="1091"/>
      </w:tblGrid>
      <w:tr w14:paraId="2564F1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419" w:type="pct"/>
            <w:noWrap w:val="0"/>
            <w:vAlign w:val="top"/>
          </w:tcPr>
          <w:p w14:paraId="72122E5E">
            <w:pPr>
              <w:pStyle w:val="8"/>
              <w:spacing w:before="197" w:line="360" w:lineRule="auto"/>
              <w:ind w:left="147"/>
              <w:rPr>
                <w:rFonts w:hint="eastAsia" w:ascii="宋体" w:hAnsi="宋体" w:eastAsia="宋体" w:cs="宋体"/>
                <w:sz w:val="24"/>
                <w:szCs w:val="24"/>
                <w:highlight w:val="none"/>
              </w:rPr>
            </w:pPr>
            <w:r>
              <w:rPr>
                <w:rFonts w:hint="eastAsia" w:ascii="宋体" w:hAnsi="宋体" w:eastAsia="宋体" w:cs="宋体"/>
                <w:b/>
                <w:bCs/>
                <w:spacing w:val="-7"/>
                <w:sz w:val="24"/>
                <w:szCs w:val="24"/>
                <w:highlight w:val="none"/>
              </w:rPr>
              <w:t>序号</w:t>
            </w:r>
          </w:p>
        </w:tc>
        <w:tc>
          <w:tcPr>
            <w:tcW w:w="580" w:type="pct"/>
            <w:noWrap w:val="0"/>
            <w:vAlign w:val="top"/>
          </w:tcPr>
          <w:p w14:paraId="2ABAEE0C">
            <w:pPr>
              <w:pStyle w:val="8"/>
              <w:spacing w:before="197" w:line="360" w:lineRule="auto"/>
              <w:ind w:left="293"/>
              <w:rPr>
                <w:rFonts w:hint="eastAsia" w:ascii="宋体" w:hAnsi="宋体" w:eastAsia="宋体" w:cs="宋体"/>
                <w:sz w:val="24"/>
                <w:szCs w:val="24"/>
                <w:highlight w:val="none"/>
              </w:rPr>
            </w:pPr>
            <w:r>
              <w:rPr>
                <w:rFonts w:hint="eastAsia" w:ascii="宋体" w:hAnsi="宋体" w:eastAsia="宋体" w:cs="宋体"/>
                <w:b/>
                <w:bCs/>
                <w:spacing w:val="-7"/>
                <w:sz w:val="24"/>
                <w:szCs w:val="24"/>
                <w:highlight w:val="none"/>
              </w:rPr>
              <w:t>姓名</w:t>
            </w:r>
          </w:p>
        </w:tc>
        <w:tc>
          <w:tcPr>
            <w:tcW w:w="824" w:type="pct"/>
            <w:noWrap w:val="0"/>
            <w:vAlign w:val="top"/>
          </w:tcPr>
          <w:p w14:paraId="49A0B0B2">
            <w:pPr>
              <w:pStyle w:val="8"/>
              <w:spacing w:before="198" w:line="360" w:lineRule="auto"/>
              <w:ind w:left="171"/>
              <w:rPr>
                <w:rFonts w:hint="eastAsia" w:ascii="宋体" w:hAnsi="宋体" w:eastAsia="宋体" w:cs="宋体"/>
                <w:sz w:val="24"/>
                <w:szCs w:val="24"/>
                <w:highlight w:val="none"/>
              </w:rPr>
            </w:pPr>
            <w:r>
              <w:rPr>
                <w:rFonts w:hint="eastAsia" w:ascii="宋体" w:hAnsi="宋体" w:eastAsia="宋体" w:cs="宋体"/>
                <w:b/>
                <w:bCs/>
                <w:spacing w:val="-7"/>
                <w:sz w:val="24"/>
                <w:szCs w:val="24"/>
                <w:highlight w:val="none"/>
              </w:rPr>
              <w:t>身份证号码</w:t>
            </w:r>
          </w:p>
        </w:tc>
        <w:tc>
          <w:tcPr>
            <w:tcW w:w="642" w:type="pct"/>
            <w:noWrap w:val="0"/>
            <w:vAlign w:val="top"/>
          </w:tcPr>
          <w:p w14:paraId="1DEB4589">
            <w:pPr>
              <w:pStyle w:val="8"/>
              <w:spacing w:before="197" w:line="360" w:lineRule="auto"/>
              <w:ind w:left="110"/>
              <w:rPr>
                <w:rFonts w:hint="eastAsia" w:ascii="宋体" w:hAnsi="宋体" w:eastAsia="宋体" w:cs="宋体"/>
                <w:sz w:val="24"/>
                <w:szCs w:val="24"/>
                <w:highlight w:val="none"/>
              </w:rPr>
            </w:pPr>
            <w:r>
              <w:rPr>
                <w:rFonts w:hint="eastAsia" w:ascii="宋体" w:hAnsi="宋体" w:eastAsia="宋体" w:cs="宋体"/>
                <w:b/>
                <w:bCs/>
                <w:spacing w:val="-4"/>
                <w:sz w:val="24"/>
                <w:szCs w:val="24"/>
                <w:highlight w:val="none"/>
              </w:rPr>
              <w:t>联系方式</w:t>
            </w:r>
          </w:p>
        </w:tc>
        <w:tc>
          <w:tcPr>
            <w:tcW w:w="662" w:type="pct"/>
            <w:noWrap w:val="0"/>
            <w:vAlign w:val="top"/>
          </w:tcPr>
          <w:p w14:paraId="04FAEC48">
            <w:pPr>
              <w:pStyle w:val="8"/>
              <w:spacing w:before="197" w:line="360" w:lineRule="auto"/>
              <w:ind w:left="126"/>
              <w:rPr>
                <w:rFonts w:hint="eastAsia" w:ascii="宋体" w:hAnsi="宋体" w:eastAsia="宋体" w:cs="宋体"/>
                <w:sz w:val="24"/>
                <w:szCs w:val="24"/>
                <w:highlight w:val="none"/>
              </w:rPr>
            </w:pPr>
            <w:r>
              <w:rPr>
                <w:rFonts w:hint="eastAsia" w:ascii="宋体" w:hAnsi="宋体" w:eastAsia="宋体" w:cs="宋体"/>
                <w:b/>
                <w:bCs/>
                <w:spacing w:val="-3"/>
                <w:sz w:val="24"/>
                <w:szCs w:val="24"/>
                <w:highlight w:val="none"/>
              </w:rPr>
              <w:t>人员职称</w:t>
            </w:r>
          </w:p>
        </w:tc>
        <w:tc>
          <w:tcPr>
            <w:tcW w:w="598" w:type="pct"/>
            <w:noWrap w:val="0"/>
            <w:vAlign w:val="top"/>
          </w:tcPr>
          <w:p w14:paraId="0B12ABB6">
            <w:pPr>
              <w:pStyle w:val="8"/>
              <w:spacing w:before="197" w:line="360" w:lineRule="auto"/>
              <w:ind w:left="72"/>
              <w:rPr>
                <w:rFonts w:hint="eastAsia" w:ascii="宋体" w:hAnsi="宋体" w:eastAsia="宋体" w:cs="宋体"/>
                <w:sz w:val="24"/>
                <w:szCs w:val="24"/>
                <w:highlight w:val="none"/>
              </w:rPr>
            </w:pPr>
            <w:r>
              <w:rPr>
                <w:rFonts w:hint="eastAsia" w:ascii="宋体" w:hAnsi="宋体" w:eastAsia="宋体" w:cs="宋体"/>
                <w:b/>
                <w:bCs/>
                <w:spacing w:val="-4"/>
                <w:sz w:val="24"/>
                <w:szCs w:val="24"/>
                <w:highlight w:val="none"/>
              </w:rPr>
              <w:t>职称专业</w:t>
            </w:r>
          </w:p>
        </w:tc>
        <w:tc>
          <w:tcPr>
            <w:tcW w:w="615" w:type="pct"/>
            <w:noWrap w:val="0"/>
            <w:vAlign w:val="top"/>
          </w:tcPr>
          <w:p w14:paraId="0A1C137D">
            <w:pPr>
              <w:pStyle w:val="8"/>
              <w:spacing w:before="41" w:line="360" w:lineRule="auto"/>
              <w:ind w:left="330" w:right="78" w:hanging="240"/>
              <w:rPr>
                <w:rFonts w:hint="eastAsia" w:ascii="宋体" w:hAnsi="宋体" w:eastAsia="宋体" w:cs="宋体"/>
                <w:sz w:val="24"/>
                <w:szCs w:val="24"/>
                <w:highlight w:val="none"/>
              </w:rPr>
            </w:pPr>
            <w:r>
              <w:rPr>
                <w:rFonts w:hint="eastAsia" w:ascii="宋体" w:hAnsi="宋体" w:eastAsia="宋体" w:cs="宋体"/>
                <w:b/>
                <w:bCs/>
                <w:spacing w:val="-5"/>
                <w:sz w:val="24"/>
                <w:szCs w:val="24"/>
                <w:highlight w:val="none"/>
              </w:rPr>
              <w:t>工作经验</w:t>
            </w:r>
            <w:r>
              <w:rPr>
                <w:rFonts w:hint="eastAsia" w:ascii="宋体" w:hAnsi="宋体" w:eastAsia="宋体" w:cs="宋体"/>
                <w:b/>
                <w:bCs/>
                <w:spacing w:val="-8"/>
                <w:sz w:val="24"/>
                <w:szCs w:val="24"/>
                <w:highlight w:val="none"/>
              </w:rPr>
              <w:t>年限</w:t>
            </w:r>
          </w:p>
        </w:tc>
        <w:tc>
          <w:tcPr>
            <w:tcW w:w="656" w:type="pct"/>
            <w:noWrap w:val="0"/>
            <w:vAlign w:val="top"/>
          </w:tcPr>
          <w:p w14:paraId="6B81C87D">
            <w:pPr>
              <w:pStyle w:val="8"/>
              <w:spacing w:before="41" w:line="360" w:lineRule="auto"/>
              <w:ind w:left="128"/>
              <w:rPr>
                <w:rFonts w:hint="eastAsia" w:ascii="宋体" w:hAnsi="宋体" w:eastAsia="宋体" w:cs="宋体"/>
                <w:sz w:val="24"/>
                <w:szCs w:val="24"/>
                <w:highlight w:val="none"/>
              </w:rPr>
            </w:pPr>
            <w:r>
              <w:rPr>
                <w:rFonts w:hint="eastAsia" w:ascii="宋体" w:hAnsi="宋体" w:eastAsia="宋体" w:cs="宋体"/>
                <w:b/>
                <w:bCs/>
                <w:spacing w:val="-5"/>
                <w:sz w:val="24"/>
                <w:szCs w:val="24"/>
                <w:highlight w:val="none"/>
              </w:rPr>
              <w:t>拟担任本</w:t>
            </w:r>
            <w:r>
              <w:rPr>
                <w:rFonts w:hint="eastAsia" w:ascii="宋体" w:hAnsi="宋体" w:eastAsia="宋体" w:cs="宋体"/>
                <w:b/>
                <w:bCs/>
                <w:spacing w:val="-21"/>
                <w:sz w:val="24"/>
                <w:szCs w:val="24"/>
                <w:highlight w:val="none"/>
              </w:rPr>
              <w:t>项</w:t>
            </w:r>
            <w:r>
              <w:rPr>
                <w:rFonts w:hint="eastAsia" w:ascii="宋体" w:hAnsi="宋体" w:eastAsia="宋体" w:cs="宋体"/>
                <w:spacing w:val="-56"/>
                <w:sz w:val="24"/>
                <w:szCs w:val="24"/>
                <w:highlight w:val="none"/>
              </w:rPr>
              <w:t xml:space="preserve"> </w:t>
            </w:r>
            <w:r>
              <w:rPr>
                <w:rFonts w:hint="eastAsia" w:ascii="宋体" w:hAnsi="宋体" w:eastAsia="宋体" w:cs="宋体"/>
                <w:b/>
                <w:bCs/>
                <w:spacing w:val="-21"/>
                <w:sz w:val="24"/>
                <w:szCs w:val="24"/>
                <w:highlight w:val="none"/>
              </w:rPr>
              <w:t>目岗位</w:t>
            </w:r>
          </w:p>
        </w:tc>
      </w:tr>
      <w:tr w14:paraId="6E6FE7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3" w:hRule="atLeast"/>
        </w:trPr>
        <w:tc>
          <w:tcPr>
            <w:tcW w:w="419" w:type="pct"/>
            <w:noWrap w:val="0"/>
            <w:vAlign w:val="top"/>
          </w:tcPr>
          <w:p w14:paraId="1B1AF1B9">
            <w:pPr>
              <w:pStyle w:val="8"/>
              <w:spacing w:before="115" w:line="360" w:lineRule="auto"/>
              <w:ind w:left="340"/>
              <w:rPr>
                <w:rFonts w:hint="eastAsia" w:ascii="宋体" w:hAnsi="宋体" w:eastAsia="宋体" w:cs="宋体"/>
                <w:sz w:val="24"/>
                <w:szCs w:val="24"/>
                <w:highlight w:val="none"/>
              </w:rPr>
            </w:pPr>
            <w:r>
              <w:rPr>
                <w:rFonts w:hint="eastAsia" w:ascii="宋体" w:hAnsi="宋体" w:eastAsia="宋体" w:cs="宋体"/>
                <w:position w:val="1"/>
                <w:sz w:val="24"/>
                <w:szCs w:val="24"/>
                <w:highlight w:val="none"/>
              </w:rPr>
              <w:t>1</w:t>
            </w:r>
          </w:p>
        </w:tc>
        <w:tc>
          <w:tcPr>
            <w:tcW w:w="580" w:type="pct"/>
            <w:noWrap w:val="0"/>
            <w:vAlign w:val="top"/>
          </w:tcPr>
          <w:p w14:paraId="70170F3E">
            <w:pPr>
              <w:spacing w:line="360" w:lineRule="auto"/>
              <w:rPr>
                <w:rFonts w:hint="eastAsia" w:ascii="宋体" w:hAnsi="宋体" w:eastAsia="宋体" w:cs="宋体"/>
                <w:sz w:val="24"/>
                <w:szCs w:val="24"/>
                <w:highlight w:val="none"/>
              </w:rPr>
            </w:pPr>
          </w:p>
        </w:tc>
        <w:tc>
          <w:tcPr>
            <w:tcW w:w="824" w:type="pct"/>
            <w:noWrap w:val="0"/>
            <w:vAlign w:val="top"/>
          </w:tcPr>
          <w:p w14:paraId="6BDE63E0">
            <w:pPr>
              <w:spacing w:line="360" w:lineRule="auto"/>
              <w:rPr>
                <w:rFonts w:hint="eastAsia" w:ascii="宋体" w:hAnsi="宋体" w:eastAsia="宋体" w:cs="宋体"/>
                <w:sz w:val="24"/>
                <w:szCs w:val="24"/>
                <w:highlight w:val="none"/>
              </w:rPr>
            </w:pPr>
          </w:p>
        </w:tc>
        <w:tc>
          <w:tcPr>
            <w:tcW w:w="642" w:type="pct"/>
            <w:noWrap w:val="0"/>
            <w:vAlign w:val="top"/>
          </w:tcPr>
          <w:p w14:paraId="7745BB01">
            <w:pPr>
              <w:spacing w:line="360" w:lineRule="auto"/>
              <w:rPr>
                <w:rFonts w:hint="eastAsia" w:ascii="宋体" w:hAnsi="宋体" w:eastAsia="宋体" w:cs="宋体"/>
                <w:sz w:val="24"/>
                <w:szCs w:val="24"/>
                <w:highlight w:val="none"/>
              </w:rPr>
            </w:pPr>
          </w:p>
        </w:tc>
        <w:tc>
          <w:tcPr>
            <w:tcW w:w="662" w:type="pct"/>
            <w:noWrap w:val="0"/>
            <w:vAlign w:val="top"/>
          </w:tcPr>
          <w:p w14:paraId="0E3353E4">
            <w:pPr>
              <w:spacing w:line="360" w:lineRule="auto"/>
              <w:rPr>
                <w:rFonts w:hint="eastAsia" w:ascii="宋体" w:hAnsi="宋体" w:eastAsia="宋体" w:cs="宋体"/>
                <w:sz w:val="24"/>
                <w:szCs w:val="24"/>
                <w:highlight w:val="none"/>
              </w:rPr>
            </w:pPr>
          </w:p>
        </w:tc>
        <w:tc>
          <w:tcPr>
            <w:tcW w:w="598" w:type="pct"/>
            <w:noWrap w:val="0"/>
            <w:vAlign w:val="top"/>
          </w:tcPr>
          <w:p w14:paraId="15C8CE58">
            <w:pPr>
              <w:spacing w:line="360" w:lineRule="auto"/>
              <w:rPr>
                <w:rFonts w:hint="eastAsia" w:ascii="宋体" w:hAnsi="宋体" w:eastAsia="宋体" w:cs="宋体"/>
                <w:sz w:val="24"/>
                <w:szCs w:val="24"/>
                <w:highlight w:val="none"/>
              </w:rPr>
            </w:pPr>
          </w:p>
        </w:tc>
        <w:tc>
          <w:tcPr>
            <w:tcW w:w="615" w:type="pct"/>
            <w:noWrap w:val="0"/>
            <w:vAlign w:val="top"/>
          </w:tcPr>
          <w:p w14:paraId="5AD3E9D5">
            <w:pPr>
              <w:spacing w:line="360" w:lineRule="auto"/>
              <w:rPr>
                <w:rFonts w:hint="eastAsia" w:ascii="宋体" w:hAnsi="宋体" w:eastAsia="宋体" w:cs="宋体"/>
                <w:sz w:val="24"/>
                <w:szCs w:val="24"/>
                <w:highlight w:val="none"/>
              </w:rPr>
            </w:pPr>
          </w:p>
        </w:tc>
        <w:tc>
          <w:tcPr>
            <w:tcW w:w="656" w:type="pct"/>
            <w:noWrap w:val="0"/>
            <w:vAlign w:val="top"/>
          </w:tcPr>
          <w:p w14:paraId="177FC324">
            <w:pPr>
              <w:pStyle w:val="8"/>
              <w:spacing w:before="130" w:line="360" w:lineRule="auto"/>
              <w:ind w:left="84"/>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项目负责人</w:t>
            </w:r>
          </w:p>
        </w:tc>
      </w:tr>
      <w:tr w14:paraId="21A1D2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3" w:hRule="atLeast"/>
        </w:trPr>
        <w:tc>
          <w:tcPr>
            <w:tcW w:w="419" w:type="pct"/>
            <w:noWrap w:val="0"/>
            <w:vAlign w:val="top"/>
          </w:tcPr>
          <w:p w14:paraId="4113DCB4">
            <w:pPr>
              <w:pStyle w:val="8"/>
              <w:spacing w:before="117" w:line="360" w:lineRule="auto"/>
              <w:ind w:left="326"/>
              <w:rPr>
                <w:rFonts w:hint="eastAsia" w:ascii="宋体" w:hAnsi="宋体" w:eastAsia="宋体" w:cs="宋体"/>
                <w:sz w:val="24"/>
                <w:szCs w:val="24"/>
                <w:highlight w:val="none"/>
              </w:rPr>
            </w:pPr>
            <w:r>
              <w:rPr>
                <w:rFonts w:hint="eastAsia" w:ascii="宋体" w:hAnsi="宋体" w:eastAsia="宋体" w:cs="宋体"/>
                <w:position w:val="1"/>
                <w:sz w:val="24"/>
                <w:szCs w:val="24"/>
                <w:highlight w:val="none"/>
              </w:rPr>
              <w:t>2</w:t>
            </w:r>
          </w:p>
        </w:tc>
        <w:tc>
          <w:tcPr>
            <w:tcW w:w="580" w:type="pct"/>
            <w:noWrap w:val="0"/>
            <w:vAlign w:val="top"/>
          </w:tcPr>
          <w:p w14:paraId="1CDD5C9E">
            <w:pPr>
              <w:spacing w:line="360" w:lineRule="auto"/>
              <w:rPr>
                <w:rFonts w:hint="eastAsia" w:ascii="宋体" w:hAnsi="宋体" w:eastAsia="宋体" w:cs="宋体"/>
                <w:sz w:val="24"/>
                <w:szCs w:val="24"/>
                <w:highlight w:val="none"/>
              </w:rPr>
            </w:pPr>
          </w:p>
        </w:tc>
        <w:tc>
          <w:tcPr>
            <w:tcW w:w="824" w:type="pct"/>
            <w:noWrap w:val="0"/>
            <w:vAlign w:val="top"/>
          </w:tcPr>
          <w:p w14:paraId="417DDAF8">
            <w:pPr>
              <w:spacing w:line="360" w:lineRule="auto"/>
              <w:rPr>
                <w:rFonts w:hint="eastAsia" w:ascii="宋体" w:hAnsi="宋体" w:eastAsia="宋体" w:cs="宋体"/>
                <w:sz w:val="24"/>
                <w:szCs w:val="24"/>
                <w:highlight w:val="none"/>
              </w:rPr>
            </w:pPr>
          </w:p>
        </w:tc>
        <w:tc>
          <w:tcPr>
            <w:tcW w:w="642" w:type="pct"/>
            <w:noWrap w:val="0"/>
            <w:vAlign w:val="top"/>
          </w:tcPr>
          <w:p w14:paraId="435DA60F">
            <w:pPr>
              <w:spacing w:line="360" w:lineRule="auto"/>
              <w:rPr>
                <w:rFonts w:hint="eastAsia" w:ascii="宋体" w:hAnsi="宋体" w:eastAsia="宋体" w:cs="宋体"/>
                <w:sz w:val="24"/>
                <w:szCs w:val="24"/>
                <w:highlight w:val="none"/>
              </w:rPr>
            </w:pPr>
          </w:p>
        </w:tc>
        <w:tc>
          <w:tcPr>
            <w:tcW w:w="662" w:type="pct"/>
            <w:noWrap w:val="0"/>
            <w:vAlign w:val="top"/>
          </w:tcPr>
          <w:p w14:paraId="67B4E5C8">
            <w:pPr>
              <w:spacing w:line="360" w:lineRule="auto"/>
              <w:rPr>
                <w:rFonts w:hint="eastAsia" w:ascii="宋体" w:hAnsi="宋体" w:eastAsia="宋体" w:cs="宋体"/>
                <w:sz w:val="24"/>
                <w:szCs w:val="24"/>
                <w:highlight w:val="none"/>
              </w:rPr>
            </w:pPr>
          </w:p>
        </w:tc>
        <w:tc>
          <w:tcPr>
            <w:tcW w:w="598" w:type="pct"/>
            <w:noWrap w:val="0"/>
            <w:vAlign w:val="top"/>
          </w:tcPr>
          <w:p w14:paraId="0C6F9DCF">
            <w:pPr>
              <w:spacing w:line="360" w:lineRule="auto"/>
              <w:rPr>
                <w:rFonts w:hint="eastAsia" w:ascii="宋体" w:hAnsi="宋体" w:eastAsia="宋体" w:cs="宋体"/>
                <w:sz w:val="24"/>
                <w:szCs w:val="24"/>
                <w:highlight w:val="none"/>
              </w:rPr>
            </w:pPr>
          </w:p>
        </w:tc>
        <w:tc>
          <w:tcPr>
            <w:tcW w:w="615" w:type="pct"/>
            <w:noWrap w:val="0"/>
            <w:vAlign w:val="top"/>
          </w:tcPr>
          <w:p w14:paraId="7EBB0EA8">
            <w:pPr>
              <w:spacing w:line="360" w:lineRule="auto"/>
              <w:rPr>
                <w:rFonts w:hint="eastAsia" w:ascii="宋体" w:hAnsi="宋体" w:eastAsia="宋体" w:cs="宋体"/>
                <w:sz w:val="24"/>
                <w:szCs w:val="24"/>
                <w:highlight w:val="none"/>
              </w:rPr>
            </w:pPr>
          </w:p>
        </w:tc>
        <w:tc>
          <w:tcPr>
            <w:tcW w:w="656" w:type="pct"/>
            <w:noWrap w:val="0"/>
            <w:vAlign w:val="top"/>
          </w:tcPr>
          <w:p w14:paraId="0FB9F141">
            <w:pPr>
              <w:pStyle w:val="8"/>
              <w:spacing w:before="132" w:line="360" w:lineRule="auto"/>
              <w:ind w:left="185"/>
              <w:rPr>
                <w:rFonts w:hint="eastAsia" w:ascii="宋体" w:hAnsi="宋体" w:eastAsia="宋体" w:cs="宋体"/>
                <w:sz w:val="24"/>
                <w:szCs w:val="24"/>
                <w:highlight w:val="none"/>
              </w:rPr>
            </w:pPr>
            <w:r>
              <w:rPr>
                <w:rFonts w:hint="eastAsia" w:ascii="宋体" w:hAnsi="宋体" w:eastAsia="宋体" w:cs="宋体"/>
                <w:spacing w:val="8"/>
                <w:sz w:val="24"/>
                <w:szCs w:val="24"/>
                <w:highlight w:val="none"/>
              </w:rPr>
              <w:t>驻场组长</w:t>
            </w:r>
          </w:p>
        </w:tc>
      </w:tr>
      <w:tr w14:paraId="594F41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3" w:hRule="atLeast"/>
        </w:trPr>
        <w:tc>
          <w:tcPr>
            <w:tcW w:w="419" w:type="pct"/>
            <w:noWrap w:val="0"/>
            <w:vAlign w:val="top"/>
          </w:tcPr>
          <w:p w14:paraId="1502AC5C">
            <w:pPr>
              <w:pStyle w:val="8"/>
              <w:spacing w:before="119" w:line="360" w:lineRule="auto"/>
              <w:ind w:left="328"/>
              <w:rPr>
                <w:rFonts w:hint="eastAsia" w:ascii="宋体" w:hAnsi="宋体" w:eastAsia="宋体" w:cs="宋体"/>
                <w:sz w:val="24"/>
                <w:szCs w:val="24"/>
                <w:highlight w:val="none"/>
              </w:rPr>
            </w:pPr>
            <w:r>
              <w:rPr>
                <w:rFonts w:hint="eastAsia" w:ascii="宋体" w:hAnsi="宋体" w:eastAsia="宋体" w:cs="宋体"/>
                <w:position w:val="1"/>
                <w:sz w:val="24"/>
                <w:szCs w:val="24"/>
                <w:highlight w:val="none"/>
              </w:rPr>
              <w:t>3</w:t>
            </w:r>
          </w:p>
        </w:tc>
        <w:tc>
          <w:tcPr>
            <w:tcW w:w="580" w:type="pct"/>
            <w:noWrap w:val="0"/>
            <w:vAlign w:val="top"/>
          </w:tcPr>
          <w:p w14:paraId="7112F47A">
            <w:pPr>
              <w:spacing w:line="360" w:lineRule="auto"/>
              <w:rPr>
                <w:rFonts w:hint="eastAsia" w:ascii="宋体" w:hAnsi="宋体" w:eastAsia="宋体" w:cs="宋体"/>
                <w:sz w:val="24"/>
                <w:szCs w:val="24"/>
                <w:highlight w:val="none"/>
              </w:rPr>
            </w:pPr>
          </w:p>
        </w:tc>
        <w:tc>
          <w:tcPr>
            <w:tcW w:w="824" w:type="pct"/>
            <w:noWrap w:val="0"/>
            <w:vAlign w:val="top"/>
          </w:tcPr>
          <w:p w14:paraId="6EC4B5F2">
            <w:pPr>
              <w:spacing w:line="360" w:lineRule="auto"/>
              <w:rPr>
                <w:rFonts w:hint="eastAsia" w:ascii="宋体" w:hAnsi="宋体" w:eastAsia="宋体" w:cs="宋体"/>
                <w:sz w:val="24"/>
                <w:szCs w:val="24"/>
                <w:highlight w:val="none"/>
              </w:rPr>
            </w:pPr>
          </w:p>
        </w:tc>
        <w:tc>
          <w:tcPr>
            <w:tcW w:w="642" w:type="pct"/>
            <w:noWrap w:val="0"/>
            <w:vAlign w:val="top"/>
          </w:tcPr>
          <w:p w14:paraId="59736E0C">
            <w:pPr>
              <w:spacing w:line="360" w:lineRule="auto"/>
              <w:rPr>
                <w:rFonts w:hint="eastAsia" w:ascii="宋体" w:hAnsi="宋体" w:eastAsia="宋体" w:cs="宋体"/>
                <w:sz w:val="24"/>
                <w:szCs w:val="24"/>
                <w:highlight w:val="none"/>
              </w:rPr>
            </w:pPr>
          </w:p>
        </w:tc>
        <w:tc>
          <w:tcPr>
            <w:tcW w:w="662" w:type="pct"/>
            <w:noWrap w:val="0"/>
            <w:vAlign w:val="top"/>
          </w:tcPr>
          <w:p w14:paraId="0F997315">
            <w:pPr>
              <w:spacing w:line="360" w:lineRule="auto"/>
              <w:rPr>
                <w:rFonts w:hint="eastAsia" w:ascii="宋体" w:hAnsi="宋体" w:eastAsia="宋体" w:cs="宋体"/>
                <w:sz w:val="24"/>
                <w:szCs w:val="24"/>
                <w:highlight w:val="none"/>
              </w:rPr>
            </w:pPr>
          </w:p>
        </w:tc>
        <w:tc>
          <w:tcPr>
            <w:tcW w:w="598" w:type="pct"/>
            <w:noWrap w:val="0"/>
            <w:vAlign w:val="top"/>
          </w:tcPr>
          <w:p w14:paraId="7DABA79F">
            <w:pPr>
              <w:spacing w:line="360" w:lineRule="auto"/>
              <w:rPr>
                <w:rFonts w:hint="eastAsia" w:ascii="宋体" w:hAnsi="宋体" w:eastAsia="宋体" w:cs="宋体"/>
                <w:sz w:val="24"/>
                <w:szCs w:val="24"/>
                <w:highlight w:val="none"/>
              </w:rPr>
            </w:pPr>
          </w:p>
        </w:tc>
        <w:tc>
          <w:tcPr>
            <w:tcW w:w="615" w:type="pct"/>
            <w:noWrap w:val="0"/>
            <w:vAlign w:val="top"/>
          </w:tcPr>
          <w:p w14:paraId="2DB27D8E">
            <w:pPr>
              <w:spacing w:line="360" w:lineRule="auto"/>
              <w:rPr>
                <w:rFonts w:hint="eastAsia" w:ascii="宋体" w:hAnsi="宋体" w:eastAsia="宋体" w:cs="宋体"/>
                <w:sz w:val="24"/>
                <w:szCs w:val="24"/>
                <w:highlight w:val="none"/>
              </w:rPr>
            </w:pPr>
          </w:p>
        </w:tc>
        <w:tc>
          <w:tcPr>
            <w:tcW w:w="656" w:type="pct"/>
            <w:noWrap w:val="0"/>
            <w:vAlign w:val="top"/>
          </w:tcPr>
          <w:p w14:paraId="06AEEEF0">
            <w:pPr>
              <w:pStyle w:val="8"/>
              <w:spacing w:before="134" w:line="360" w:lineRule="auto"/>
              <w:ind w:left="185"/>
              <w:rPr>
                <w:rFonts w:hint="eastAsia" w:ascii="宋体" w:hAnsi="宋体" w:eastAsia="宋体" w:cs="宋体"/>
                <w:sz w:val="24"/>
                <w:szCs w:val="24"/>
                <w:highlight w:val="none"/>
              </w:rPr>
            </w:pPr>
            <w:r>
              <w:rPr>
                <w:rFonts w:hint="eastAsia" w:ascii="宋体" w:hAnsi="宋体" w:eastAsia="宋体" w:cs="宋体"/>
                <w:spacing w:val="8"/>
                <w:sz w:val="24"/>
                <w:szCs w:val="24"/>
                <w:highlight w:val="none"/>
              </w:rPr>
              <w:t>驻场组员</w:t>
            </w:r>
          </w:p>
        </w:tc>
      </w:tr>
      <w:tr w14:paraId="59AD3E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3" w:hRule="atLeast"/>
        </w:trPr>
        <w:tc>
          <w:tcPr>
            <w:tcW w:w="419" w:type="pct"/>
            <w:noWrap w:val="0"/>
            <w:vAlign w:val="top"/>
          </w:tcPr>
          <w:p w14:paraId="42F56701">
            <w:pPr>
              <w:pStyle w:val="8"/>
              <w:spacing w:before="119" w:line="360" w:lineRule="auto"/>
              <w:ind w:left="322"/>
              <w:rPr>
                <w:rFonts w:hint="eastAsia" w:ascii="宋体" w:hAnsi="宋体" w:eastAsia="宋体" w:cs="宋体"/>
                <w:sz w:val="24"/>
                <w:szCs w:val="24"/>
                <w:highlight w:val="none"/>
              </w:rPr>
            </w:pPr>
            <w:r>
              <w:rPr>
                <w:rFonts w:hint="eastAsia" w:ascii="宋体" w:hAnsi="宋体" w:eastAsia="宋体" w:cs="宋体"/>
                <w:position w:val="1"/>
                <w:sz w:val="24"/>
                <w:szCs w:val="24"/>
                <w:highlight w:val="none"/>
              </w:rPr>
              <w:t>4</w:t>
            </w:r>
          </w:p>
        </w:tc>
        <w:tc>
          <w:tcPr>
            <w:tcW w:w="580" w:type="pct"/>
            <w:noWrap w:val="0"/>
            <w:vAlign w:val="top"/>
          </w:tcPr>
          <w:p w14:paraId="71CBE7DD">
            <w:pPr>
              <w:spacing w:line="360" w:lineRule="auto"/>
              <w:rPr>
                <w:rFonts w:hint="eastAsia" w:ascii="宋体" w:hAnsi="宋体" w:eastAsia="宋体" w:cs="宋体"/>
                <w:sz w:val="24"/>
                <w:szCs w:val="24"/>
                <w:highlight w:val="none"/>
              </w:rPr>
            </w:pPr>
          </w:p>
        </w:tc>
        <w:tc>
          <w:tcPr>
            <w:tcW w:w="824" w:type="pct"/>
            <w:noWrap w:val="0"/>
            <w:vAlign w:val="top"/>
          </w:tcPr>
          <w:p w14:paraId="3177C781">
            <w:pPr>
              <w:spacing w:line="360" w:lineRule="auto"/>
              <w:rPr>
                <w:rFonts w:hint="eastAsia" w:ascii="宋体" w:hAnsi="宋体" w:eastAsia="宋体" w:cs="宋体"/>
                <w:sz w:val="24"/>
                <w:szCs w:val="24"/>
                <w:highlight w:val="none"/>
              </w:rPr>
            </w:pPr>
          </w:p>
        </w:tc>
        <w:tc>
          <w:tcPr>
            <w:tcW w:w="642" w:type="pct"/>
            <w:noWrap w:val="0"/>
            <w:vAlign w:val="top"/>
          </w:tcPr>
          <w:p w14:paraId="7C4EC2A8">
            <w:pPr>
              <w:spacing w:line="360" w:lineRule="auto"/>
              <w:rPr>
                <w:rFonts w:hint="eastAsia" w:ascii="宋体" w:hAnsi="宋体" w:eastAsia="宋体" w:cs="宋体"/>
                <w:sz w:val="24"/>
                <w:szCs w:val="24"/>
                <w:highlight w:val="none"/>
              </w:rPr>
            </w:pPr>
          </w:p>
        </w:tc>
        <w:tc>
          <w:tcPr>
            <w:tcW w:w="662" w:type="pct"/>
            <w:noWrap w:val="0"/>
            <w:vAlign w:val="top"/>
          </w:tcPr>
          <w:p w14:paraId="5F8A8F33">
            <w:pPr>
              <w:spacing w:line="360" w:lineRule="auto"/>
              <w:rPr>
                <w:rFonts w:hint="eastAsia" w:ascii="宋体" w:hAnsi="宋体" w:eastAsia="宋体" w:cs="宋体"/>
                <w:sz w:val="24"/>
                <w:szCs w:val="24"/>
                <w:highlight w:val="none"/>
              </w:rPr>
            </w:pPr>
          </w:p>
        </w:tc>
        <w:tc>
          <w:tcPr>
            <w:tcW w:w="598" w:type="pct"/>
            <w:noWrap w:val="0"/>
            <w:vAlign w:val="top"/>
          </w:tcPr>
          <w:p w14:paraId="4EAE25D1">
            <w:pPr>
              <w:spacing w:line="360" w:lineRule="auto"/>
              <w:rPr>
                <w:rFonts w:hint="eastAsia" w:ascii="宋体" w:hAnsi="宋体" w:eastAsia="宋体" w:cs="宋体"/>
                <w:sz w:val="24"/>
                <w:szCs w:val="24"/>
                <w:highlight w:val="none"/>
              </w:rPr>
            </w:pPr>
          </w:p>
        </w:tc>
        <w:tc>
          <w:tcPr>
            <w:tcW w:w="615" w:type="pct"/>
            <w:noWrap w:val="0"/>
            <w:vAlign w:val="top"/>
          </w:tcPr>
          <w:p w14:paraId="1F2DDD89">
            <w:pPr>
              <w:spacing w:line="360" w:lineRule="auto"/>
              <w:rPr>
                <w:rFonts w:hint="eastAsia" w:ascii="宋体" w:hAnsi="宋体" w:eastAsia="宋体" w:cs="宋体"/>
                <w:sz w:val="24"/>
                <w:szCs w:val="24"/>
                <w:highlight w:val="none"/>
              </w:rPr>
            </w:pPr>
          </w:p>
        </w:tc>
        <w:tc>
          <w:tcPr>
            <w:tcW w:w="656" w:type="pct"/>
            <w:noWrap w:val="0"/>
            <w:vAlign w:val="top"/>
          </w:tcPr>
          <w:p w14:paraId="6632A6C2">
            <w:pPr>
              <w:spacing w:line="360" w:lineRule="auto"/>
              <w:rPr>
                <w:rFonts w:hint="eastAsia" w:ascii="宋体" w:hAnsi="宋体" w:eastAsia="宋体" w:cs="宋体"/>
                <w:sz w:val="24"/>
                <w:szCs w:val="24"/>
                <w:highlight w:val="none"/>
              </w:rPr>
            </w:pPr>
          </w:p>
        </w:tc>
      </w:tr>
      <w:tr w14:paraId="078152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6" w:hRule="atLeast"/>
        </w:trPr>
        <w:tc>
          <w:tcPr>
            <w:tcW w:w="419" w:type="pct"/>
            <w:noWrap w:val="0"/>
            <w:vAlign w:val="top"/>
          </w:tcPr>
          <w:p w14:paraId="29FE304F">
            <w:pPr>
              <w:pStyle w:val="8"/>
              <w:spacing w:before="298" w:line="360" w:lineRule="auto"/>
              <w:ind w:left="216"/>
              <w:rPr>
                <w:rFonts w:hint="eastAsia" w:ascii="宋体" w:hAnsi="宋体" w:eastAsia="宋体" w:cs="宋体"/>
                <w:sz w:val="24"/>
                <w:szCs w:val="24"/>
                <w:highlight w:val="none"/>
              </w:rPr>
            </w:pPr>
            <w:r>
              <w:rPr>
                <w:rFonts w:hint="eastAsia" w:ascii="宋体" w:hAnsi="宋体" w:eastAsia="宋体" w:cs="宋体"/>
                <w:position w:val="1"/>
                <w:sz w:val="24"/>
                <w:szCs w:val="24"/>
                <w:highlight w:val="none"/>
              </w:rPr>
              <w:t>...</w:t>
            </w:r>
          </w:p>
        </w:tc>
        <w:tc>
          <w:tcPr>
            <w:tcW w:w="580" w:type="pct"/>
            <w:noWrap w:val="0"/>
            <w:vAlign w:val="top"/>
          </w:tcPr>
          <w:p w14:paraId="1F82BE48">
            <w:pPr>
              <w:spacing w:line="360" w:lineRule="auto"/>
              <w:rPr>
                <w:rFonts w:hint="eastAsia" w:ascii="宋体" w:hAnsi="宋体" w:eastAsia="宋体" w:cs="宋体"/>
                <w:sz w:val="24"/>
                <w:szCs w:val="24"/>
                <w:highlight w:val="none"/>
              </w:rPr>
            </w:pPr>
          </w:p>
        </w:tc>
        <w:tc>
          <w:tcPr>
            <w:tcW w:w="824" w:type="pct"/>
            <w:noWrap w:val="0"/>
            <w:vAlign w:val="top"/>
          </w:tcPr>
          <w:p w14:paraId="12385858">
            <w:pPr>
              <w:spacing w:line="360" w:lineRule="auto"/>
              <w:rPr>
                <w:rFonts w:hint="eastAsia" w:ascii="宋体" w:hAnsi="宋体" w:eastAsia="宋体" w:cs="宋体"/>
                <w:sz w:val="24"/>
                <w:szCs w:val="24"/>
                <w:highlight w:val="none"/>
              </w:rPr>
            </w:pPr>
          </w:p>
        </w:tc>
        <w:tc>
          <w:tcPr>
            <w:tcW w:w="642" w:type="pct"/>
            <w:noWrap w:val="0"/>
            <w:vAlign w:val="top"/>
          </w:tcPr>
          <w:p w14:paraId="5CFB4BFA">
            <w:pPr>
              <w:spacing w:line="360" w:lineRule="auto"/>
              <w:rPr>
                <w:rFonts w:hint="eastAsia" w:ascii="宋体" w:hAnsi="宋体" w:eastAsia="宋体" w:cs="宋体"/>
                <w:sz w:val="24"/>
                <w:szCs w:val="24"/>
                <w:highlight w:val="none"/>
              </w:rPr>
            </w:pPr>
          </w:p>
        </w:tc>
        <w:tc>
          <w:tcPr>
            <w:tcW w:w="662" w:type="pct"/>
            <w:noWrap w:val="0"/>
            <w:vAlign w:val="top"/>
          </w:tcPr>
          <w:p w14:paraId="3C277046">
            <w:pPr>
              <w:spacing w:line="360" w:lineRule="auto"/>
              <w:rPr>
                <w:rFonts w:hint="eastAsia" w:ascii="宋体" w:hAnsi="宋体" w:eastAsia="宋体" w:cs="宋体"/>
                <w:sz w:val="24"/>
                <w:szCs w:val="24"/>
                <w:highlight w:val="none"/>
              </w:rPr>
            </w:pPr>
          </w:p>
        </w:tc>
        <w:tc>
          <w:tcPr>
            <w:tcW w:w="598" w:type="pct"/>
            <w:noWrap w:val="0"/>
            <w:vAlign w:val="top"/>
          </w:tcPr>
          <w:p w14:paraId="5B947C21">
            <w:pPr>
              <w:spacing w:line="360" w:lineRule="auto"/>
              <w:rPr>
                <w:rFonts w:hint="eastAsia" w:ascii="宋体" w:hAnsi="宋体" w:eastAsia="宋体" w:cs="宋体"/>
                <w:sz w:val="24"/>
                <w:szCs w:val="24"/>
                <w:highlight w:val="none"/>
              </w:rPr>
            </w:pPr>
          </w:p>
        </w:tc>
        <w:tc>
          <w:tcPr>
            <w:tcW w:w="615" w:type="pct"/>
            <w:noWrap w:val="0"/>
            <w:vAlign w:val="top"/>
          </w:tcPr>
          <w:p w14:paraId="7697CB19">
            <w:pPr>
              <w:spacing w:line="360" w:lineRule="auto"/>
              <w:rPr>
                <w:rFonts w:hint="eastAsia" w:ascii="宋体" w:hAnsi="宋体" w:eastAsia="宋体" w:cs="宋体"/>
                <w:sz w:val="24"/>
                <w:szCs w:val="24"/>
                <w:highlight w:val="none"/>
              </w:rPr>
            </w:pPr>
          </w:p>
        </w:tc>
        <w:tc>
          <w:tcPr>
            <w:tcW w:w="656" w:type="pct"/>
            <w:noWrap w:val="0"/>
            <w:vAlign w:val="top"/>
          </w:tcPr>
          <w:p w14:paraId="1D04DE0F">
            <w:pPr>
              <w:spacing w:line="360" w:lineRule="auto"/>
              <w:rPr>
                <w:rFonts w:hint="eastAsia" w:ascii="宋体" w:hAnsi="宋体" w:eastAsia="宋体" w:cs="宋体"/>
                <w:sz w:val="24"/>
                <w:szCs w:val="24"/>
                <w:highlight w:val="none"/>
              </w:rPr>
            </w:pPr>
          </w:p>
        </w:tc>
      </w:tr>
    </w:tbl>
    <w:p w14:paraId="723922B4">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2、采购人根据工作实际，派员对检查工作进行现场监督。</w:t>
      </w:r>
    </w:p>
    <w:p w14:paraId="697E0F03">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lang w:eastAsia="zh-CN"/>
        </w:rPr>
        <w:t>（三）</w:t>
      </w:r>
      <w:r>
        <w:rPr>
          <w:rFonts w:hint="eastAsia" w:ascii="宋体" w:hAnsi="宋体" w:eastAsia="宋体" w:cs="仿宋"/>
          <w:sz w:val="24"/>
          <w:szCs w:val="24"/>
          <w:highlight w:val="none"/>
        </w:rPr>
        <w:t>服务内容</w:t>
      </w:r>
    </w:p>
    <w:p w14:paraId="46FC4E1A">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工作依据：①《中华人民共和国特种设备安全法》；②《特种设备安全监察条例》；③ 《特种设备安全监督检查办法》（国家市场监督管理总局令第57 号）；④《特种设备使用单位落实使用安全主体责任监督管理规定》（国家市场监督管理总局令第74 号令）；⑤《特种设备使用管理规则》（TSG 08-2017）。</w:t>
      </w:r>
    </w:p>
    <w:p w14:paraId="07F0894E">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工作内容：</w:t>
      </w:r>
    </w:p>
    <w:p w14:paraId="51FDE333">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1、开展特种设备安全隐患排查治理工作，指导企业制定整改措施，并按要求落实整改；</w:t>
      </w:r>
    </w:p>
    <w:p w14:paraId="54467269">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2、根据企业行业特点和特种设备安全管理现状，指导企业制定有针对性的管理计划；</w:t>
      </w:r>
    </w:p>
    <w:p w14:paraId="07C2E7B5">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3、指导企业建立、完善特种设备相关安全管理制度、操作规程、特种设备安全风险管控清单等；</w:t>
      </w:r>
    </w:p>
    <w:p w14:paraId="21DAE57E">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4、指导企业完善应急救援预案；</w:t>
      </w:r>
    </w:p>
    <w:p w14:paraId="1EAAAAD4">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5、针对化工园区内企业行业特点，开展各企业特种设备安全</w:t>
      </w:r>
      <w:r>
        <w:rPr>
          <w:rFonts w:hint="eastAsia" w:ascii="宋体" w:hAnsi="宋体" w:eastAsia="宋体" w:cs="仿宋"/>
          <w:sz w:val="24"/>
          <w:szCs w:val="24"/>
          <w:highlight w:val="none"/>
          <w:lang w:val="en-US" w:eastAsia="zh-CN"/>
        </w:rPr>
        <w:t>总监和安全员关于《特种设备使用单位落实使用安全主体责任监督管理规定》（国家市场监督管理总局第74号令）的</w:t>
      </w:r>
      <w:r>
        <w:rPr>
          <w:rFonts w:hint="eastAsia" w:ascii="宋体" w:hAnsi="宋体" w:eastAsia="宋体" w:cs="仿宋"/>
          <w:sz w:val="24"/>
          <w:szCs w:val="24"/>
          <w:highlight w:val="none"/>
        </w:rPr>
        <w:t>宣贯、培训</w:t>
      </w:r>
      <w:r>
        <w:rPr>
          <w:rFonts w:hint="eastAsia" w:ascii="宋体" w:hAnsi="宋体" w:eastAsia="宋体" w:cs="仿宋"/>
          <w:sz w:val="24"/>
          <w:szCs w:val="24"/>
          <w:highlight w:val="none"/>
          <w:lang w:eastAsia="zh-CN"/>
        </w:rPr>
        <w:t>，</w:t>
      </w:r>
      <w:r>
        <w:rPr>
          <w:rFonts w:hint="eastAsia" w:ascii="宋体" w:hAnsi="宋体" w:eastAsia="宋体" w:cs="仿宋"/>
          <w:sz w:val="24"/>
          <w:szCs w:val="24"/>
          <w:highlight w:val="none"/>
          <w:lang w:val="en-US" w:eastAsia="zh-CN"/>
        </w:rPr>
        <w:t>并对安全总监和安全员进行现场考核</w:t>
      </w:r>
      <w:r>
        <w:rPr>
          <w:rFonts w:hint="eastAsia" w:ascii="宋体" w:hAnsi="宋体" w:eastAsia="宋体" w:cs="仿宋"/>
          <w:sz w:val="24"/>
          <w:szCs w:val="24"/>
          <w:highlight w:val="none"/>
        </w:rPr>
        <w:t>；</w:t>
      </w:r>
    </w:p>
    <w:p w14:paraId="3C52D500">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6、根据辖区各化工园区特种设备安全隐患排查工作情况，出具隐患排查分析报告；</w:t>
      </w:r>
    </w:p>
    <w:p w14:paraId="71FC4308">
      <w:pPr>
        <w:widowControl/>
        <w:spacing w:line="360" w:lineRule="auto"/>
        <w:ind w:firstLine="480" w:firstLineChars="200"/>
        <w:jc w:val="both"/>
        <w:rPr>
          <w:rFonts w:hint="eastAsia" w:ascii="宋体" w:hAnsi="宋体" w:eastAsia="宋体" w:cs="仿宋"/>
          <w:sz w:val="24"/>
          <w:szCs w:val="24"/>
          <w:highlight w:val="none"/>
        </w:rPr>
      </w:pPr>
      <w:r>
        <w:rPr>
          <w:rFonts w:hint="eastAsia" w:ascii="宋体" w:hAnsi="宋体" w:eastAsia="宋体" w:cs="仿宋"/>
          <w:sz w:val="24"/>
          <w:szCs w:val="24"/>
          <w:highlight w:val="none"/>
        </w:rPr>
        <w:t>7、协助属地市场监管部门查办项目实施期间相关违法案件。</w:t>
      </w:r>
    </w:p>
    <w:p w14:paraId="3C3A866C">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eastAsia="zh-CN"/>
        </w:rPr>
        <w:t>（四）</w:t>
      </w:r>
      <w:r>
        <w:rPr>
          <w:rFonts w:hint="eastAsia" w:ascii="宋体" w:hAnsi="宋体" w:cs="仿宋"/>
          <w:sz w:val="24"/>
          <w:szCs w:val="24"/>
          <w:highlight w:val="none"/>
        </w:rPr>
        <w:t>服务要求</w:t>
      </w:r>
    </w:p>
    <w:p w14:paraId="4A02AF57">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根据采购人提供的化工园区企业名单，落实专业的安全技术服务人员按照规范的要求开展特种设备安全隐患排查。</w:t>
      </w:r>
    </w:p>
    <w:p w14:paraId="12337D97">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val="en-US" w:eastAsia="zh-CN"/>
        </w:rPr>
        <w:t>1、</w:t>
      </w:r>
      <w:r>
        <w:rPr>
          <w:rFonts w:hint="eastAsia" w:ascii="宋体" w:hAnsi="宋体" w:cs="仿宋"/>
          <w:sz w:val="24"/>
          <w:szCs w:val="24"/>
          <w:highlight w:val="none"/>
        </w:rPr>
        <w:t>检查项目：</w:t>
      </w:r>
    </w:p>
    <w:p w14:paraId="5BACC32A">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val="en-US" w:eastAsia="zh-CN"/>
        </w:rPr>
        <w:t>1.1</w:t>
      </w:r>
      <w:r>
        <w:rPr>
          <w:rFonts w:hint="eastAsia" w:ascii="宋体" w:hAnsi="宋体" w:cs="仿宋"/>
          <w:sz w:val="24"/>
          <w:szCs w:val="24"/>
          <w:highlight w:val="none"/>
        </w:rPr>
        <w:t>特种设备安全管理制度的建立情况：</w:t>
      </w:r>
    </w:p>
    <w:p w14:paraId="22300531">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主要检查企业是否建立了与使用单位相适应的特种设备安全管理制度：</w:t>
      </w:r>
    </w:p>
    <w:p w14:paraId="491DF8BF">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特种设备安全管理机构，按要求配备安全管理负责人、相应设备类别的特种设备①安全管理人员、作业人员；②特种设备档案管理制度；③特种设备作业人员培训管理制度；④特种设备日常巡查制度；⑤特种设备安全操作规程；⑥安全附件和仪表管理制度；⑦特种设备采购、使用登记、安装改造与修理、维护保养、定期检验等管理制度；⑧特种设备隐患排查治理制度；⑨特种设备事故应急救援制度及演练与事故报告制度。</w:t>
      </w:r>
    </w:p>
    <w:p w14:paraId="0F1C8AC6">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val="en-US" w:eastAsia="zh-CN"/>
        </w:rPr>
        <w:t>1.2</w:t>
      </w:r>
      <w:r>
        <w:rPr>
          <w:rFonts w:hint="eastAsia" w:ascii="宋体" w:hAnsi="宋体" w:cs="仿宋"/>
          <w:sz w:val="24"/>
          <w:szCs w:val="24"/>
          <w:highlight w:val="none"/>
        </w:rPr>
        <w:t>特种设备管理制度实施情况：</w:t>
      </w:r>
    </w:p>
    <w:p w14:paraId="78270F42">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对安全管理制度的实施进行检查，主要检查以下内容：</w:t>
      </w:r>
    </w:p>
    <w:p w14:paraId="2123B9FA">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①各类特种设备台账和档案；②特种作业人员台账和证书；③管理及作业人员证书；④安全附件及仪表台账；⑤可燃气体、有毒气体报警仪台账和检定报告；⑥安全操作规程；⑦运行记录、定期检查记录；⑧培训记录；⑨安装改造与修理记录；⑩安全警示标识；⑪特种设备事故应急救援制度及演练等方面的见证材料。</w:t>
      </w:r>
    </w:p>
    <w:p w14:paraId="759004EE">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val="en-US" w:eastAsia="zh-CN"/>
        </w:rPr>
        <w:t>1.3</w:t>
      </w:r>
      <w:r>
        <w:rPr>
          <w:rFonts w:hint="eastAsia" w:ascii="宋体" w:hAnsi="宋体" w:cs="仿宋"/>
          <w:sz w:val="24"/>
          <w:szCs w:val="24"/>
          <w:highlight w:val="none"/>
        </w:rPr>
        <w:t>设备使用安全检查，巡视特种设备使用现场，主要检查以下内容：</w:t>
      </w:r>
    </w:p>
    <w:p w14:paraId="1E93222B">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①承压类特种设备本体及运行状况检查：</w:t>
      </w:r>
    </w:p>
    <w:p w14:paraId="28AC2402">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特种设备是否有使用标志，产品铭牌及其有关标志是否符合有关规定；</w:t>
      </w:r>
    </w:p>
    <w:p w14:paraId="21BEA803">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锅炉、压力容器、压力管道的本体、接口（阀门、管路）部位、焊接（粘接）接头等有无裂纹、过热、变形、泄漏、机械接触损伤等；</w:t>
      </w:r>
    </w:p>
    <w:p w14:paraId="5DBE8A4F">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外表面有无腐蚀，有无异常结霜、结露等；</w:t>
      </w:r>
    </w:p>
    <w:p w14:paraId="671DCC18">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隔热层有无破损、脱落、潮湿、跑冷；</w:t>
      </w:r>
    </w:p>
    <w:p w14:paraId="0B6791F0">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检漏孔、信号孔有无漏液、漏气，检漏孔是否通畅；</w:t>
      </w:r>
    </w:p>
    <w:p w14:paraId="669982A8">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压力容器与相邻管道或者构件有无异常振动、响声或者相互摩擦；</w:t>
      </w:r>
    </w:p>
    <w:p w14:paraId="0667F0DC">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支承或者支座有无损坏，基础有无下沉、倾斜、开裂，紧固件是否齐全、完好；排放（疏水、排污）装置是否完好；</w:t>
      </w:r>
    </w:p>
    <w:p w14:paraId="14479544">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运行期间是否有超压、超温、超量等现象；</w:t>
      </w:r>
    </w:p>
    <w:p w14:paraId="31A5CBF1">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罐体有接地装置的，检查接地装置是否符合要求；监控使用的压力容器，监控措施是否有效实施；</w:t>
      </w:r>
    </w:p>
    <w:p w14:paraId="2287817D">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②机电类特种设备检查：</w:t>
      </w:r>
    </w:p>
    <w:p w14:paraId="4BFEEC4A">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特种设备是否有特种设备使用标志、安全警示标识；电梯防夹功、消防开关能是否正常；</w:t>
      </w:r>
    </w:p>
    <w:p w14:paraId="5395C687">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电梯机房门是否上锁；</w:t>
      </w:r>
    </w:p>
    <w:p w14:paraId="3B063A2D">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起重机的行程限位装置；</w:t>
      </w:r>
    </w:p>
    <w:p w14:paraId="69D9C6C4">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起重机的限载装置；</w:t>
      </w:r>
    </w:p>
    <w:p w14:paraId="04827B96">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起重机钢丝绳检查；</w:t>
      </w:r>
    </w:p>
    <w:p w14:paraId="0830AFC7">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起重机吊钩、防脱钩装置；门舱联锁装置；</w:t>
      </w:r>
    </w:p>
    <w:p w14:paraId="3CEBC788">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急停装置、缓冲装置。</w:t>
      </w:r>
    </w:p>
    <w:p w14:paraId="5FA86A93">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③场内机动车辆检查：</w:t>
      </w:r>
    </w:p>
    <w:p w14:paraId="2925B844">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叉车制动功能是否完好；</w:t>
      </w:r>
    </w:p>
    <w:p w14:paraId="4BE120CE">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刹车、转向、照明灯是否完好司机是否配带安全带。</w:t>
      </w:r>
    </w:p>
    <w:p w14:paraId="3A88458F">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④安全附件及仪表检查：</w:t>
      </w:r>
    </w:p>
    <w:p w14:paraId="408FAB84">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安全附件的检查包括对安全阀、爆破片装置、安全联锁装置、紧急切断装置等设施的检查，仪表的检查包括对压力表、液位计、测温仪表等的检查。</w:t>
      </w:r>
    </w:p>
    <w:p w14:paraId="4FE19083">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⑤是否使用未取得相应资格的人员从事特种设备安全管理、作业。</w:t>
      </w:r>
    </w:p>
    <w:p w14:paraId="7CE63CA1">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eastAsia="zh-CN"/>
        </w:rPr>
        <w:t>1）</w:t>
      </w:r>
      <w:r>
        <w:rPr>
          <w:rFonts w:hint="eastAsia" w:ascii="宋体" w:hAnsi="宋体" w:cs="仿宋"/>
          <w:sz w:val="24"/>
          <w:szCs w:val="24"/>
          <w:highlight w:val="none"/>
        </w:rPr>
        <w:t>安全阀</w:t>
      </w:r>
    </w:p>
    <w:p w14:paraId="358CBB3C">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安全阀检查至少包括以下内容和要求：</w:t>
      </w:r>
    </w:p>
    <w:p w14:paraId="6010E3BD">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选型是否正确；</w:t>
      </w:r>
    </w:p>
    <w:p w14:paraId="0580C44B">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是否在校验有效期内使用；</w:t>
      </w:r>
    </w:p>
    <w:p w14:paraId="2FB58C26">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弹簧式安全阀的调整螺钉的铅封装置是否完好；</w:t>
      </w:r>
    </w:p>
    <w:p w14:paraId="0FD44C85">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如果安全阀和排放口之间装设了截止阀，截止阀是否处于全开位置及铅封是否完好；安全阀是否有泄漏；</w:t>
      </w:r>
    </w:p>
    <w:p w14:paraId="19CF4862">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放空管是否通畅，防雨帽是否完好。</w:t>
      </w:r>
    </w:p>
    <w:p w14:paraId="54FC1CE4">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eastAsia="zh-CN"/>
        </w:rPr>
        <w:t>2）</w:t>
      </w:r>
      <w:r>
        <w:rPr>
          <w:rFonts w:hint="eastAsia" w:ascii="宋体" w:hAnsi="宋体" w:cs="仿宋"/>
          <w:sz w:val="24"/>
          <w:szCs w:val="24"/>
          <w:highlight w:val="none"/>
        </w:rPr>
        <w:t>爆破片装置</w:t>
      </w:r>
    </w:p>
    <w:p w14:paraId="67F94E40">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爆破片装置的检查至少包括以下内容：</w:t>
      </w:r>
    </w:p>
    <w:p w14:paraId="63D229EF">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爆破片是否超过规定使用期限；</w:t>
      </w:r>
    </w:p>
    <w:p w14:paraId="6166E518">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爆破片的安装方向是否正确，产品铭牌上的爆破压力和温度是否符合运行要求；爆破片装置有无渗漏；</w:t>
      </w:r>
    </w:p>
    <w:p w14:paraId="3699CEC9">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爆破片使用过程中是否存在未超压爆破或者超压未爆破的情况；</w:t>
      </w:r>
    </w:p>
    <w:p w14:paraId="30499CC6">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与爆破片夹持器相连的放空管是否通畅，放空管内是否存水（或者冰），防水帽、防雨片是否完好；</w:t>
      </w:r>
    </w:p>
    <w:p w14:paraId="2D21AACD">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爆破片和压力容器间装设的截止阀是否处于全开状态，铅封是否</w:t>
      </w:r>
      <w:r>
        <w:rPr>
          <w:rFonts w:hint="eastAsia" w:ascii="宋体" w:hAnsi="宋体" w:cs="仿宋"/>
          <w:sz w:val="24"/>
          <w:szCs w:val="24"/>
          <w:highlight w:val="none"/>
          <w:lang w:eastAsia="zh-CN"/>
        </w:rPr>
        <w:t>完好</w:t>
      </w:r>
      <w:r>
        <w:rPr>
          <w:rFonts w:hint="eastAsia" w:ascii="宋体" w:hAnsi="宋体" w:cs="仿宋"/>
          <w:sz w:val="24"/>
          <w:szCs w:val="24"/>
          <w:highlight w:val="none"/>
        </w:rPr>
        <w:t>；</w:t>
      </w:r>
    </w:p>
    <w:p w14:paraId="6CC983D4">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爆破片和安全阀串联使用，如果爆破片装在安全阀的进口侧，检查爆破片和安全阀之间装设的压力表有无压力显示，打开截止阀检查有无气体排出；</w:t>
      </w:r>
    </w:p>
    <w:p w14:paraId="3969E954">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爆破片和安全阀串联使用，如果爆破片装在安全阀的出口侧，检查爆破片和安全阀之间装设的压力表有无压力显示，如果有压力显示应当打开截止阀，检查能否顺利疏水、排气。</w:t>
      </w:r>
    </w:p>
    <w:p w14:paraId="748CD238">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eastAsia="zh-CN"/>
        </w:rPr>
        <w:t>3）</w:t>
      </w:r>
      <w:r>
        <w:rPr>
          <w:rFonts w:hint="eastAsia" w:ascii="宋体" w:hAnsi="宋体" w:cs="仿宋"/>
          <w:sz w:val="24"/>
          <w:szCs w:val="24"/>
          <w:highlight w:val="none"/>
        </w:rPr>
        <w:t>安全联锁装置</w:t>
      </w:r>
    </w:p>
    <w:p w14:paraId="02B9FB0D">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检查快开门式压力容器的安全联锁装置是否完好，功能是否符合要求。</w:t>
      </w:r>
    </w:p>
    <w:p w14:paraId="175383C8">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eastAsia="zh-CN"/>
        </w:rPr>
        <w:t>4）</w:t>
      </w:r>
      <w:r>
        <w:rPr>
          <w:rFonts w:hint="eastAsia" w:ascii="宋体" w:hAnsi="宋体" w:cs="仿宋"/>
          <w:sz w:val="24"/>
          <w:szCs w:val="24"/>
          <w:highlight w:val="none"/>
        </w:rPr>
        <w:t>压力表</w:t>
      </w:r>
    </w:p>
    <w:p w14:paraId="73C3AAFE">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压力表的检查应包括以下内容：</w:t>
      </w:r>
    </w:p>
    <w:p w14:paraId="226F21DD">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压力表的选型是否符合要求；</w:t>
      </w:r>
    </w:p>
    <w:p w14:paraId="4844A108">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压力表的定期检修维护、检定有效期及其封签是否符合规定；</w:t>
      </w:r>
    </w:p>
    <w:p w14:paraId="34DE2D30">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压力表外观、精度等级、量程是否符合要求；</w:t>
      </w:r>
    </w:p>
    <w:p w14:paraId="2AD56CEE">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在压力表和压力容器之间装设三通旋塞或者针型阀时，其位置、开启标记及其锁紧装置是否符合规定；</w:t>
      </w:r>
    </w:p>
    <w:p w14:paraId="782798D8">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同一系统上各压力表的读数是否一致。</w:t>
      </w:r>
    </w:p>
    <w:p w14:paraId="459922D0">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eastAsia="zh-CN"/>
        </w:rPr>
        <w:t>5）</w:t>
      </w:r>
      <w:r>
        <w:rPr>
          <w:rFonts w:hint="eastAsia" w:ascii="宋体" w:hAnsi="宋体" w:cs="仿宋"/>
          <w:sz w:val="24"/>
          <w:szCs w:val="24"/>
          <w:highlight w:val="none"/>
        </w:rPr>
        <w:t>液位计</w:t>
      </w:r>
    </w:p>
    <w:p w14:paraId="37F89066">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液位计的检查至少包括以下内容：</w:t>
      </w:r>
    </w:p>
    <w:p w14:paraId="3BC77379">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液位计的定期检修维护是否符合规定；</w:t>
      </w:r>
    </w:p>
    <w:p w14:paraId="005A8B9A">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液位计外观及其附件是否符合规定；</w:t>
      </w:r>
    </w:p>
    <w:p w14:paraId="0278F237">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室外使用或者盛装 0℃以下介质的液位计选型是否符合规定；</w:t>
      </w:r>
    </w:p>
    <w:p w14:paraId="46CC8D1C">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介质为易爆、毒性危害程度为极度或者高度危害的液化气体时，液位计的防止泄漏保护装置是否符合规定。</w:t>
      </w:r>
    </w:p>
    <w:p w14:paraId="5E6C9B0A">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eastAsia="zh-CN"/>
        </w:rPr>
        <w:t>6）</w:t>
      </w:r>
      <w:r>
        <w:rPr>
          <w:rFonts w:hint="eastAsia" w:ascii="宋体" w:hAnsi="宋体" w:cs="仿宋"/>
          <w:sz w:val="24"/>
          <w:szCs w:val="24"/>
          <w:highlight w:val="none"/>
        </w:rPr>
        <w:t>测温仪表</w:t>
      </w:r>
    </w:p>
    <w:p w14:paraId="16096F4F">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测温仪表的检查至少包括以下内容</w:t>
      </w:r>
      <w:r>
        <w:rPr>
          <w:rFonts w:hint="eastAsia" w:ascii="宋体" w:hAnsi="宋体" w:cs="仿宋"/>
          <w:sz w:val="24"/>
          <w:szCs w:val="24"/>
          <w:highlight w:val="none"/>
          <w:lang w:eastAsia="zh-CN"/>
        </w:rPr>
        <w:t>：</w:t>
      </w:r>
    </w:p>
    <w:p w14:paraId="78148C2F">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测温仪表的定期校验和检修是否符合规定；</w:t>
      </w:r>
    </w:p>
    <w:p w14:paraId="3942E3CF">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测温仪表的量程与其检测的温度范围是否匹配；</w:t>
      </w:r>
    </w:p>
    <w:p w14:paraId="2D5B2CE0">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测温仪表及其二次仪表的外观是否符合规定。</w:t>
      </w:r>
    </w:p>
    <w:p w14:paraId="2CFDA64D">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做到不漏项，不增项，按照检查结果出具检查记录和整改意见。</w:t>
      </w:r>
    </w:p>
    <w:p w14:paraId="28A9D027">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val="en-US" w:eastAsia="zh-CN"/>
        </w:rPr>
        <w:t>2、</w:t>
      </w:r>
      <w:r>
        <w:rPr>
          <w:rFonts w:hint="eastAsia" w:ascii="宋体" w:hAnsi="宋体" w:cs="仿宋"/>
          <w:sz w:val="24"/>
          <w:szCs w:val="24"/>
          <w:highlight w:val="none"/>
        </w:rPr>
        <w:t>检查发现问题的处置：</w:t>
      </w:r>
    </w:p>
    <w:p w14:paraId="152A52BF">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在排查过程中，对排查结果及建议反馈被检查单位，并由使用单位负责人或者其委托的授权人在隐患检查记录上确认签字。发现以下问题（重大隐患）的，立即（在24小时内）报告采购人：</w:t>
      </w:r>
    </w:p>
    <w:p w14:paraId="64FDB96F">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①使用应当予以报废的特种设备的；②使用非法生产特种设备的；③使用超期未检、经检验检测判为不合格且限期未整改的或复检不合格特种设备的；④使用经责令整改而未予整改的特种设备；⑤特种设备发生事故不予报告而继续使用的；⑥其它危及特种设备安全运行的重大问题。</w:t>
      </w:r>
    </w:p>
    <w:p w14:paraId="08458F34">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对所有检查发现问题提出整改建议，发现以上6类以外问题（一般隐患）的，建议企业限期整改（30天内）。在首次排查30天后对隐患整改情况进行跟踪，做到闭环处理。如未按要求整改完成的，复查完成后2个工作日内报告采购人，同时对化工园区企业隐患整改完成后，提供验收技术服务与支撑。</w:t>
      </w:r>
    </w:p>
    <w:p w14:paraId="532EB4E4">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lang w:val="en-US" w:eastAsia="zh-CN"/>
        </w:rPr>
        <w:t>3、</w:t>
      </w:r>
      <w:r>
        <w:rPr>
          <w:rFonts w:hint="eastAsia" w:ascii="宋体" w:hAnsi="宋体" w:cs="仿宋"/>
          <w:sz w:val="24"/>
          <w:szCs w:val="24"/>
          <w:highlight w:val="none"/>
        </w:rPr>
        <w:t>检查档案记录</w:t>
      </w:r>
    </w:p>
    <w:p w14:paraId="03BE8F00">
      <w:pPr>
        <w:widowControl/>
        <w:spacing w:line="360" w:lineRule="auto"/>
        <w:ind w:firstLine="480" w:firstLineChars="200"/>
        <w:jc w:val="both"/>
        <w:rPr>
          <w:rFonts w:hint="eastAsia" w:ascii="宋体" w:hAnsi="宋体" w:cs="仿宋"/>
          <w:sz w:val="24"/>
          <w:szCs w:val="24"/>
          <w:highlight w:val="none"/>
        </w:rPr>
      </w:pPr>
      <w:r>
        <w:rPr>
          <w:rFonts w:hint="eastAsia" w:ascii="宋体" w:hAnsi="宋体" w:cs="仿宋"/>
          <w:sz w:val="24"/>
          <w:szCs w:val="24"/>
          <w:highlight w:val="none"/>
        </w:rPr>
        <w:t>将使用单位检查情况存档备查，包括使用单位检查项目表、检查记录及见证材料，做到一企一档。并将使用单位检查情况、整改情况一周一汇总报采购人</w:t>
      </w:r>
      <w:r>
        <w:rPr>
          <w:rFonts w:hint="eastAsia" w:ascii="宋体" w:hAnsi="宋体" w:cs="仿宋"/>
          <w:sz w:val="24"/>
          <w:szCs w:val="24"/>
          <w:highlight w:val="none"/>
          <w:lang w:eastAsia="zh-CN"/>
        </w:rPr>
        <w:t>（</w:t>
      </w:r>
      <w:r>
        <w:rPr>
          <w:rFonts w:hint="eastAsia" w:ascii="宋体" w:hAnsi="宋体" w:cs="仿宋"/>
          <w:sz w:val="24"/>
          <w:szCs w:val="24"/>
          <w:highlight w:val="none"/>
        </w:rPr>
        <w:t>电子版，纸质版一并报送</w:t>
      </w:r>
      <w:r>
        <w:rPr>
          <w:rFonts w:hint="eastAsia" w:ascii="宋体" w:hAnsi="宋体" w:cs="仿宋"/>
          <w:sz w:val="24"/>
          <w:szCs w:val="24"/>
          <w:highlight w:val="none"/>
          <w:lang w:eastAsia="zh-CN"/>
        </w:rPr>
        <w:t>）</w:t>
      </w:r>
      <w:r>
        <w:rPr>
          <w:rFonts w:hint="eastAsia" w:ascii="宋体" w:hAnsi="宋体" w:cs="仿宋"/>
          <w:sz w:val="24"/>
          <w:szCs w:val="24"/>
          <w:highlight w:val="none"/>
        </w:rPr>
        <w:t>。</w:t>
      </w:r>
    </w:p>
    <w:p w14:paraId="4F8C769E">
      <w:pPr>
        <w:widowControl/>
        <w:spacing w:line="360" w:lineRule="auto"/>
        <w:ind w:firstLine="480" w:firstLineChars="200"/>
        <w:jc w:val="both"/>
        <w:rPr>
          <w:rFonts w:hint="eastAsia" w:ascii="宋体" w:hAnsi="宋体" w:cs="仿宋"/>
          <w:sz w:val="24"/>
          <w:szCs w:val="24"/>
          <w:highlight w:val="none"/>
          <w:lang w:val="en-US" w:eastAsia="zh-CN"/>
        </w:rPr>
      </w:pPr>
      <w:r>
        <w:rPr>
          <w:rFonts w:hint="eastAsia" w:ascii="宋体" w:hAnsi="宋体" w:cs="仿宋"/>
          <w:sz w:val="24"/>
          <w:szCs w:val="24"/>
          <w:highlight w:val="none"/>
          <w:lang w:val="en-US" w:eastAsia="zh-CN"/>
        </w:rPr>
        <w:t>四、其他要求：</w:t>
      </w:r>
    </w:p>
    <w:p w14:paraId="23F79EED">
      <w:pPr>
        <w:widowControl/>
        <w:spacing w:line="360" w:lineRule="auto"/>
        <w:ind w:firstLine="480" w:firstLineChars="200"/>
        <w:jc w:val="both"/>
        <w:rPr>
          <w:rFonts w:hint="eastAsia" w:ascii="宋体" w:hAnsi="宋体" w:cs="仿宋"/>
          <w:sz w:val="24"/>
          <w:szCs w:val="24"/>
          <w:highlight w:val="none"/>
          <w:lang w:val="en-US" w:eastAsia="zh-CN"/>
        </w:rPr>
      </w:pPr>
      <w:r>
        <w:rPr>
          <w:rFonts w:hint="eastAsia" w:ascii="宋体" w:hAnsi="宋体" w:cs="仿宋"/>
          <w:sz w:val="24"/>
          <w:szCs w:val="24"/>
          <w:highlight w:val="none"/>
          <w:lang w:val="en-US" w:eastAsia="zh-CN"/>
        </w:rPr>
        <w:t>1、投标人针对本项目提供实施方案，内容包含：①项目实施总体方案；②整体规划。</w:t>
      </w:r>
    </w:p>
    <w:p w14:paraId="5CDC9B92">
      <w:pPr>
        <w:widowControl/>
        <w:spacing w:line="360" w:lineRule="auto"/>
        <w:ind w:firstLine="480" w:firstLineChars="200"/>
        <w:jc w:val="both"/>
        <w:rPr>
          <w:rFonts w:hint="eastAsia" w:ascii="宋体" w:hAnsi="宋体" w:cs="仿宋"/>
          <w:sz w:val="24"/>
          <w:szCs w:val="24"/>
          <w:highlight w:val="none"/>
          <w:lang w:val="en-US" w:eastAsia="zh-CN"/>
        </w:rPr>
      </w:pPr>
      <w:r>
        <w:rPr>
          <w:rFonts w:hint="eastAsia" w:ascii="宋体" w:hAnsi="宋体" w:cs="仿宋"/>
          <w:sz w:val="24"/>
          <w:szCs w:val="24"/>
          <w:highlight w:val="none"/>
          <w:lang w:val="en-US" w:eastAsia="zh-CN"/>
        </w:rPr>
        <w:t>2、投标人针对本项目提供人员培训方案，内容包含：①培训要求；②考核制度；③培训目标；④培训内容；⑤培训方式。</w:t>
      </w:r>
    </w:p>
    <w:p w14:paraId="7F264182">
      <w:pPr>
        <w:widowControl/>
        <w:spacing w:line="360" w:lineRule="auto"/>
        <w:ind w:firstLine="480" w:firstLineChars="200"/>
        <w:jc w:val="both"/>
        <w:rPr>
          <w:rFonts w:hint="eastAsia" w:ascii="宋体" w:hAnsi="宋体" w:cs="仿宋"/>
          <w:sz w:val="24"/>
          <w:szCs w:val="24"/>
          <w:highlight w:val="none"/>
          <w:lang w:val="en-US" w:eastAsia="zh-CN"/>
        </w:rPr>
      </w:pPr>
      <w:r>
        <w:rPr>
          <w:rFonts w:hint="eastAsia" w:ascii="宋体" w:hAnsi="宋体" w:cs="仿宋"/>
          <w:sz w:val="24"/>
          <w:szCs w:val="24"/>
          <w:highlight w:val="none"/>
          <w:lang w:val="en-US" w:eastAsia="zh-CN"/>
        </w:rPr>
        <w:t>3、投标人为本项目拟派技术团队人员须具有国家市场监督管理总局颁发的（锅炉、压力容器、压力管道、电梯、起重机械和场（厂）内专用机动车辆等）六类检验师资格证书至少各1人，且配备具有高级工程师及以上职称的至少6人。</w:t>
      </w:r>
    </w:p>
    <w:p w14:paraId="79B8B902">
      <w:pPr>
        <w:widowControl/>
        <w:spacing w:line="360" w:lineRule="auto"/>
        <w:ind w:firstLine="480" w:firstLineChars="200"/>
        <w:jc w:val="both"/>
        <w:rPr>
          <w:rFonts w:hint="eastAsia" w:ascii="宋体" w:hAnsi="宋体" w:cs="仿宋"/>
          <w:sz w:val="24"/>
          <w:szCs w:val="24"/>
          <w:highlight w:val="none"/>
          <w:lang w:val="en-US" w:eastAsia="zh-CN"/>
        </w:rPr>
      </w:pPr>
      <w:r>
        <w:rPr>
          <w:rFonts w:hint="eastAsia" w:ascii="宋体" w:hAnsi="宋体" w:cs="仿宋"/>
          <w:sz w:val="24"/>
          <w:szCs w:val="24"/>
          <w:highlight w:val="none"/>
          <w:lang w:val="en-US" w:eastAsia="zh-CN"/>
        </w:rPr>
        <w:t>4、投标人为本项目配备日常办公和检测等设备，且每个检查组需配备车辆。</w:t>
      </w:r>
    </w:p>
    <w:p w14:paraId="719383CC">
      <w:pPr>
        <w:widowControl/>
        <w:spacing w:line="360" w:lineRule="auto"/>
        <w:ind w:firstLine="480" w:firstLineChars="200"/>
        <w:jc w:val="both"/>
        <w:rPr>
          <w:rFonts w:hint="eastAsia" w:ascii="宋体" w:hAnsi="宋体" w:cs="仿宋"/>
          <w:sz w:val="24"/>
          <w:szCs w:val="24"/>
          <w:highlight w:val="none"/>
          <w:lang w:val="en-US" w:eastAsia="zh-CN"/>
        </w:rPr>
      </w:pPr>
      <w:r>
        <w:rPr>
          <w:rFonts w:hint="eastAsia" w:ascii="宋体" w:hAnsi="宋体" w:cs="仿宋"/>
          <w:sz w:val="24"/>
          <w:szCs w:val="24"/>
          <w:highlight w:val="none"/>
          <w:lang w:val="en-US" w:eastAsia="zh-CN"/>
        </w:rPr>
        <w:t>5、中标人须配合采购人做好后期的整改工作。</w:t>
      </w:r>
    </w:p>
    <w:p w14:paraId="3483443C">
      <w:pPr>
        <w:widowControl/>
        <w:spacing w:line="360" w:lineRule="auto"/>
        <w:ind w:firstLine="480" w:firstLineChars="200"/>
        <w:jc w:val="both"/>
        <w:rPr>
          <w:rFonts w:hint="default" w:ascii="宋体" w:hAnsi="宋体" w:eastAsia="宋体" w:cs="仿宋"/>
          <w:sz w:val="24"/>
          <w:szCs w:val="24"/>
          <w:highlight w:val="none"/>
          <w:lang w:val="en-US" w:eastAsia="zh-CN"/>
        </w:rPr>
      </w:pPr>
      <w:r>
        <w:rPr>
          <w:rFonts w:hint="eastAsia" w:ascii="宋体" w:hAnsi="宋体" w:cs="仿宋"/>
          <w:sz w:val="24"/>
          <w:szCs w:val="24"/>
          <w:highlight w:val="none"/>
          <w:lang w:val="en-US" w:eastAsia="zh-CN"/>
        </w:rPr>
        <w:t>6、采购人将委派人员组成巡查组，对项目实施情况开展巡查。在项目实施过程中，采购人期间所产生的一切费用（包括但不限于差旅费、住宿费等）由中标人承担。</w:t>
      </w:r>
    </w:p>
    <w:p w14:paraId="2E47E016">
      <w:pPr>
        <w:spacing w:line="360" w:lineRule="auto"/>
        <w:rPr>
          <w:rFonts w:hint="eastAsia" w:ascii="宋体" w:hAnsi="宋体"/>
          <w:highlight w:val="none"/>
        </w:rPr>
      </w:pPr>
      <w:r>
        <w:rPr>
          <w:rFonts w:hint="eastAsia" w:ascii="宋体" w:hAnsi="宋体" w:cs="宋体"/>
          <w:b/>
          <w:bCs/>
          <w:sz w:val="24"/>
          <w:szCs w:val="24"/>
          <w:highlight w:val="none"/>
        </w:rPr>
        <w:t>注：以上技术/服务部分条款为基本技术要求，投标人必须全部响应（即满足或优于技术要求），否则其响应无效。</w:t>
      </w:r>
    </w:p>
    <w:p w14:paraId="4E8C7A4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094337"/>
    <w:rsid w:val="4B0943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sz w:val="21"/>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ind w:left="718"/>
    </w:pPr>
    <w:rPr>
      <w:rFonts w:ascii="宋体" w:hAnsi="宋体" w:eastAsia="宋体" w:cs="宋体"/>
      <w:sz w:val="28"/>
      <w:szCs w:val="28"/>
      <w:lang w:val="zh-CN" w:eastAsia="zh-CN" w:bidi="zh-CN"/>
    </w:rPr>
  </w:style>
  <w:style w:type="paragraph" w:styleId="3">
    <w:name w:val="Body Text First Indent"/>
    <w:basedOn w:val="2"/>
    <w:qFormat/>
    <w:uiPriority w:val="0"/>
    <w:pPr>
      <w:ind w:firstLine="420" w:firstLineChars="100"/>
    </w:pPr>
  </w:style>
  <w:style w:type="paragraph" w:styleId="4">
    <w:name w:val="Plain Text"/>
    <w:basedOn w:val="1"/>
    <w:link w:val="7"/>
    <w:qFormat/>
    <w:uiPriority w:val="0"/>
    <w:rPr>
      <w:rFonts w:ascii="宋体" w:hAnsi="Courier New"/>
      <w:sz w:val="20"/>
      <w:szCs w:val="24"/>
    </w:rPr>
  </w:style>
  <w:style w:type="character" w:customStyle="1" w:styleId="7">
    <w:name w:val="纯文本 字符"/>
    <w:link w:val="4"/>
    <w:qFormat/>
    <w:uiPriority w:val="0"/>
    <w:rPr>
      <w:rFonts w:ascii="宋体" w:hAnsi="Courier New"/>
      <w:sz w:val="20"/>
      <w:szCs w:val="24"/>
    </w:rPr>
  </w:style>
  <w:style w:type="paragraph" w:customStyle="1" w:styleId="8">
    <w:name w:val="Table Text"/>
    <w:basedOn w:val="1"/>
    <w:semiHidden/>
    <w:qFormat/>
    <w:uiPriority w:val="0"/>
    <w:rPr>
      <w:rFonts w:ascii="楷体" w:hAnsi="楷体" w:eastAsia="楷体" w:cs="楷体"/>
      <w:sz w:val="28"/>
      <w:szCs w:val="28"/>
      <w:lang w:val="en-US" w:eastAsia="en-US" w:bidi="ar-SA"/>
    </w:rPr>
  </w:style>
  <w:style w:type="table" w:customStyle="1" w:styleId="9">
    <w:name w:val="Table Normal"/>
    <w:unhideWhenUsed/>
    <w:qFormat/>
    <w:uiPriority w:val="0"/>
    <w:pPr>
      <w:spacing w:after="160" w:line="278" w:lineRule="auto"/>
    </w:pPr>
    <w:rPr>
      <w:rFonts w:ascii="Arial" w:hAnsi="Arial" w:eastAsia="等线" w:cs="Arial"/>
      <w:snapToGrid w:val="0"/>
      <w:color w:val="000000"/>
      <w:sz w:val="21"/>
      <w:szCs w:val="21"/>
      <w:lang w:val="en-US" w:eastAsia="zh-CN" w:bidi="ar-SA"/>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2026-06-02T02:25:00Z</dcterms:created>
  <dc:creator>admin</dc:creator>
  <cp:lastModifiedBy>admin</cp:lastModifiedBy>
  <dcterms:modified xsi:type="dcterms:W3CDTF">2026-06-02T02:26:24Z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7C2608FBCCBB411AB8C9BE012C8CAA65_11</vt:lpwstr>
  </property>
  <property fmtid="{D5CDD505-2E9C-101B-9397-08002B2CF9AE}" pid="4" name="KSOTemplateDocerSaveRecord">
    <vt:lpwstr>eyJoZGlkIjoiNDdiZTMxMzgxMTQyMjdhNTlhOTMzMjUzZTI4MTU1MDQiLCJ1c2VySWQiOiIxNTU5ODk3Njg1In0=</vt:lpwstr>
  </property>
</Properties>
</file>