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E569F7">
      <w:pPr>
        <w:spacing w:line="288" w:lineRule="auto"/>
        <w:ind w:left="-283" w:leftChars="-135" w:right="-340" w:rightChars="-162"/>
        <w:jc w:val="center"/>
        <w:rPr>
          <w:rFonts w:ascii="宋体" w:hAnsi="宋体"/>
          <w:b/>
          <w:color w:val="000000"/>
          <w:sz w:val="32"/>
          <w:szCs w:val="32"/>
        </w:rPr>
      </w:pPr>
      <w:r>
        <w:rPr>
          <w:rFonts w:ascii="华文中宋" w:hAnsi="华文中宋" w:eastAsia="华文中宋"/>
        </w:rPr>
        <w:tab/>
      </w:r>
      <w:r>
        <w:rPr>
          <w:rFonts w:hint="eastAsia" w:ascii="宋体" w:hAnsi="宋体"/>
          <w:b/>
          <w:color w:val="000000"/>
          <w:sz w:val="32"/>
          <w:szCs w:val="32"/>
        </w:rPr>
        <w:t>采购需求如下：具体采购</w:t>
      </w:r>
      <w:bookmarkStart w:id="7" w:name="_GoBack"/>
      <w:bookmarkEnd w:id="7"/>
      <w:r>
        <w:rPr>
          <w:rFonts w:hint="eastAsia" w:ascii="宋体" w:hAnsi="宋体"/>
          <w:b/>
          <w:color w:val="000000"/>
          <w:sz w:val="32"/>
          <w:szCs w:val="32"/>
        </w:rPr>
        <w:t>需求详见招标文件</w:t>
      </w:r>
    </w:p>
    <w:p w14:paraId="0D8CF02A">
      <w:pPr>
        <w:spacing w:line="288" w:lineRule="auto"/>
        <w:ind w:left="-283" w:leftChars="-135" w:right="-340" w:rightChars="-162"/>
        <w:jc w:val="center"/>
        <w:rPr>
          <w:rFonts w:hint="eastAsia" w:asciiTheme="minorEastAsia" w:hAnsiTheme="minorEastAsia"/>
        </w:rPr>
      </w:pPr>
    </w:p>
    <w:p w14:paraId="480AF347">
      <w:pPr>
        <w:jc w:val="left"/>
        <w:textAlignment w:val="center"/>
        <w:rPr>
          <w:rFonts w:hint="eastAsia" w:ascii="宋体" w:hAnsi="宋体" w:eastAsia="宋体" w:cs="宋体"/>
          <w:bCs/>
          <w:sz w:val="24"/>
          <w:lang w:eastAsia="zh-CN"/>
        </w:rPr>
      </w:pPr>
      <w:bookmarkStart w:id="0" w:name="OLE_LINK4"/>
      <w:bookmarkStart w:id="1" w:name="OLE_LINK3"/>
      <w:r>
        <w:rPr>
          <w:rFonts w:hint="eastAsia" w:ascii="宋体" w:hAnsi="宋体" w:eastAsia="宋体" w:cs="宋体"/>
          <w:color w:val="auto"/>
          <w:sz w:val="24"/>
          <w:szCs w:val="24"/>
          <w:lang w:eastAsia="zh-CN"/>
        </w:rPr>
        <w:t>【一】</w:t>
      </w:r>
      <w:bookmarkEnd w:id="0"/>
      <w:bookmarkEnd w:id="1"/>
      <w:r>
        <w:rPr>
          <w:rFonts w:hint="eastAsia" w:ascii="宋体" w:hAnsi="宋体" w:eastAsia="宋体" w:cs="宋体"/>
          <w:bCs/>
          <w:sz w:val="24"/>
          <w:lang w:eastAsia="zh-CN"/>
        </w:rPr>
        <w:t>采购标的（货物需求一览表）</w:t>
      </w:r>
      <w:bookmarkStart w:id="2" w:name="OLE_LINK20"/>
    </w:p>
    <w:p w14:paraId="74559C00">
      <w:pPr>
        <w:jc w:val="center"/>
        <w:textAlignment w:val="center"/>
        <w:rPr>
          <w:rFonts w:ascii="宋体" w:hAnsi="宋体" w:eastAsia="宋体" w:cs="宋体"/>
          <w:b/>
          <w:bCs/>
          <w:lang w:eastAsia="zh-CN"/>
        </w:rPr>
      </w:pPr>
      <w:r>
        <w:rPr>
          <w:rFonts w:hint="eastAsia" w:ascii="宋体" w:hAnsi="宋体" w:eastAsia="宋体" w:cs="宋体"/>
          <w:b/>
          <w:bCs/>
          <w:lang w:eastAsia="zh-CN"/>
        </w:rPr>
        <w:t>鹰潭市中心血站设备采购清单</w:t>
      </w:r>
    </w:p>
    <w:bookmarkEnd w:id="2"/>
    <w:tbl>
      <w:tblPr>
        <w:tblStyle w:val="37"/>
        <w:tblW w:w="84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2778"/>
        <w:gridCol w:w="717"/>
        <w:gridCol w:w="666"/>
        <w:gridCol w:w="2748"/>
        <w:gridCol w:w="802"/>
      </w:tblGrid>
      <w:tr w14:paraId="0D4C7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09A7B06B">
            <w:pPr>
              <w:jc w:val="center"/>
              <w:rPr>
                <w:rFonts w:hint="eastAsia"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序号</w:t>
            </w:r>
          </w:p>
        </w:tc>
        <w:tc>
          <w:tcPr>
            <w:tcW w:w="2778" w:type="dxa"/>
            <w:vAlign w:val="center"/>
          </w:tcPr>
          <w:p w14:paraId="4F4365F8">
            <w:pPr>
              <w:jc w:val="center"/>
              <w:rPr>
                <w:rFonts w:hint="eastAsia"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品名</w:t>
            </w:r>
          </w:p>
        </w:tc>
        <w:tc>
          <w:tcPr>
            <w:tcW w:w="717" w:type="dxa"/>
            <w:vAlign w:val="center"/>
          </w:tcPr>
          <w:p w14:paraId="43C8237A">
            <w:pPr>
              <w:jc w:val="center"/>
              <w:rPr>
                <w:rFonts w:hint="eastAsia"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数量</w:t>
            </w:r>
          </w:p>
        </w:tc>
        <w:tc>
          <w:tcPr>
            <w:tcW w:w="666" w:type="dxa"/>
            <w:vAlign w:val="center"/>
          </w:tcPr>
          <w:p w14:paraId="05906F00">
            <w:pPr>
              <w:jc w:val="center"/>
              <w:rPr>
                <w:rFonts w:hint="eastAsia"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单位</w:t>
            </w:r>
          </w:p>
        </w:tc>
        <w:tc>
          <w:tcPr>
            <w:tcW w:w="2748" w:type="dxa"/>
            <w:vAlign w:val="center"/>
          </w:tcPr>
          <w:p w14:paraId="747FCACD">
            <w:pPr>
              <w:jc w:val="center"/>
              <w:rPr>
                <w:rFonts w:hint="eastAsia"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主要服务内容</w:t>
            </w:r>
          </w:p>
        </w:tc>
        <w:tc>
          <w:tcPr>
            <w:tcW w:w="802" w:type="dxa"/>
            <w:vAlign w:val="center"/>
          </w:tcPr>
          <w:p w14:paraId="1F88F8A5">
            <w:pPr>
              <w:jc w:val="center"/>
              <w:rPr>
                <w:rFonts w:hint="eastAsia"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备注</w:t>
            </w:r>
          </w:p>
        </w:tc>
      </w:tr>
      <w:tr w14:paraId="64B81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6D046863">
            <w:pPr>
              <w:jc w:val="center"/>
              <w:rPr>
                <w:rFonts w:hint="eastAsia"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1</w:t>
            </w:r>
          </w:p>
        </w:tc>
        <w:tc>
          <w:tcPr>
            <w:tcW w:w="2778" w:type="dxa"/>
            <w:vAlign w:val="center"/>
          </w:tcPr>
          <w:p w14:paraId="03BED939">
            <w:pPr>
              <w:jc w:val="left"/>
              <w:rPr>
                <w:color w:val="auto"/>
              </w:rPr>
            </w:pPr>
            <w:r>
              <w:rPr>
                <w:rFonts w:hint="eastAsia" w:cs="仿宋" w:asciiTheme="minorEastAsia" w:hAnsiTheme="minorEastAsia" w:eastAsiaTheme="minorEastAsia"/>
                <w:color w:val="auto"/>
                <w:szCs w:val="21"/>
              </w:rPr>
              <w:t>微电脑采液</w:t>
            </w:r>
            <w:r>
              <w:rPr>
                <w:rFonts w:hint="eastAsia" w:cs="仿宋" w:asciiTheme="minorEastAsia" w:hAnsiTheme="minorEastAsia" w:eastAsiaTheme="minorEastAsia"/>
                <w:color w:val="auto"/>
                <w:szCs w:val="21"/>
                <w:lang w:eastAsia="zh-CN"/>
              </w:rPr>
              <w:t>控制</w:t>
            </w:r>
            <w:r>
              <w:rPr>
                <w:rFonts w:hint="eastAsia" w:cs="仿宋" w:asciiTheme="minorEastAsia" w:hAnsiTheme="minorEastAsia" w:eastAsiaTheme="minorEastAsia"/>
                <w:color w:val="auto"/>
                <w:szCs w:val="21"/>
              </w:rPr>
              <w:t>器</w:t>
            </w:r>
          </w:p>
        </w:tc>
        <w:tc>
          <w:tcPr>
            <w:tcW w:w="717" w:type="dxa"/>
            <w:vAlign w:val="center"/>
          </w:tcPr>
          <w:p w14:paraId="42AF41B8">
            <w:pPr>
              <w:jc w:val="center"/>
              <w:rPr>
                <w:rFonts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8</w:t>
            </w:r>
          </w:p>
        </w:tc>
        <w:tc>
          <w:tcPr>
            <w:tcW w:w="666" w:type="dxa"/>
            <w:vAlign w:val="center"/>
          </w:tcPr>
          <w:p w14:paraId="02D85A24">
            <w:pPr>
              <w:jc w:val="center"/>
              <w:rPr>
                <w:rFonts w:hint="eastAsia"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台</w:t>
            </w:r>
          </w:p>
        </w:tc>
        <w:tc>
          <w:tcPr>
            <w:tcW w:w="2748" w:type="dxa"/>
            <w:vAlign w:val="center"/>
          </w:tcPr>
          <w:p w14:paraId="2ABCEA72">
            <w:pPr>
              <w:jc w:val="center"/>
              <w:rPr>
                <w:rFonts w:hint="eastAsia" w:cs="仿宋" w:asciiTheme="minorEastAsia" w:hAnsiTheme="minorEastAsia" w:eastAsiaTheme="minorEastAsia"/>
                <w:color w:val="000000"/>
                <w:szCs w:val="21"/>
              </w:rPr>
            </w:pPr>
            <w:r>
              <w:fldChar w:fldCharType="begin"/>
            </w:r>
            <w:r>
              <w:instrText xml:space="preserve"> HYPERLINK "https://www.chinabidding.cn/sk/jiaju/" \t "http://www.chinabidding.com.cn/zb/_blank" \o "家具招标" </w:instrText>
            </w:r>
            <w:r>
              <w:fldChar w:fldCharType="separate"/>
            </w:r>
            <w:r>
              <w:fldChar w:fldCharType="end"/>
            </w:r>
            <w:r>
              <w:rPr>
                <w:rFonts w:hint="eastAsia" w:cs="仿宋" w:asciiTheme="minorEastAsia" w:hAnsiTheme="minorEastAsia" w:eastAsiaTheme="minorEastAsia"/>
                <w:color w:val="000000"/>
                <w:szCs w:val="21"/>
              </w:rPr>
              <w:t xml:space="preserve"> 血液采集</w:t>
            </w:r>
          </w:p>
        </w:tc>
        <w:tc>
          <w:tcPr>
            <w:tcW w:w="802" w:type="dxa"/>
            <w:vAlign w:val="center"/>
          </w:tcPr>
          <w:p w14:paraId="5C5350B2">
            <w:pPr>
              <w:jc w:val="center"/>
              <w:rPr>
                <w:rFonts w:hint="eastAsia" w:cs="仿宋" w:asciiTheme="minorEastAsia" w:hAnsiTheme="minorEastAsia" w:eastAsiaTheme="minorEastAsia"/>
                <w:color w:val="000000"/>
                <w:szCs w:val="21"/>
              </w:rPr>
            </w:pPr>
            <w:r>
              <w:rPr>
                <w:rFonts w:hint="eastAsia" w:cs="仿宋" w:asciiTheme="minorEastAsia" w:hAnsiTheme="minorEastAsia" w:eastAsiaTheme="minorEastAsia"/>
                <w:color w:val="000000"/>
                <w:szCs w:val="21"/>
              </w:rPr>
              <w:t>国产</w:t>
            </w:r>
          </w:p>
        </w:tc>
      </w:tr>
      <w:tr w14:paraId="7A6FF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3DB42DC0">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2</w:t>
            </w:r>
          </w:p>
        </w:tc>
        <w:tc>
          <w:tcPr>
            <w:tcW w:w="2778" w:type="dxa"/>
            <w:vAlign w:val="center"/>
          </w:tcPr>
          <w:p w14:paraId="421460E0">
            <w:pPr>
              <w:jc w:val="left"/>
              <w:rPr>
                <w:rFonts w:hint="eastAsia" w:cs="仿宋" w:asciiTheme="minorEastAsia" w:hAnsiTheme="minorEastAsia" w:eastAsiaTheme="minorEastAsia"/>
                <w:color w:val="auto"/>
                <w:szCs w:val="21"/>
              </w:rPr>
            </w:pPr>
            <w:r>
              <w:rPr>
                <w:rFonts w:hint="eastAsia" w:cs="仿宋" w:asciiTheme="minorEastAsia" w:hAnsiTheme="minorEastAsia" w:eastAsiaTheme="minorEastAsia"/>
                <w:color w:val="auto"/>
                <w:szCs w:val="21"/>
                <w:lang w:eastAsia="zh-CN"/>
              </w:rPr>
              <w:t>射频</w:t>
            </w:r>
            <w:r>
              <w:rPr>
                <w:rFonts w:hint="eastAsia" w:cs="仿宋" w:asciiTheme="minorEastAsia" w:hAnsiTheme="minorEastAsia" w:eastAsiaTheme="minorEastAsia"/>
                <w:color w:val="auto"/>
                <w:szCs w:val="21"/>
              </w:rPr>
              <w:t>热合封管机</w:t>
            </w:r>
          </w:p>
        </w:tc>
        <w:tc>
          <w:tcPr>
            <w:tcW w:w="717" w:type="dxa"/>
            <w:vAlign w:val="center"/>
          </w:tcPr>
          <w:p w14:paraId="3F1CC1D0">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8</w:t>
            </w:r>
          </w:p>
        </w:tc>
        <w:tc>
          <w:tcPr>
            <w:tcW w:w="666" w:type="dxa"/>
            <w:vAlign w:val="center"/>
          </w:tcPr>
          <w:p w14:paraId="73A00F5A">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1D6A95AD">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血液制备</w:t>
            </w:r>
          </w:p>
        </w:tc>
        <w:tc>
          <w:tcPr>
            <w:tcW w:w="802" w:type="dxa"/>
            <w:vAlign w:val="center"/>
          </w:tcPr>
          <w:p w14:paraId="20F95D3A">
            <w:pPr>
              <w:jc w:val="center"/>
              <w:rPr>
                <w:rFonts w:hint="eastAsia" w:cs="仿宋" w:asciiTheme="minorEastAsia" w:hAnsiTheme="minorEastAsia" w:eastAsiaTheme="minorEastAsia"/>
                <w:szCs w:val="21"/>
              </w:rPr>
            </w:pPr>
            <w:r>
              <w:rPr>
                <w:rFonts w:hint="eastAsia" w:cs="仿宋" w:asciiTheme="minorEastAsia" w:hAnsiTheme="minorEastAsia" w:eastAsiaTheme="minorEastAsia"/>
                <w:color w:val="000000"/>
                <w:szCs w:val="21"/>
              </w:rPr>
              <w:t>国产</w:t>
            </w:r>
          </w:p>
        </w:tc>
      </w:tr>
      <w:tr w14:paraId="0F534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77" w:type="dxa"/>
            <w:vAlign w:val="center"/>
          </w:tcPr>
          <w:p w14:paraId="0E36952C">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3</w:t>
            </w:r>
          </w:p>
        </w:tc>
        <w:tc>
          <w:tcPr>
            <w:tcW w:w="2778" w:type="dxa"/>
            <w:vAlign w:val="center"/>
          </w:tcPr>
          <w:p w14:paraId="536132D8">
            <w:pPr>
              <w:jc w:val="left"/>
              <w:rPr>
                <w:rFonts w:hint="eastAsia" w:cs="仿宋" w:asciiTheme="minorEastAsia" w:hAnsiTheme="minorEastAsia" w:eastAsiaTheme="minorEastAsia"/>
                <w:color w:val="auto"/>
                <w:szCs w:val="21"/>
                <w:lang w:eastAsia="zh-CN"/>
              </w:rPr>
            </w:pPr>
            <w:r>
              <w:rPr>
                <w:rFonts w:hint="eastAsia" w:cs="CESI仿宋-GB2312" w:asciiTheme="minorEastAsia" w:hAnsiTheme="minorEastAsia" w:eastAsiaTheme="minorEastAsia"/>
                <w:color w:val="auto"/>
                <w:szCs w:val="21"/>
              </w:rPr>
              <w:t>大容量低温</w:t>
            </w:r>
            <w:r>
              <w:rPr>
                <w:rFonts w:hint="eastAsia" w:cs="CESI仿宋-GB2312" w:asciiTheme="minorEastAsia" w:hAnsiTheme="minorEastAsia" w:eastAsiaTheme="minorEastAsia"/>
                <w:color w:val="auto"/>
                <w:szCs w:val="21"/>
                <w:lang w:eastAsia="zh-CN"/>
              </w:rPr>
              <w:t>（冷冻）</w:t>
            </w:r>
            <w:r>
              <w:rPr>
                <w:rFonts w:hint="eastAsia" w:cs="CESI仿宋-GB2312" w:asciiTheme="minorEastAsia" w:hAnsiTheme="minorEastAsia" w:eastAsiaTheme="minorEastAsia"/>
                <w:color w:val="auto"/>
                <w:szCs w:val="21"/>
              </w:rPr>
              <w:t>离心机</w:t>
            </w:r>
          </w:p>
        </w:tc>
        <w:tc>
          <w:tcPr>
            <w:tcW w:w="717" w:type="dxa"/>
            <w:vAlign w:val="center"/>
          </w:tcPr>
          <w:p w14:paraId="1C1CEC10">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1</w:t>
            </w:r>
          </w:p>
        </w:tc>
        <w:tc>
          <w:tcPr>
            <w:tcW w:w="666" w:type="dxa"/>
            <w:vAlign w:val="center"/>
          </w:tcPr>
          <w:p w14:paraId="23B184EA">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4AD6457A">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血液成分制备</w:t>
            </w:r>
          </w:p>
        </w:tc>
        <w:tc>
          <w:tcPr>
            <w:tcW w:w="802" w:type="dxa"/>
            <w:vAlign w:val="center"/>
          </w:tcPr>
          <w:p w14:paraId="72D8C5FC">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进口/</w:t>
            </w:r>
            <w:r>
              <w:rPr>
                <w:rFonts w:hint="eastAsia" w:cs="仿宋" w:asciiTheme="minorEastAsia" w:hAnsiTheme="minorEastAsia" w:eastAsiaTheme="minorEastAsia"/>
                <w:color w:val="000000"/>
                <w:szCs w:val="21"/>
              </w:rPr>
              <w:t>国产</w:t>
            </w:r>
          </w:p>
        </w:tc>
      </w:tr>
      <w:tr w14:paraId="29192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19515F96">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4</w:t>
            </w:r>
          </w:p>
        </w:tc>
        <w:tc>
          <w:tcPr>
            <w:tcW w:w="2778" w:type="dxa"/>
            <w:vAlign w:val="center"/>
          </w:tcPr>
          <w:p w14:paraId="403D0635">
            <w:pPr>
              <w:jc w:val="left"/>
              <w:rPr>
                <w:rFonts w:hint="eastAsia"/>
                <w:color w:val="auto"/>
              </w:rPr>
            </w:pPr>
            <w:r>
              <w:rPr>
                <w:rFonts w:hint="eastAsia" w:cs="仿宋" w:asciiTheme="minorEastAsia" w:hAnsiTheme="minorEastAsia" w:eastAsiaTheme="minorEastAsia"/>
                <w:color w:val="auto"/>
                <w:szCs w:val="21"/>
              </w:rPr>
              <w:t>便携式</w:t>
            </w:r>
            <w:r>
              <w:rPr>
                <w:rFonts w:hint="eastAsia" w:cs="仿宋" w:asciiTheme="minorEastAsia" w:hAnsiTheme="minorEastAsia" w:eastAsiaTheme="minorEastAsia"/>
                <w:color w:val="auto"/>
                <w:szCs w:val="21"/>
                <w:lang w:eastAsia="zh-CN"/>
              </w:rPr>
              <w:t>温控</w:t>
            </w:r>
            <w:r>
              <w:rPr>
                <w:rFonts w:hint="eastAsia" w:cs="仿宋" w:asciiTheme="minorEastAsia" w:hAnsiTheme="minorEastAsia" w:eastAsiaTheme="minorEastAsia"/>
                <w:color w:val="auto"/>
                <w:szCs w:val="21"/>
              </w:rPr>
              <w:t>箱</w:t>
            </w:r>
          </w:p>
        </w:tc>
        <w:tc>
          <w:tcPr>
            <w:tcW w:w="717" w:type="dxa"/>
            <w:vAlign w:val="center"/>
          </w:tcPr>
          <w:p w14:paraId="71A98F26">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2</w:t>
            </w:r>
          </w:p>
        </w:tc>
        <w:tc>
          <w:tcPr>
            <w:tcW w:w="666" w:type="dxa"/>
            <w:vAlign w:val="center"/>
          </w:tcPr>
          <w:p w14:paraId="301D53E7">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78F7D57D">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血小板运输</w:t>
            </w:r>
          </w:p>
        </w:tc>
        <w:tc>
          <w:tcPr>
            <w:tcW w:w="802" w:type="dxa"/>
          </w:tcPr>
          <w:p w14:paraId="705CBDF7">
            <w:pPr>
              <w:jc w:val="center"/>
            </w:pPr>
            <w:r>
              <w:rPr>
                <w:rFonts w:hint="eastAsia" w:cs="仿宋" w:asciiTheme="minorEastAsia" w:hAnsiTheme="minorEastAsia" w:eastAsiaTheme="minorEastAsia"/>
                <w:color w:val="000000"/>
                <w:szCs w:val="21"/>
              </w:rPr>
              <w:t>国产</w:t>
            </w:r>
          </w:p>
        </w:tc>
      </w:tr>
      <w:tr w14:paraId="3999D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5E60D385">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5</w:t>
            </w:r>
          </w:p>
        </w:tc>
        <w:tc>
          <w:tcPr>
            <w:tcW w:w="2778" w:type="dxa"/>
            <w:vAlign w:val="center"/>
          </w:tcPr>
          <w:p w14:paraId="58EC659A">
            <w:pPr>
              <w:pStyle w:val="2"/>
              <w:rPr>
                <w:rFonts w:hint="eastAsia"/>
                <w:color w:val="auto"/>
              </w:rPr>
            </w:pPr>
            <w:r>
              <w:rPr>
                <w:rFonts w:hint="eastAsia" w:cs="仿宋" w:asciiTheme="minorEastAsia" w:hAnsiTheme="minorEastAsia" w:eastAsiaTheme="minorEastAsia"/>
                <w:color w:val="auto"/>
                <w:sz w:val="21"/>
                <w:szCs w:val="21"/>
              </w:rPr>
              <w:t>便携式</w:t>
            </w:r>
            <w:r>
              <w:rPr>
                <w:rFonts w:hint="eastAsia" w:cs="仿宋" w:asciiTheme="minorEastAsia" w:hAnsiTheme="minorEastAsia" w:eastAsiaTheme="minorEastAsia"/>
                <w:color w:val="auto"/>
                <w:sz w:val="21"/>
                <w:szCs w:val="21"/>
                <w:lang w:eastAsia="zh-CN"/>
              </w:rPr>
              <w:t>温控</w:t>
            </w:r>
            <w:r>
              <w:rPr>
                <w:rFonts w:hint="eastAsia" w:cs="仿宋" w:asciiTheme="minorEastAsia" w:hAnsiTheme="minorEastAsia" w:eastAsiaTheme="minorEastAsia"/>
                <w:color w:val="auto"/>
                <w:sz w:val="21"/>
                <w:szCs w:val="21"/>
              </w:rPr>
              <w:t>箱</w:t>
            </w:r>
          </w:p>
        </w:tc>
        <w:tc>
          <w:tcPr>
            <w:tcW w:w="717" w:type="dxa"/>
            <w:vAlign w:val="center"/>
          </w:tcPr>
          <w:p w14:paraId="05B72A73">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10</w:t>
            </w:r>
          </w:p>
        </w:tc>
        <w:tc>
          <w:tcPr>
            <w:tcW w:w="666" w:type="dxa"/>
            <w:vAlign w:val="center"/>
          </w:tcPr>
          <w:p w14:paraId="24F0C0CC">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6E8EA67C">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血液成分运输</w:t>
            </w:r>
          </w:p>
        </w:tc>
        <w:tc>
          <w:tcPr>
            <w:tcW w:w="802" w:type="dxa"/>
          </w:tcPr>
          <w:p w14:paraId="25F55669">
            <w:pPr>
              <w:jc w:val="center"/>
            </w:pPr>
            <w:r>
              <w:rPr>
                <w:rFonts w:hint="eastAsia" w:cs="仿宋" w:asciiTheme="minorEastAsia" w:hAnsiTheme="minorEastAsia" w:eastAsiaTheme="minorEastAsia"/>
                <w:color w:val="000000"/>
                <w:szCs w:val="21"/>
              </w:rPr>
              <w:t>国产</w:t>
            </w:r>
          </w:p>
        </w:tc>
      </w:tr>
      <w:tr w14:paraId="6D706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2B46844B">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6</w:t>
            </w:r>
          </w:p>
        </w:tc>
        <w:tc>
          <w:tcPr>
            <w:tcW w:w="2778" w:type="dxa"/>
            <w:vAlign w:val="center"/>
          </w:tcPr>
          <w:p w14:paraId="7437741D">
            <w:pPr>
              <w:jc w:val="left"/>
              <w:rPr>
                <w:rFonts w:hint="eastAsia" w:eastAsiaTheme="minorEastAsia"/>
                <w:color w:val="auto"/>
                <w:lang w:eastAsia="zh-CN"/>
              </w:rPr>
            </w:pPr>
            <w:r>
              <w:rPr>
                <w:rFonts w:hint="eastAsia" w:cs="仿宋" w:asciiTheme="minorEastAsia" w:hAnsiTheme="minorEastAsia" w:eastAsiaTheme="minorEastAsia"/>
                <w:color w:val="auto"/>
                <w:szCs w:val="21"/>
                <w:lang w:eastAsia="zh-CN"/>
              </w:rPr>
              <w:t>全自动血培养仪</w:t>
            </w:r>
          </w:p>
        </w:tc>
        <w:tc>
          <w:tcPr>
            <w:tcW w:w="717" w:type="dxa"/>
            <w:vAlign w:val="center"/>
          </w:tcPr>
          <w:p w14:paraId="22DAC95F">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1</w:t>
            </w:r>
          </w:p>
        </w:tc>
        <w:tc>
          <w:tcPr>
            <w:tcW w:w="666" w:type="dxa"/>
            <w:vAlign w:val="center"/>
          </w:tcPr>
          <w:p w14:paraId="763579B9">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01167753">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血液产品细菌质控检测</w:t>
            </w:r>
          </w:p>
        </w:tc>
        <w:tc>
          <w:tcPr>
            <w:tcW w:w="802" w:type="dxa"/>
          </w:tcPr>
          <w:p w14:paraId="4E50BC31">
            <w:pPr>
              <w:jc w:val="center"/>
            </w:pPr>
            <w:r>
              <w:rPr>
                <w:rFonts w:hint="eastAsia" w:cs="仿宋" w:asciiTheme="minorEastAsia" w:hAnsiTheme="minorEastAsia" w:eastAsiaTheme="minorEastAsia"/>
                <w:color w:val="000000"/>
                <w:szCs w:val="21"/>
              </w:rPr>
              <w:t>国产</w:t>
            </w:r>
          </w:p>
        </w:tc>
      </w:tr>
      <w:tr w14:paraId="4FAB5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73073007">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7</w:t>
            </w:r>
          </w:p>
        </w:tc>
        <w:tc>
          <w:tcPr>
            <w:tcW w:w="2778" w:type="dxa"/>
            <w:vAlign w:val="center"/>
          </w:tcPr>
          <w:p w14:paraId="7B65F37D">
            <w:pPr>
              <w:jc w:val="left"/>
              <w:rPr>
                <w:rFonts w:hint="eastAsia" w:cs="仿宋" w:asciiTheme="minorEastAsia" w:hAnsiTheme="minorEastAsia" w:eastAsiaTheme="minorEastAsia"/>
                <w:color w:val="auto"/>
                <w:szCs w:val="21"/>
              </w:rPr>
            </w:pPr>
            <w:r>
              <w:rPr>
                <w:rFonts w:hint="eastAsia" w:cs="仿宋" w:asciiTheme="minorEastAsia" w:hAnsiTheme="minorEastAsia" w:eastAsiaTheme="minorEastAsia"/>
                <w:color w:val="auto"/>
                <w:szCs w:val="21"/>
              </w:rPr>
              <w:t>全自动血细胞分析仪</w:t>
            </w:r>
          </w:p>
        </w:tc>
        <w:tc>
          <w:tcPr>
            <w:tcW w:w="717" w:type="dxa"/>
            <w:vAlign w:val="center"/>
          </w:tcPr>
          <w:p w14:paraId="72FD7D38">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1</w:t>
            </w:r>
          </w:p>
        </w:tc>
        <w:tc>
          <w:tcPr>
            <w:tcW w:w="666" w:type="dxa"/>
            <w:vAlign w:val="center"/>
          </w:tcPr>
          <w:p w14:paraId="184373AE">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66B57D61">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血液残余白细胞等质控检测</w:t>
            </w:r>
          </w:p>
        </w:tc>
        <w:tc>
          <w:tcPr>
            <w:tcW w:w="802" w:type="dxa"/>
          </w:tcPr>
          <w:p w14:paraId="4506315B">
            <w:pPr>
              <w:jc w:val="center"/>
            </w:pPr>
            <w:r>
              <w:rPr>
                <w:rFonts w:hint="eastAsia" w:cs="仿宋" w:asciiTheme="minorEastAsia" w:hAnsiTheme="minorEastAsia" w:eastAsiaTheme="minorEastAsia"/>
                <w:color w:val="000000"/>
                <w:szCs w:val="21"/>
              </w:rPr>
              <w:t>国产</w:t>
            </w:r>
          </w:p>
        </w:tc>
      </w:tr>
      <w:tr w14:paraId="5E8C3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47232E72">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8</w:t>
            </w:r>
          </w:p>
        </w:tc>
        <w:tc>
          <w:tcPr>
            <w:tcW w:w="2778" w:type="dxa"/>
            <w:vAlign w:val="center"/>
          </w:tcPr>
          <w:p w14:paraId="1D9A519C">
            <w:pPr>
              <w:jc w:val="left"/>
              <w:rPr>
                <w:rFonts w:hint="eastAsia" w:cs="仿宋" w:asciiTheme="minorEastAsia" w:hAnsiTheme="minorEastAsia" w:eastAsiaTheme="minorEastAsia"/>
                <w:color w:val="auto"/>
                <w:szCs w:val="21"/>
              </w:rPr>
            </w:pPr>
            <w:r>
              <w:rPr>
                <w:rFonts w:hint="eastAsia" w:cs="仿宋" w:asciiTheme="minorEastAsia" w:hAnsiTheme="minorEastAsia" w:eastAsiaTheme="minorEastAsia"/>
                <w:color w:val="auto"/>
                <w:szCs w:val="21"/>
              </w:rPr>
              <w:t>全自动生化分析仪</w:t>
            </w:r>
          </w:p>
        </w:tc>
        <w:tc>
          <w:tcPr>
            <w:tcW w:w="717" w:type="dxa"/>
            <w:vAlign w:val="center"/>
          </w:tcPr>
          <w:p w14:paraId="53398AC2">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w:t>
            </w:r>
          </w:p>
        </w:tc>
        <w:tc>
          <w:tcPr>
            <w:tcW w:w="666" w:type="dxa"/>
            <w:vAlign w:val="center"/>
          </w:tcPr>
          <w:p w14:paraId="05405507">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0BE1CCD1">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血液生化项目检测</w:t>
            </w:r>
          </w:p>
        </w:tc>
        <w:tc>
          <w:tcPr>
            <w:tcW w:w="802" w:type="dxa"/>
          </w:tcPr>
          <w:p w14:paraId="1EA131B7">
            <w:pPr>
              <w:jc w:val="center"/>
            </w:pPr>
            <w:r>
              <w:rPr>
                <w:rFonts w:hint="eastAsia" w:cs="仿宋" w:asciiTheme="minorEastAsia" w:hAnsiTheme="minorEastAsia" w:eastAsiaTheme="minorEastAsia"/>
                <w:color w:val="000000"/>
                <w:szCs w:val="21"/>
              </w:rPr>
              <w:t>国产</w:t>
            </w:r>
          </w:p>
        </w:tc>
      </w:tr>
      <w:tr w14:paraId="0C03C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52C25A3C">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9</w:t>
            </w:r>
          </w:p>
        </w:tc>
        <w:tc>
          <w:tcPr>
            <w:tcW w:w="2778" w:type="dxa"/>
            <w:vAlign w:val="center"/>
          </w:tcPr>
          <w:p w14:paraId="4F165266">
            <w:pPr>
              <w:pStyle w:val="2"/>
              <w:rPr>
                <w:rFonts w:hint="eastAsia" w:eastAsiaTheme="minorEastAsia"/>
                <w:color w:val="auto"/>
                <w:lang w:eastAsia="zh-CN"/>
              </w:rPr>
            </w:pPr>
            <w:r>
              <w:rPr>
                <w:rFonts w:hint="eastAsia" w:cs="CESI仿宋-GB2312" w:asciiTheme="minorEastAsia" w:hAnsiTheme="minorEastAsia" w:eastAsiaTheme="minorEastAsia"/>
                <w:color w:val="auto"/>
                <w:sz w:val="21"/>
                <w:szCs w:val="21"/>
                <w:lang w:eastAsia="zh-CN"/>
              </w:rPr>
              <w:t>立式压力蒸汽灭菌器</w:t>
            </w:r>
          </w:p>
        </w:tc>
        <w:tc>
          <w:tcPr>
            <w:tcW w:w="717" w:type="dxa"/>
            <w:vAlign w:val="center"/>
          </w:tcPr>
          <w:p w14:paraId="3437B319">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2</w:t>
            </w:r>
          </w:p>
        </w:tc>
        <w:tc>
          <w:tcPr>
            <w:tcW w:w="666" w:type="dxa"/>
            <w:vAlign w:val="center"/>
          </w:tcPr>
          <w:p w14:paraId="6F7A0CB0">
            <w:pPr>
              <w:jc w:val="center"/>
              <w:rPr>
                <w:rFonts w:hint="eastAsia" w:cs="仿宋" w:asciiTheme="minorEastAsia" w:hAnsiTheme="minorEastAsia" w:eastAsiaTheme="minorEastAsia"/>
                <w:szCs w:val="21"/>
              </w:rPr>
            </w:pPr>
            <w:r>
              <w:rPr>
                <w:rFonts w:hint="eastAsia" w:cs="CESI仿宋-GB2312" w:asciiTheme="minorEastAsia" w:hAnsiTheme="minorEastAsia" w:eastAsiaTheme="minorEastAsia"/>
                <w:szCs w:val="21"/>
              </w:rPr>
              <w:t>台</w:t>
            </w:r>
          </w:p>
        </w:tc>
        <w:tc>
          <w:tcPr>
            <w:tcW w:w="2748" w:type="dxa"/>
            <w:vAlign w:val="center"/>
          </w:tcPr>
          <w:p w14:paraId="4D3E4758">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实验室物品消毒</w:t>
            </w:r>
          </w:p>
        </w:tc>
        <w:tc>
          <w:tcPr>
            <w:tcW w:w="802" w:type="dxa"/>
          </w:tcPr>
          <w:p w14:paraId="65A36B47">
            <w:pPr>
              <w:jc w:val="center"/>
            </w:pPr>
            <w:r>
              <w:rPr>
                <w:rFonts w:hint="eastAsia" w:cs="仿宋" w:asciiTheme="minorEastAsia" w:hAnsiTheme="minorEastAsia" w:eastAsiaTheme="minorEastAsia"/>
                <w:color w:val="000000"/>
                <w:szCs w:val="21"/>
              </w:rPr>
              <w:t>国产</w:t>
            </w:r>
          </w:p>
        </w:tc>
      </w:tr>
      <w:tr w14:paraId="7E3EE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157CA65E">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10</w:t>
            </w:r>
          </w:p>
        </w:tc>
        <w:tc>
          <w:tcPr>
            <w:tcW w:w="2778" w:type="dxa"/>
            <w:vAlign w:val="center"/>
          </w:tcPr>
          <w:p w14:paraId="0C661128">
            <w:pPr>
              <w:jc w:val="left"/>
              <w:rPr>
                <w:rFonts w:hint="eastAsia" w:cs="仿宋" w:asciiTheme="minorEastAsia" w:hAnsiTheme="minorEastAsia" w:eastAsiaTheme="minorEastAsia"/>
                <w:color w:val="auto"/>
                <w:szCs w:val="21"/>
              </w:rPr>
            </w:pPr>
            <w:r>
              <w:rPr>
                <w:rFonts w:hint="eastAsia" w:cs="CESI仿宋-GB2312" w:asciiTheme="minorEastAsia" w:hAnsiTheme="minorEastAsia" w:eastAsiaTheme="minorEastAsia"/>
                <w:color w:val="auto"/>
                <w:szCs w:val="21"/>
              </w:rPr>
              <w:t>医用冷藏箱</w:t>
            </w:r>
          </w:p>
        </w:tc>
        <w:tc>
          <w:tcPr>
            <w:tcW w:w="717" w:type="dxa"/>
            <w:vAlign w:val="center"/>
          </w:tcPr>
          <w:p w14:paraId="6CAD082E">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6</w:t>
            </w:r>
          </w:p>
        </w:tc>
        <w:tc>
          <w:tcPr>
            <w:tcW w:w="666" w:type="dxa"/>
            <w:vAlign w:val="center"/>
          </w:tcPr>
          <w:p w14:paraId="59BECE10">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3A8559A9">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检测试剂保存</w:t>
            </w:r>
          </w:p>
        </w:tc>
        <w:tc>
          <w:tcPr>
            <w:tcW w:w="802" w:type="dxa"/>
          </w:tcPr>
          <w:p w14:paraId="3856A303">
            <w:pPr>
              <w:jc w:val="center"/>
            </w:pPr>
            <w:r>
              <w:rPr>
                <w:rFonts w:hint="eastAsia" w:cs="仿宋" w:asciiTheme="minorEastAsia" w:hAnsiTheme="minorEastAsia" w:eastAsiaTheme="minorEastAsia"/>
                <w:color w:val="000000"/>
                <w:szCs w:val="21"/>
              </w:rPr>
              <w:t>国产</w:t>
            </w:r>
          </w:p>
        </w:tc>
      </w:tr>
      <w:tr w14:paraId="5E856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08CC9FE9">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11</w:t>
            </w:r>
          </w:p>
        </w:tc>
        <w:tc>
          <w:tcPr>
            <w:tcW w:w="2778" w:type="dxa"/>
            <w:vAlign w:val="center"/>
          </w:tcPr>
          <w:p w14:paraId="0E97BA45">
            <w:pPr>
              <w:jc w:val="left"/>
              <w:rPr>
                <w:rFonts w:hint="eastAsia" w:cs="仿宋" w:asciiTheme="minorEastAsia" w:hAnsiTheme="minorEastAsia" w:eastAsiaTheme="minorEastAsia"/>
                <w:color w:val="auto"/>
                <w:szCs w:val="21"/>
              </w:rPr>
            </w:pPr>
            <w:r>
              <w:rPr>
                <w:rFonts w:hint="eastAsia" w:cs="仿宋" w:asciiTheme="minorEastAsia" w:hAnsiTheme="minorEastAsia" w:eastAsiaTheme="minorEastAsia"/>
                <w:color w:val="auto"/>
                <w:szCs w:val="21"/>
              </w:rPr>
              <w:t>低温</w:t>
            </w:r>
            <w:r>
              <w:rPr>
                <w:rFonts w:hint="eastAsia" w:cs="仿宋" w:asciiTheme="minorEastAsia" w:hAnsiTheme="minorEastAsia" w:eastAsiaTheme="minorEastAsia"/>
                <w:color w:val="auto"/>
                <w:szCs w:val="21"/>
                <w:lang w:eastAsia="zh-CN"/>
              </w:rPr>
              <w:t>保存</w:t>
            </w:r>
            <w:r>
              <w:rPr>
                <w:rFonts w:hint="eastAsia" w:cs="仿宋" w:asciiTheme="minorEastAsia" w:hAnsiTheme="minorEastAsia" w:eastAsiaTheme="minorEastAsia"/>
                <w:color w:val="auto"/>
                <w:szCs w:val="21"/>
              </w:rPr>
              <w:t>箱</w:t>
            </w:r>
          </w:p>
        </w:tc>
        <w:tc>
          <w:tcPr>
            <w:tcW w:w="717" w:type="dxa"/>
            <w:vAlign w:val="center"/>
          </w:tcPr>
          <w:p w14:paraId="123C3ED6">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3</w:t>
            </w:r>
          </w:p>
        </w:tc>
        <w:tc>
          <w:tcPr>
            <w:tcW w:w="666" w:type="dxa"/>
            <w:vAlign w:val="center"/>
          </w:tcPr>
          <w:p w14:paraId="584AF6AC">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29E95DB8">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血液标本保存</w:t>
            </w:r>
          </w:p>
        </w:tc>
        <w:tc>
          <w:tcPr>
            <w:tcW w:w="802" w:type="dxa"/>
          </w:tcPr>
          <w:p w14:paraId="3179AE9C">
            <w:pPr>
              <w:jc w:val="center"/>
            </w:pPr>
            <w:r>
              <w:rPr>
                <w:rFonts w:hint="eastAsia" w:cs="仿宋" w:asciiTheme="minorEastAsia" w:hAnsiTheme="minorEastAsia" w:eastAsiaTheme="minorEastAsia"/>
                <w:color w:val="000000"/>
                <w:szCs w:val="21"/>
              </w:rPr>
              <w:t>国产</w:t>
            </w:r>
          </w:p>
        </w:tc>
      </w:tr>
      <w:tr w14:paraId="0801D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417906B3">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12</w:t>
            </w:r>
          </w:p>
        </w:tc>
        <w:tc>
          <w:tcPr>
            <w:tcW w:w="2778" w:type="dxa"/>
            <w:vAlign w:val="center"/>
          </w:tcPr>
          <w:p w14:paraId="1DC8F78A">
            <w:pPr>
              <w:pStyle w:val="2"/>
              <w:rPr>
                <w:rFonts w:hint="eastAsia" w:eastAsiaTheme="minorEastAsia"/>
                <w:color w:val="auto"/>
                <w:lang w:eastAsia="zh-CN"/>
              </w:rPr>
            </w:pPr>
            <w:r>
              <w:rPr>
                <w:rFonts w:hint="eastAsia" w:cs="仿宋" w:asciiTheme="minorEastAsia" w:hAnsiTheme="minorEastAsia" w:eastAsiaTheme="minorEastAsia"/>
                <w:color w:val="auto"/>
                <w:sz w:val="21"/>
                <w:szCs w:val="21"/>
                <w:lang w:eastAsia="zh-CN"/>
              </w:rPr>
              <w:t>医用离心机</w:t>
            </w:r>
          </w:p>
        </w:tc>
        <w:tc>
          <w:tcPr>
            <w:tcW w:w="717" w:type="dxa"/>
            <w:vAlign w:val="center"/>
          </w:tcPr>
          <w:p w14:paraId="5808AFDC">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w:t>
            </w:r>
          </w:p>
        </w:tc>
        <w:tc>
          <w:tcPr>
            <w:tcW w:w="666" w:type="dxa"/>
            <w:vAlign w:val="center"/>
          </w:tcPr>
          <w:p w14:paraId="68104000">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12B722B2">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血型鉴定</w:t>
            </w:r>
          </w:p>
        </w:tc>
        <w:tc>
          <w:tcPr>
            <w:tcW w:w="802" w:type="dxa"/>
          </w:tcPr>
          <w:p w14:paraId="0D082F26">
            <w:pPr>
              <w:jc w:val="center"/>
            </w:pPr>
            <w:r>
              <w:rPr>
                <w:rFonts w:hint="eastAsia" w:cs="仿宋" w:asciiTheme="minorEastAsia" w:hAnsiTheme="minorEastAsia" w:eastAsiaTheme="minorEastAsia"/>
                <w:color w:val="000000"/>
                <w:szCs w:val="21"/>
              </w:rPr>
              <w:t>国产</w:t>
            </w:r>
          </w:p>
        </w:tc>
      </w:tr>
      <w:tr w14:paraId="29630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090342E9">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13</w:t>
            </w:r>
          </w:p>
        </w:tc>
        <w:tc>
          <w:tcPr>
            <w:tcW w:w="2778" w:type="dxa"/>
            <w:vAlign w:val="center"/>
          </w:tcPr>
          <w:p w14:paraId="40DA11DC">
            <w:pPr>
              <w:jc w:val="left"/>
              <w:rPr>
                <w:rFonts w:hint="eastAsia" w:cs="仿宋" w:asciiTheme="minorEastAsia" w:hAnsiTheme="minorEastAsia" w:eastAsiaTheme="minorEastAsia"/>
                <w:color w:val="auto"/>
                <w:szCs w:val="21"/>
              </w:rPr>
            </w:pPr>
            <w:r>
              <w:rPr>
                <w:rFonts w:hint="eastAsia" w:cs="仿宋" w:asciiTheme="minorEastAsia" w:hAnsiTheme="minorEastAsia" w:eastAsiaTheme="minorEastAsia"/>
                <w:color w:val="auto"/>
                <w:szCs w:val="21"/>
              </w:rPr>
              <w:t>标签打印机</w:t>
            </w:r>
          </w:p>
        </w:tc>
        <w:tc>
          <w:tcPr>
            <w:tcW w:w="717" w:type="dxa"/>
            <w:vAlign w:val="center"/>
          </w:tcPr>
          <w:p w14:paraId="6C4371E6">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w:t>
            </w:r>
          </w:p>
        </w:tc>
        <w:tc>
          <w:tcPr>
            <w:tcW w:w="666" w:type="dxa"/>
            <w:vAlign w:val="center"/>
          </w:tcPr>
          <w:p w14:paraId="226C4B35">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1FE53EE0">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血液标本打印</w:t>
            </w:r>
          </w:p>
        </w:tc>
        <w:tc>
          <w:tcPr>
            <w:tcW w:w="802" w:type="dxa"/>
          </w:tcPr>
          <w:p w14:paraId="66EB55B3">
            <w:pPr>
              <w:jc w:val="center"/>
            </w:pPr>
            <w:r>
              <w:rPr>
                <w:rFonts w:hint="eastAsia" w:cs="仿宋" w:asciiTheme="minorEastAsia" w:hAnsiTheme="minorEastAsia" w:eastAsiaTheme="minorEastAsia"/>
                <w:color w:val="000000"/>
                <w:szCs w:val="21"/>
              </w:rPr>
              <w:t>国产</w:t>
            </w:r>
          </w:p>
        </w:tc>
      </w:tr>
      <w:tr w14:paraId="70CAB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77" w:type="dxa"/>
            <w:vAlign w:val="center"/>
          </w:tcPr>
          <w:p w14:paraId="07C40226">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14</w:t>
            </w:r>
          </w:p>
        </w:tc>
        <w:tc>
          <w:tcPr>
            <w:tcW w:w="2778" w:type="dxa"/>
            <w:vAlign w:val="center"/>
          </w:tcPr>
          <w:p w14:paraId="19BD8190">
            <w:pPr>
              <w:pStyle w:val="2"/>
              <w:rPr>
                <w:rFonts w:hint="eastAsia" w:eastAsiaTheme="minorEastAsia"/>
                <w:color w:val="auto"/>
                <w:lang w:eastAsia="zh-CN"/>
              </w:rPr>
            </w:pPr>
            <w:r>
              <w:rPr>
                <w:rFonts w:hint="eastAsia" w:cs="仿宋" w:asciiTheme="minorEastAsia" w:hAnsiTheme="minorEastAsia" w:eastAsiaTheme="minorEastAsia"/>
                <w:color w:val="auto"/>
                <w:sz w:val="21"/>
                <w:szCs w:val="21"/>
                <w:lang w:eastAsia="zh-CN"/>
              </w:rPr>
              <w:t>生物显微镜</w:t>
            </w:r>
          </w:p>
        </w:tc>
        <w:tc>
          <w:tcPr>
            <w:tcW w:w="717" w:type="dxa"/>
            <w:vAlign w:val="center"/>
          </w:tcPr>
          <w:p w14:paraId="184DDDBD">
            <w:pPr>
              <w:jc w:val="center"/>
              <w:rPr>
                <w:rFonts w:cs="仿宋" w:asciiTheme="minorEastAsia" w:hAnsiTheme="minorEastAsia" w:eastAsiaTheme="minorEastAsia"/>
                <w:szCs w:val="21"/>
              </w:rPr>
            </w:pPr>
            <w:r>
              <w:rPr>
                <w:rFonts w:hint="eastAsia" w:cs="仿宋" w:asciiTheme="minorEastAsia" w:hAnsiTheme="minorEastAsia" w:eastAsiaTheme="minorEastAsia"/>
                <w:szCs w:val="21"/>
              </w:rPr>
              <w:t>1</w:t>
            </w:r>
          </w:p>
        </w:tc>
        <w:tc>
          <w:tcPr>
            <w:tcW w:w="666" w:type="dxa"/>
            <w:vAlign w:val="center"/>
          </w:tcPr>
          <w:p w14:paraId="14A25153">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台</w:t>
            </w:r>
          </w:p>
        </w:tc>
        <w:tc>
          <w:tcPr>
            <w:tcW w:w="2748" w:type="dxa"/>
            <w:vAlign w:val="center"/>
          </w:tcPr>
          <w:p w14:paraId="7A2DC776">
            <w:pPr>
              <w:jc w:val="center"/>
              <w:rPr>
                <w:rFonts w:hint="eastAsia" w:cs="仿宋" w:asciiTheme="minorEastAsia" w:hAnsiTheme="minorEastAsia" w:eastAsiaTheme="minorEastAsia"/>
                <w:szCs w:val="21"/>
              </w:rPr>
            </w:pPr>
            <w:r>
              <w:rPr>
                <w:rFonts w:hint="eastAsia" w:cs="仿宋" w:asciiTheme="minorEastAsia" w:hAnsiTheme="minorEastAsia" w:eastAsiaTheme="minorEastAsia"/>
                <w:szCs w:val="21"/>
              </w:rPr>
              <w:t>血型鉴定</w:t>
            </w:r>
          </w:p>
        </w:tc>
        <w:tc>
          <w:tcPr>
            <w:tcW w:w="802" w:type="dxa"/>
          </w:tcPr>
          <w:p w14:paraId="131630C0">
            <w:pPr>
              <w:jc w:val="center"/>
            </w:pPr>
            <w:r>
              <w:rPr>
                <w:rFonts w:hint="eastAsia" w:cs="仿宋" w:asciiTheme="minorEastAsia" w:hAnsiTheme="minorEastAsia" w:eastAsiaTheme="minorEastAsia"/>
                <w:color w:val="000000"/>
                <w:szCs w:val="21"/>
              </w:rPr>
              <w:t>国产</w:t>
            </w:r>
          </w:p>
        </w:tc>
      </w:tr>
    </w:tbl>
    <w:p w14:paraId="2CC922A6">
      <w:pPr>
        <w:widowControl w:val="0"/>
        <w:spacing w:line="242" w:lineRule="auto"/>
        <w:rPr>
          <w:color w:val="auto"/>
          <w:lang w:eastAsia="zh-CN"/>
        </w:rPr>
      </w:pPr>
    </w:p>
    <w:p w14:paraId="7E81E40A">
      <w:pPr>
        <w:widowControl w:val="0"/>
        <w:spacing w:before="78" w:line="219" w:lineRule="auto"/>
        <w:rPr>
          <w:rFonts w:ascii="宋体" w:hAnsi="宋体" w:eastAsia="宋体" w:cs="宋体"/>
          <w:b/>
          <w:color w:val="auto"/>
          <w:sz w:val="24"/>
          <w:szCs w:val="24"/>
          <w:lang w:eastAsia="zh-CN"/>
        </w:rPr>
      </w:pPr>
      <w:r>
        <w:rPr>
          <w:rFonts w:hint="eastAsia" w:ascii="宋体" w:hAnsi="宋体" w:eastAsia="宋体" w:cs="宋体"/>
          <w:color w:val="auto"/>
          <w:sz w:val="24"/>
          <w:szCs w:val="24"/>
          <w:lang w:eastAsia="zh-CN"/>
        </w:rPr>
        <w:t>【二】</w:t>
      </w:r>
      <w:r>
        <w:rPr>
          <w:rFonts w:ascii="宋体" w:hAnsi="宋体" w:eastAsia="宋体" w:cs="宋体"/>
          <w:b/>
          <w:color w:val="auto"/>
          <w:sz w:val="24"/>
          <w:szCs w:val="24"/>
          <w:lang w:eastAsia="zh-CN"/>
        </w:rPr>
        <w:t xml:space="preserve"> 技术需求</w:t>
      </w:r>
    </w:p>
    <w:p w14:paraId="43B36ACC">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一.微电脑采液控制器：</w:t>
      </w:r>
    </w:p>
    <w:p w14:paraId="6E12850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参数指标∶</w:t>
      </w:r>
    </w:p>
    <w:p w14:paraId="7AC4619E">
      <w:pPr>
        <w:widowControl w:val="0"/>
        <w:numPr>
          <w:ilvl w:val="0"/>
          <w:numId w:val="2"/>
        </w:numPr>
        <w:spacing w:line="242" w:lineRule="auto"/>
        <w:rPr>
          <w:rFonts w:hint="eastAsia"/>
          <w:lang w:eastAsia="zh-CN"/>
        </w:rPr>
      </w:pPr>
      <w:r>
        <w:rPr>
          <w:rFonts w:hint="eastAsia" w:ascii="宋体" w:hAnsi="宋体" w:eastAsia="宋体" w:cs="宋体"/>
          <w:color w:val="auto"/>
          <w:sz w:val="24"/>
          <w:szCs w:val="24"/>
          <w:lang w:eastAsia="zh-CN"/>
        </w:rPr>
        <w:t>称重范围：0～1500g</w:t>
      </w:r>
    </w:p>
    <w:p w14:paraId="3FFFFDA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2.采液量范围：0～1000ml</w:t>
      </w:r>
    </w:p>
    <w:p w14:paraId="338FAFB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3.液体比重：≤1.05g/ml</w:t>
      </w:r>
    </w:p>
    <w:p w14:paraId="66CF9AD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4.分度值：≤1ml或1g</w:t>
      </w:r>
    </w:p>
    <w:p w14:paraId="1789FBA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5.摇摆角度：13°±2°</w:t>
      </w:r>
    </w:p>
    <w:p w14:paraId="4BED29E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6.摇摆频率：30±2次/分</w:t>
      </w:r>
    </w:p>
    <w:p w14:paraId="5BC0BF9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7.电源：AC220V 50Hz / DC24V （交直流两用）</w:t>
      </w:r>
    </w:p>
    <w:p w14:paraId="6D54BE2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8.配备彩色液晶触摸屏，中文操作界面，同时显示预设采液量、当前采液量、采集时间、采集进度条、报警信息、电池电量等信息</w:t>
      </w:r>
    </w:p>
    <w:p w14:paraId="6216BE6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9.支持触摸屏与实体按键双重控制方式</w:t>
      </w:r>
    </w:p>
    <w:p w14:paraId="73EB35A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10.具备独立【计时】按键，计时精确，采液时间独立显示，清晰直观</w:t>
      </w:r>
    </w:p>
    <w:p w14:paraId="1DBD826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11.可通过面板操作完成称量校正，操作简便快捷</w:t>
      </w:r>
    </w:p>
    <w:p w14:paraId="2228620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12.托盘采用磁性连接，装卸便捷，易于清洁消毒</w:t>
      </w:r>
    </w:p>
    <w:p w14:paraId="4DEA67C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13.采液量达到预设值时，托盘自动停止摇摆并恢复水平状态，同时发出报警提示</w:t>
      </w:r>
    </w:p>
    <w:p w14:paraId="3E7458C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14.采液过程中同步显示毫升（ml）与克（g）数值，直观明了</w:t>
      </w:r>
    </w:p>
    <w:p w14:paraId="4B84BD6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15.支持充电电池与交流电两种供能方式，并可实现无缝切换</w:t>
      </w:r>
    </w:p>
    <w:p w14:paraId="658E847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16.配备外接可充电电池，单次充满电后可持续工作时间≥24小时；外接电池支持独立取下充电，无需携带整机</w:t>
      </w:r>
    </w:p>
    <w:p w14:paraId="458B8E4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17.报警功能：≥3种，具备声、光、屏幕弹窗三重报警提示功能，报警音量可调节</w:t>
      </w:r>
    </w:p>
    <w:p w14:paraId="1F5B954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18.采液预设量：预设档位≥7档，其中4个固定档位（100ml、200ml、300ml、400ml），3个用户自定义档位（设定范围0～1000ml）</w:t>
      </w:r>
    </w:p>
    <w:p w14:paraId="6CC8D67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19.计时报警功能：采血时间过长自动报警，与200ml、300ml、400ml采液预设量档位关联，超过规定时长触发报警</w:t>
      </w:r>
    </w:p>
    <w:p w14:paraId="007BD45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20.机身配有折叠式拉手，携带方便，适用于流动采血场景</w:t>
      </w:r>
    </w:p>
    <w:p w14:paraId="33F49DD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21.配备便携箱，进一步提升携带便利性</w:t>
      </w:r>
    </w:p>
    <w:p w14:paraId="2636AB3F">
      <w:pPr>
        <w:widowControl w:val="0"/>
        <w:spacing w:line="242" w:lineRule="auto"/>
        <w:rPr>
          <w:rFonts w:hint="eastAsia" w:ascii="宋体" w:hAnsi="宋体" w:eastAsia="宋体" w:cs="宋体"/>
          <w:color w:val="auto"/>
          <w:sz w:val="24"/>
          <w:szCs w:val="24"/>
          <w:lang w:eastAsia="zh-CN"/>
        </w:rPr>
      </w:pPr>
    </w:p>
    <w:p w14:paraId="48B46EFE">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二．射频热合封管机：</w:t>
      </w:r>
    </w:p>
    <w:p w14:paraId="09E91FD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1.电源电压: AC220V  50Hz</w:t>
      </w:r>
    </w:p>
    <w:p w14:paraId="520A997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2.额定功率：260W</w:t>
      </w:r>
    </w:p>
    <w:p w14:paraId="3E5B4C7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3.工作频率：40.68 MHz</w:t>
      </w:r>
    </w:p>
    <w:p w14:paraId="19FFF66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4.封口速度：≥24次/分钟</w:t>
      </w:r>
    </w:p>
    <w:p w14:paraId="4DAE9DA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5.重量：≥5KG</w:t>
      </w:r>
    </w:p>
    <w:p w14:paraId="3DAD95E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6.外形尺寸：≥315×180×170 mm（长×宽×高）</w:t>
      </w:r>
    </w:p>
    <w:p w14:paraId="4433ECD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7.热合对象：输血用软塑料管</w:t>
      </w:r>
    </w:p>
    <w:p w14:paraId="7C2A9D8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8.热合管外径：Φ2～Φ7mm </w:t>
      </w:r>
    </w:p>
    <w:p w14:paraId="400E019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9.采用射频功率晶体管，能够承受高功率的电信号；</w:t>
      </w:r>
    </w:p>
    <w:p w14:paraId="4526452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10.热合控制形式：自动</w:t>
      </w:r>
    </w:p>
    <w:p w14:paraId="269A1A0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11.压感式触发热合头；</w:t>
      </w:r>
    </w:p>
    <w:p w14:paraId="0048B6D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12.冷却方式：采用风冷系统，通过导热铝制外壳、高密度散热片与静音风扇构建三重散热架构，实现高效导热与快速散热，确保封口过程温度稳定；</w:t>
      </w:r>
    </w:p>
    <w:p w14:paraId="14DD17A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13.环境温度：5 ℃～35 ℃</w:t>
      </w:r>
    </w:p>
    <w:p w14:paraId="424F24D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14.相对湿度：≤80％</w:t>
      </w:r>
    </w:p>
    <w:p w14:paraId="2480861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15.多重电压保护和滤波屏蔽设计，安全稳定；</w:t>
      </w:r>
    </w:p>
    <w:p w14:paraId="7B9FA57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16.多重电源保护装置，性能可靠，无需预热，操作便捷；</w:t>
      </w:r>
    </w:p>
    <w:p w14:paraId="38210D4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17.设备具备防辐射保护，辐射强度符合国标要求，确保高频工作下，辐射强度不超过 68dB，提供设备辐射曲线图；</w:t>
      </w:r>
    </w:p>
    <w:p w14:paraId="2B8B878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18.宽电压设计：AC90-260V  47-63Hz  </w:t>
      </w:r>
    </w:p>
    <w:p w14:paraId="0D5EE71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19.状态指示灯：绿色：待机状态，红色：热合状态；</w:t>
      </w:r>
    </w:p>
    <w:p w14:paraId="42165BA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20.热合宽度调节：具有自适应功能。对不同的管径自动调节输出功率和热合时间；</w:t>
      </w:r>
    </w:p>
    <w:p w14:paraId="5F300B3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21.热合面无需剪刀，用手轻拉即可分离；</w:t>
      </w:r>
    </w:p>
    <w:p w14:paraId="7FE51F2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22.采用耐高温陶瓷包裹热合头，封口牢固不渗漏，无污染、不破坏液体质量；</w:t>
      </w:r>
    </w:p>
    <w:p w14:paraId="4AE3266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23.防溅保护：安全有效的透明可伸缩防溅保护片；</w:t>
      </w:r>
    </w:p>
    <w:p w14:paraId="2A03CDC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24.热合头易清洁设计，隔热安全防护罩，无需借助专用工具即可方便拆卸清洗；</w:t>
      </w:r>
    </w:p>
    <w:p w14:paraId="078B873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25.面框上印有刻度尺。</w:t>
      </w:r>
    </w:p>
    <w:p w14:paraId="37BF4EA9">
      <w:pPr>
        <w:widowControl w:val="0"/>
        <w:spacing w:line="242" w:lineRule="auto"/>
        <w:rPr>
          <w:rFonts w:hint="eastAsia" w:ascii="宋体" w:hAnsi="宋体" w:eastAsia="宋体" w:cs="宋体"/>
          <w:color w:val="auto"/>
          <w:sz w:val="24"/>
          <w:szCs w:val="24"/>
          <w:lang w:eastAsia="zh-CN"/>
        </w:rPr>
      </w:pPr>
    </w:p>
    <w:p w14:paraId="78BD0FB0">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三、大容量低温（冷冻）离心机：</w:t>
      </w:r>
    </w:p>
    <w:p w14:paraId="156FC35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1.容量：每次离心至少能放置400ml四联袋16袋或200ml四联袋32袋；</w:t>
      </w:r>
    </w:p>
    <w:p w14:paraId="4EDE0E4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2.驱动系统：大力矩无碳刷电机；</w:t>
      </w:r>
    </w:p>
    <w:p w14:paraId="73B48CD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3.具有测速孔；</w:t>
      </w:r>
    </w:p>
    <w:p w14:paraId="2C11100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4.控制面板：高敏感液晶触摸屏幕；</w:t>
      </w:r>
    </w:p>
    <w:p w14:paraId="2F05A34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5.转头识别系统：机器瞬时识别转子，无需手动选取转子型号，减少出错几率，保证操作人员的安全；</w:t>
      </w:r>
    </w:p>
    <w:p w14:paraId="4B4E562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6.可记忆用户程序≥120个，带有密码保护功能，防止未授权人员使用；</w:t>
      </w:r>
    </w:p>
    <w:p w14:paraId="4ABE398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7.最大转速：至少同时离心16袋400ml四联袋时，最大转速≥3900 rpm,转速精准度≤1rpm；</w:t>
      </w:r>
    </w:p>
    <w:p w14:paraId="089D8B2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8.最大离心力：至少同时离心16袋400ml四联袋时，最大离心力≥5300×g；</w:t>
      </w:r>
    </w:p>
    <w:p w14:paraId="6D75E55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9.离心温度控制范围至少包含：-20℃～40℃，≤1℃步进可调；</w:t>
      </w:r>
    </w:p>
    <w:p w14:paraId="3EB3580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 加速选择：≥11级加速；减速选择：≥11级减速；</w:t>
      </w:r>
    </w:p>
    <w:p w14:paraId="4D72EA7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11.时间控制至少包含：1分钟～99小时；可以连续运行；</w:t>
      </w:r>
    </w:p>
    <w:p w14:paraId="34ACCE5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12.定时模式：启动计时；到速计时；定时启动模式选择；</w:t>
      </w:r>
    </w:p>
    <w:p w14:paraId="0C7EF00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13.对位不平衡容忍度≥50g；</w:t>
      </w:r>
    </w:p>
    <w:p w14:paraId="6510B1D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14.微电脑控制系统，可实现远程监测及控制功能；</w:t>
      </w:r>
    </w:p>
    <w:p w14:paraId="3EABFB4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15.离心效果积分功能：可根据每次离心中加速时间的微小变化，自动对离心时间进行调整，保证每次离心不管样品量多少都能有良好的离心效果；</w:t>
      </w:r>
    </w:p>
    <w:p w14:paraId="5755C91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16.含中文在内的多语种选择，用户日志记录，用户权限锁，自动转头ID识别，屏幕直接显示不平衡信息，过温保护，出错信息提示；具有故障自诊断功能、安全门锁、不平衡停机功能；</w:t>
      </w:r>
    </w:p>
    <w:p w14:paraId="65217D1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17.外观尺寸（宽×深×高，mm）：宽≤850 mm、深≤910 mm、高≤1020 mm；</w:t>
      </w:r>
    </w:p>
    <w:p w14:paraId="17FA430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18.电源：380±10%，50HZ，三相；</w:t>
      </w:r>
    </w:p>
    <w:p w14:paraId="578B1D6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19.功耗：≤5500VA。</w:t>
      </w:r>
    </w:p>
    <w:p w14:paraId="51FC0BD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20.含转子主机重量：≤495KG</w:t>
      </w:r>
    </w:p>
    <w:p w14:paraId="4650CE4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21.台配置：主机1台、三联袋32袋200ML血液专用转头 1 套、离心套杯2套、排水盘1套。</w:t>
      </w:r>
    </w:p>
    <w:p w14:paraId="023833AC">
      <w:pPr>
        <w:widowControl w:val="0"/>
        <w:spacing w:line="242" w:lineRule="auto"/>
        <w:rPr>
          <w:rFonts w:hint="eastAsia" w:ascii="宋体" w:hAnsi="宋体" w:eastAsia="宋体" w:cs="宋体"/>
          <w:color w:val="auto"/>
          <w:sz w:val="24"/>
          <w:szCs w:val="24"/>
          <w:lang w:eastAsia="zh-CN"/>
        </w:rPr>
      </w:pPr>
    </w:p>
    <w:p w14:paraId="3D41A595">
      <w:pPr>
        <w:widowControl w:val="0"/>
        <w:spacing w:line="242" w:lineRule="auto"/>
        <w:rPr>
          <w:rFonts w:hint="eastAsia" w:ascii="宋体" w:hAnsi="宋体" w:eastAsia="宋体" w:cs="宋体"/>
          <w:color w:val="auto"/>
          <w:sz w:val="24"/>
          <w:szCs w:val="24"/>
          <w:lang w:eastAsia="zh-CN"/>
        </w:rPr>
      </w:pPr>
    </w:p>
    <w:p w14:paraId="73C95CF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四．便携式温控箱</w:t>
      </w:r>
    </w:p>
    <w:p w14:paraId="5B69196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1.温度范围:22±2℃</w:t>
      </w:r>
    </w:p>
    <w:p w14:paraId="0179E06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2.控温精度:±0.2℃</w:t>
      </w:r>
    </w:p>
    <w:p w14:paraId="4EE0951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3.摆动频率:60转/min</w:t>
      </w:r>
    </w:p>
    <w:p w14:paraId="7CDC7C8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4.层数：≥3层</w:t>
      </w:r>
    </w:p>
    <w:p w14:paraId="1476E8B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5.摆动幅度:50mm</w:t>
      </w:r>
    </w:p>
    <w:p w14:paraId="6A18728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6.加热功率:80W</w:t>
      </w:r>
    </w:p>
    <w:p w14:paraId="4C0AB82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7.制冷功率:80W</w:t>
      </w:r>
    </w:p>
    <w:p w14:paraId="73F6957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8.电 源:交流220V、直流12V</w:t>
      </w:r>
    </w:p>
    <w:p w14:paraId="5647526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9.外型尺寸:≥440×310×340（长×宽×高）㎜</w:t>
      </w:r>
    </w:p>
    <w:p w14:paraId="6090014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10.体积小、轻便，可用于血小板的保存运输。</w:t>
      </w:r>
    </w:p>
    <w:p w14:paraId="3EE1338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11.采用高精度温控系统和内循环风道，温度均匀。</w:t>
      </w:r>
    </w:p>
    <w:p w14:paraId="7E14773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12.采用进口恒速电机，连续运转无噪音。</w:t>
      </w:r>
    </w:p>
    <w:p w14:paraId="55C0B8E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13.箱体内的隔热材料，采用聚氨酯发泡，对外界冷、热源有较强的阻绝能力。</w:t>
      </w:r>
    </w:p>
    <w:p w14:paraId="01A39A7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14.采用三种供电模式：220V交流电源、12V车载电源、内置蓄电池，既可在220V电源下使用又可在车载12V电源下工作。</w:t>
      </w:r>
    </w:p>
    <w:p w14:paraId="5A00D3F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15.内置电池可保证独立供电时长≥120分钟。</w:t>
      </w:r>
    </w:p>
    <w:p w14:paraId="686A2E98">
      <w:pPr>
        <w:widowControl w:val="0"/>
        <w:spacing w:line="242" w:lineRule="auto"/>
        <w:rPr>
          <w:rFonts w:hint="eastAsia" w:ascii="宋体" w:hAnsi="宋体" w:eastAsia="宋体" w:cs="宋体"/>
          <w:color w:val="auto"/>
          <w:sz w:val="24"/>
          <w:szCs w:val="24"/>
          <w:lang w:eastAsia="zh-CN"/>
        </w:rPr>
      </w:pPr>
    </w:p>
    <w:p w14:paraId="65D9BA62">
      <w:pPr>
        <w:widowControl w:val="0"/>
        <w:spacing w:line="242" w:lineRule="auto"/>
        <w:rPr>
          <w:rFonts w:hint="eastAsia" w:ascii="宋体" w:hAnsi="宋体" w:eastAsia="宋体" w:cs="宋体"/>
          <w:color w:val="auto"/>
          <w:sz w:val="24"/>
          <w:szCs w:val="24"/>
          <w:lang w:eastAsia="zh-CN"/>
        </w:rPr>
      </w:pPr>
    </w:p>
    <w:p w14:paraId="6F2FC643">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五.便携式温控箱：</w:t>
      </w:r>
    </w:p>
    <w:p w14:paraId="3AA4683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b/>
          <w:bCs/>
          <w:color w:val="FF0000"/>
          <w:sz w:val="24"/>
          <w:szCs w:val="24"/>
          <w:lang w:eastAsia="zh-CN"/>
        </w:rPr>
        <w:t>40L(一个):</w:t>
      </w:r>
      <w:r>
        <w:rPr>
          <w:rFonts w:hint="eastAsia" w:ascii="宋体" w:hAnsi="宋体" w:eastAsia="宋体" w:cs="宋体"/>
          <w:color w:val="auto"/>
          <w:sz w:val="24"/>
          <w:szCs w:val="24"/>
          <w:lang w:eastAsia="zh-CN"/>
        </w:rPr>
        <w:t xml:space="preserve">  </w:t>
      </w:r>
    </w:p>
    <w:p w14:paraId="36CA799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1、有效容积≥40升，内外壳选用食品级硬质塑料注塑而成；</w:t>
      </w:r>
    </w:p>
    <w:p w14:paraId="4ECFAC8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2、箱体结实耐用，其牢固度≥V级，抗冲击，适用于高温，严寒等恶劣环境；</w:t>
      </w:r>
    </w:p>
    <w:p w14:paraId="43739C66">
      <w:pPr>
        <w:widowControl w:val="0"/>
        <w:spacing w:line="242" w:lineRule="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3、保温层为无氟聚氨酯一体发泡，密度≥43kg/m3，发泡均匀，导热系数低，平均壁厚为35mm以上，性能优良；</w:t>
      </w:r>
    </w:p>
    <w:p w14:paraId="6BEE57D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4、配有塑料提手及背带，可肩背、手提，易携带；</w:t>
      </w:r>
    </w:p>
    <w:p w14:paraId="3F36AEB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5、密封采用迷宫式设计，保温效果更佳；</w:t>
      </w:r>
    </w:p>
    <w:p w14:paraId="382C300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6、采用先进的蓄冷技术达到长的控温时间；</w:t>
      </w:r>
    </w:p>
    <w:p w14:paraId="695A44D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7、适用于药品、食品等长时间的冷藏及冷冻；</w:t>
      </w:r>
    </w:p>
    <w:p w14:paraId="5B97973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8、为方便监控箱内的温度变化，箱体正面可装液晶显示温度计，精度达≤0.5℃。</w:t>
      </w:r>
    </w:p>
    <w:p w14:paraId="7462857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9、带24小时智能温湿度记录仪及平台，智能温湿度记录仪（冷链监控系统)能对接血站原管理系统并且具有信息安全管理体系认证证书。</w:t>
      </w:r>
      <w:r>
        <w:rPr>
          <w:rFonts w:hint="eastAsia" w:ascii="宋体" w:hAnsi="宋体" w:eastAsia="宋体" w:cs="宋体"/>
          <w:b/>
          <w:bCs/>
          <w:color w:val="auto"/>
          <w:sz w:val="24"/>
          <w:szCs w:val="24"/>
          <w:lang w:val="en-US" w:eastAsia="zh-CN"/>
        </w:rPr>
        <w:t>（投标人须提供</w:t>
      </w:r>
      <w:r>
        <w:rPr>
          <w:rFonts w:hint="eastAsia" w:ascii="宋体" w:hAnsi="宋体" w:eastAsia="宋体" w:cs="宋体"/>
          <w:b/>
          <w:bCs/>
          <w:color w:val="auto"/>
          <w:sz w:val="24"/>
          <w:szCs w:val="24"/>
          <w:lang w:eastAsia="zh-CN"/>
        </w:rPr>
        <w:t>智能温湿度记录仪（冷链监控系统)能对接血站原管理系统的承诺函，否则作无效投标。</w:t>
      </w:r>
      <w:r>
        <w:rPr>
          <w:rFonts w:hint="eastAsia" w:ascii="宋体" w:hAnsi="宋体" w:eastAsia="宋体" w:cs="宋体"/>
          <w:b/>
          <w:bCs/>
          <w:color w:val="auto"/>
          <w:sz w:val="24"/>
          <w:szCs w:val="24"/>
          <w:lang w:val="en-US" w:eastAsia="zh-CN"/>
        </w:rPr>
        <w:t>）</w:t>
      </w:r>
    </w:p>
    <w:p w14:paraId="38A49CC3">
      <w:pPr>
        <w:widowControl w:val="0"/>
        <w:spacing w:line="242" w:lineRule="auto"/>
        <w:rPr>
          <w:rFonts w:hint="eastAsia" w:ascii="宋体" w:hAnsi="宋体" w:eastAsia="宋体" w:cs="宋体"/>
          <w:b/>
          <w:bCs/>
          <w:color w:val="auto"/>
          <w:sz w:val="24"/>
          <w:szCs w:val="24"/>
          <w:lang w:val="en-US" w:eastAsia="zh-CN"/>
        </w:rPr>
      </w:pP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智能温湿度记录仪（冷链监控系统)或</w:t>
      </w:r>
      <w:r>
        <w:rPr>
          <w:rFonts w:hint="eastAsia" w:ascii="宋体" w:hAnsi="宋体" w:eastAsia="宋体" w:cs="宋体"/>
          <w:color w:val="auto"/>
          <w:sz w:val="24"/>
          <w:szCs w:val="24"/>
          <w:lang w:val="en-US" w:eastAsia="zh-CN"/>
        </w:rPr>
        <w:t>关键部件（比如：电池）须具备有效3C认证证书，符合国家相关强制标准要求。</w:t>
      </w:r>
      <w:r>
        <w:rPr>
          <w:rFonts w:hint="eastAsia" w:ascii="宋体" w:hAnsi="宋体" w:eastAsia="宋体" w:cs="宋体"/>
          <w:b/>
          <w:bCs/>
          <w:color w:val="auto"/>
          <w:sz w:val="24"/>
          <w:szCs w:val="24"/>
          <w:lang w:val="en-US" w:eastAsia="zh-CN"/>
        </w:rPr>
        <w:t>（投标人须提供3C认证证书扫描件加盖投标人盖章，</w:t>
      </w:r>
      <w:r>
        <w:rPr>
          <w:rFonts w:hint="eastAsia" w:ascii="宋体" w:hAnsi="宋体" w:eastAsia="宋体" w:cs="宋体"/>
          <w:b/>
          <w:bCs/>
          <w:color w:val="auto"/>
          <w:sz w:val="24"/>
          <w:szCs w:val="24"/>
          <w:lang w:eastAsia="zh-CN"/>
        </w:rPr>
        <w:t>否则作无效投标。</w:t>
      </w:r>
      <w:r>
        <w:rPr>
          <w:rFonts w:hint="eastAsia" w:ascii="宋体" w:hAnsi="宋体" w:eastAsia="宋体" w:cs="宋体"/>
          <w:b/>
          <w:bCs/>
          <w:color w:val="auto"/>
          <w:sz w:val="24"/>
          <w:szCs w:val="24"/>
          <w:lang w:val="en-US" w:eastAsia="zh-CN"/>
        </w:rPr>
        <w:t>）</w:t>
      </w:r>
    </w:p>
    <w:p w14:paraId="65840FD4">
      <w:pPr>
        <w:widowControl w:val="0"/>
        <w:spacing w:line="242" w:lineRule="auto"/>
        <w:rPr>
          <w:rFonts w:hint="default" w:ascii="宋体" w:hAnsi="宋体" w:eastAsia="宋体" w:cs="宋体"/>
          <w:color w:val="auto"/>
          <w:sz w:val="24"/>
          <w:szCs w:val="24"/>
          <w:lang w:val="en-US" w:eastAsia="zh-CN"/>
        </w:rPr>
      </w:pPr>
    </w:p>
    <w:p w14:paraId="1C00D9E7">
      <w:pPr>
        <w:widowControl w:val="0"/>
        <w:spacing w:line="242" w:lineRule="auto"/>
        <w:rPr>
          <w:rFonts w:hint="eastAsia" w:ascii="宋体" w:hAnsi="宋体" w:eastAsia="宋体" w:cs="宋体"/>
          <w:b/>
          <w:bCs/>
          <w:color w:val="FF0000"/>
          <w:sz w:val="24"/>
          <w:szCs w:val="24"/>
          <w:lang w:eastAsia="zh-CN"/>
        </w:rPr>
      </w:pPr>
      <w:r>
        <w:rPr>
          <w:rFonts w:hint="eastAsia" w:ascii="宋体" w:hAnsi="宋体" w:eastAsia="宋体" w:cs="宋体"/>
          <w:b/>
          <w:bCs/>
          <w:color w:val="FF0000"/>
          <w:sz w:val="24"/>
          <w:szCs w:val="24"/>
          <w:lang w:eastAsia="zh-CN"/>
        </w:rPr>
        <w:t>20L（三个）:</w:t>
      </w:r>
    </w:p>
    <w:p w14:paraId="7313FF6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1、有效容积≥20升，内外壳选用食品级硬质塑料注塑而成；</w:t>
      </w:r>
    </w:p>
    <w:p w14:paraId="1B3DD6B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2、箱体结实耐用，其牢固度≥V级，抗冲击，适用于高温，严寒等恶劣环境；</w:t>
      </w:r>
    </w:p>
    <w:p w14:paraId="129F266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3、保温层为无氟聚氨酯一体发泡，密度≥43kg/m3，发泡均匀，导热系数低，平均壁厚为35mm以上，性能优良；</w:t>
      </w:r>
    </w:p>
    <w:p w14:paraId="7C3677A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4、配有塑料提手及背带，可肩背、手提，易携带；</w:t>
      </w:r>
    </w:p>
    <w:p w14:paraId="4F1439D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5、密封采用迷宫式设计，保温效果更佳；</w:t>
      </w:r>
    </w:p>
    <w:p w14:paraId="23BD39A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6、采用先进的蓄冷技术达到长的控温时间；</w:t>
      </w:r>
    </w:p>
    <w:p w14:paraId="6B29F3A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7、适用于药品、食品等长时间的冷藏及冷冻；</w:t>
      </w:r>
    </w:p>
    <w:p w14:paraId="6750020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8、为方便监控箱内的温度变化，箱体正面可装液晶显示温度计，精度≤0.5℃；</w:t>
      </w:r>
    </w:p>
    <w:p w14:paraId="3485261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9、带24小时智能温湿度记录仪及平台，智能温湿度记录仪（冷链监控系统)能对接血站原管理系统并且具有信息安全管理体系认证证书。</w:t>
      </w:r>
      <w:r>
        <w:rPr>
          <w:rFonts w:hint="eastAsia" w:ascii="宋体" w:hAnsi="宋体" w:eastAsia="宋体" w:cs="宋体"/>
          <w:b/>
          <w:bCs/>
          <w:color w:val="auto"/>
          <w:sz w:val="24"/>
          <w:szCs w:val="24"/>
          <w:lang w:val="en-US" w:eastAsia="zh-CN"/>
        </w:rPr>
        <w:t>（投标人须提供</w:t>
      </w:r>
      <w:r>
        <w:rPr>
          <w:rFonts w:hint="eastAsia" w:ascii="宋体" w:hAnsi="宋体" w:eastAsia="宋体" w:cs="宋体"/>
          <w:b/>
          <w:bCs/>
          <w:color w:val="auto"/>
          <w:sz w:val="24"/>
          <w:szCs w:val="24"/>
          <w:lang w:eastAsia="zh-CN"/>
        </w:rPr>
        <w:t>智能温湿度记录仪（冷链监控系统)能对接血站原管理系统的承诺函，否则作无效投标。</w:t>
      </w:r>
      <w:r>
        <w:rPr>
          <w:rFonts w:hint="eastAsia" w:ascii="宋体" w:hAnsi="宋体" w:eastAsia="宋体" w:cs="宋体"/>
          <w:b/>
          <w:bCs/>
          <w:color w:val="auto"/>
          <w:sz w:val="24"/>
          <w:szCs w:val="24"/>
          <w:lang w:val="en-US" w:eastAsia="zh-CN"/>
        </w:rPr>
        <w:t>）</w:t>
      </w:r>
    </w:p>
    <w:p w14:paraId="78746480">
      <w:pPr>
        <w:widowControl w:val="0"/>
        <w:spacing w:line="242" w:lineRule="auto"/>
        <w:rPr>
          <w:rFonts w:hint="eastAsia" w:ascii="宋体" w:hAnsi="宋体" w:eastAsia="宋体" w:cs="宋体"/>
          <w:b/>
          <w:bCs/>
          <w:color w:val="auto"/>
          <w:sz w:val="24"/>
          <w:szCs w:val="24"/>
          <w:lang w:val="en-US" w:eastAsia="zh-CN"/>
        </w:rPr>
      </w:pP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智能温湿度记录仪（冷链监控系统)或</w:t>
      </w:r>
      <w:r>
        <w:rPr>
          <w:rFonts w:hint="eastAsia" w:ascii="宋体" w:hAnsi="宋体" w:eastAsia="宋体" w:cs="宋体"/>
          <w:color w:val="auto"/>
          <w:sz w:val="24"/>
          <w:szCs w:val="24"/>
          <w:lang w:val="en-US" w:eastAsia="zh-CN"/>
        </w:rPr>
        <w:t>关键部件（比如：电池）须具备有效3C认证证书，符合国家相关强制标准要求。</w:t>
      </w:r>
      <w:r>
        <w:rPr>
          <w:rFonts w:hint="eastAsia" w:ascii="宋体" w:hAnsi="宋体" w:eastAsia="宋体" w:cs="宋体"/>
          <w:b/>
          <w:bCs/>
          <w:color w:val="auto"/>
          <w:sz w:val="24"/>
          <w:szCs w:val="24"/>
          <w:lang w:val="en-US" w:eastAsia="zh-CN"/>
        </w:rPr>
        <w:t>（投标人须提供3C认证证书扫描件加盖投标人盖章，</w:t>
      </w:r>
      <w:r>
        <w:rPr>
          <w:rFonts w:hint="eastAsia" w:ascii="宋体" w:hAnsi="宋体" w:eastAsia="宋体" w:cs="宋体"/>
          <w:b/>
          <w:bCs/>
          <w:color w:val="auto"/>
          <w:sz w:val="24"/>
          <w:szCs w:val="24"/>
          <w:lang w:eastAsia="zh-CN"/>
        </w:rPr>
        <w:t>否则作无效投标。</w:t>
      </w:r>
      <w:r>
        <w:rPr>
          <w:rFonts w:hint="eastAsia" w:ascii="宋体" w:hAnsi="宋体" w:eastAsia="宋体" w:cs="宋体"/>
          <w:b/>
          <w:bCs/>
          <w:color w:val="auto"/>
          <w:sz w:val="24"/>
          <w:szCs w:val="24"/>
          <w:lang w:val="en-US" w:eastAsia="zh-CN"/>
        </w:rPr>
        <w:t>）</w:t>
      </w:r>
    </w:p>
    <w:p w14:paraId="3E076732">
      <w:pPr>
        <w:widowControl w:val="0"/>
        <w:spacing w:line="242" w:lineRule="auto"/>
        <w:rPr>
          <w:rFonts w:hint="eastAsia" w:ascii="宋体" w:hAnsi="宋体" w:eastAsia="宋体" w:cs="宋体"/>
          <w:color w:val="auto"/>
          <w:sz w:val="24"/>
          <w:szCs w:val="24"/>
          <w:lang w:eastAsia="zh-CN"/>
        </w:rPr>
      </w:pPr>
    </w:p>
    <w:p w14:paraId="1A9C8165">
      <w:pPr>
        <w:widowControl w:val="0"/>
        <w:spacing w:line="242" w:lineRule="auto"/>
        <w:rPr>
          <w:rFonts w:hint="eastAsia" w:ascii="宋体" w:hAnsi="宋体" w:eastAsia="宋体" w:cs="宋体"/>
          <w:b/>
          <w:bCs/>
          <w:color w:val="FF0000"/>
          <w:sz w:val="24"/>
          <w:szCs w:val="24"/>
          <w:lang w:eastAsia="zh-CN"/>
        </w:rPr>
      </w:pPr>
      <w:r>
        <w:rPr>
          <w:rFonts w:hint="eastAsia" w:ascii="宋体" w:hAnsi="宋体" w:eastAsia="宋体" w:cs="宋体"/>
          <w:b/>
          <w:bCs/>
          <w:color w:val="FF0000"/>
          <w:sz w:val="24"/>
          <w:szCs w:val="24"/>
          <w:lang w:eastAsia="zh-CN"/>
        </w:rPr>
        <w:t>15L（三个）:</w:t>
      </w:r>
    </w:p>
    <w:p w14:paraId="28CAD01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1、有效容积≥15升，内外壳选用食品级硬质塑料注塑而成；</w:t>
      </w:r>
    </w:p>
    <w:p w14:paraId="7912DF3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2、箱体结实耐用，其牢固度≥V级，抗冲击，适用于高温，严寒等恶劣环境；</w:t>
      </w:r>
    </w:p>
    <w:p w14:paraId="692B3F9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3、保温层为无氟聚氨酯一体发泡，密度≥43kg/m3，发泡均匀，导热系数低，平均壁厚为35mm以上，性能优良；</w:t>
      </w:r>
    </w:p>
    <w:p w14:paraId="6D6BB42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4、配有塑料提手及背带，可肩背、手提，易携带；</w:t>
      </w:r>
    </w:p>
    <w:p w14:paraId="67838B9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5、密封采用迷宫式设计，保温效果更佳；</w:t>
      </w:r>
    </w:p>
    <w:p w14:paraId="45B87C8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6、采用先进的蓄冷技术达到长的控温时间；</w:t>
      </w:r>
    </w:p>
    <w:p w14:paraId="375AB44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7、适用于药品、食品等长时间的冷藏及冷冻；</w:t>
      </w:r>
    </w:p>
    <w:p w14:paraId="31717A9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8、为方便监控箱内的温度变化，箱体正面可装液晶显示温度计，精度达≤0.5℃。</w:t>
      </w:r>
    </w:p>
    <w:p w14:paraId="7ED4642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9、带24小时智能温湿度记录仪及平台，智能温湿度记录仪（冷链监控系统)能对接血站原管理系统并且具有信息安全管理体系认证证书。</w:t>
      </w:r>
      <w:r>
        <w:rPr>
          <w:rFonts w:hint="eastAsia" w:ascii="宋体" w:hAnsi="宋体" w:eastAsia="宋体" w:cs="宋体"/>
          <w:b/>
          <w:bCs/>
          <w:color w:val="auto"/>
          <w:sz w:val="24"/>
          <w:szCs w:val="24"/>
          <w:lang w:val="en-US" w:eastAsia="zh-CN"/>
        </w:rPr>
        <w:t>（投标人须提供</w:t>
      </w:r>
      <w:r>
        <w:rPr>
          <w:rFonts w:hint="eastAsia" w:ascii="宋体" w:hAnsi="宋体" w:eastAsia="宋体" w:cs="宋体"/>
          <w:b/>
          <w:bCs/>
          <w:color w:val="auto"/>
          <w:sz w:val="24"/>
          <w:szCs w:val="24"/>
          <w:lang w:eastAsia="zh-CN"/>
        </w:rPr>
        <w:t>智能温湿度记录仪（冷链监控系统)能对接血站原管理系统的承诺函，否则作无效投标。</w:t>
      </w:r>
      <w:r>
        <w:rPr>
          <w:rFonts w:hint="eastAsia" w:ascii="宋体" w:hAnsi="宋体" w:eastAsia="宋体" w:cs="宋体"/>
          <w:b/>
          <w:bCs/>
          <w:color w:val="auto"/>
          <w:sz w:val="24"/>
          <w:szCs w:val="24"/>
          <w:lang w:val="en-US" w:eastAsia="zh-CN"/>
        </w:rPr>
        <w:t>）</w:t>
      </w:r>
    </w:p>
    <w:p w14:paraId="31140D29">
      <w:pPr>
        <w:widowControl w:val="0"/>
        <w:spacing w:line="242" w:lineRule="auto"/>
        <w:rPr>
          <w:rFonts w:hint="eastAsia" w:ascii="宋体" w:hAnsi="宋体" w:eastAsia="宋体" w:cs="宋体"/>
          <w:b/>
          <w:bCs/>
          <w:color w:val="auto"/>
          <w:sz w:val="24"/>
          <w:szCs w:val="24"/>
          <w:lang w:val="en-US" w:eastAsia="zh-CN"/>
        </w:rPr>
      </w:pP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智能温湿度记录仪（冷链监控系统)或</w:t>
      </w:r>
      <w:r>
        <w:rPr>
          <w:rFonts w:hint="eastAsia" w:ascii="宋体" w:hAnsi="宋体" w:eastAsia="宋体" w:cs="宋体"/>
          <w:color w:val="auto"/>
          <w:sz w:val="24"/>
          <w:szCs w:val="24"/>
          <w:lang w:val="en-US" w:eastAsia="zh-CN"/>
        </w:rPr>
        <w:t>关键部件（比如：电池）须具备有效3C认证证书，符合国家相关强制标准要求。</w:t>
      </w:r>
      <w:r>
        <w:rPr>
          <w:rFonts w:hint="eastAsia" w:ascii="宋体" w:hAnsi="宋体" w:eastAsia="宋体" w:cs="宋体"/>
          <w:b/>
          <w:bCs/>
          <w:color w:val="auto"/>
          <w:sz w:val="24"/>
          <w:szCs w:val="24"/>
          <w:lang w:val="en-US" w:eastAsia="zh-CN"/>
        </w:rPr>
        <w:t>（投标人须提供3C认证证书扫描件加盖投标人盖章，</w:t>
      </w:r>
      <w:r>
        <w:rPr>
          <w:rFonts w:hint="eastAsia" w:ascii="宋体" w:hAnsi="宋体" w:eastAsia="宋体" w:cs="宋体"/>
          <w:b/>
          <w:bCs/>
          <w:color w:val="auto"/>
          <w:sz w:val="24"/>
          <w:szCs w:val="24"/>
          <w:lang w:eastAsia="zh-CN"/>
        </w:rPr>
        <w:t>否则作无效投标。</w:t>
      </w:r>
      <w:r>
        <w:rPr>
          <w:rFonts w:hint="eastAsia" w:ascii="宋体" w:hAnsi="宋体" w:eastAsia="宋体" w:cs="宋体"/>
          <w:b/>
          <w:bCs/>
          <w:color w:val="auto"/>
          <w:sz w:val="24"/>
          <w:szCs w:val="24"/>
          <w:lang w:val="en-US" w:eastAsia="zh-CN"/>
        </w:rPr>
        <w:t>）</w:t>
      </w:r>
    </w:p>
    <w:p w14:paraId="22A822C1">
      <w:pPr>
        <w:widowControl w:val="0"/>
        <w:spacing w:line="242" w:lineRule="auto"/>
        <w:rPr>
          <w:rFonts w:hint="eastAsia" w:ascii="宋体" w:hAnsi="宋体" w:eastAsia="宋体" w:cs="宋体"/>
          <w:color w:val="auto"/>
          <w:sz w:val="24"/>
          <w:szCs w:val="24"/>
          <w:lang w:eastAsia="zh-CN"/>
        </w:rPr>
      </w:pPr>
    </w:p>
    <w:p w14:paraId="70091244">
      <w:pPr>
        <w:widowControl w:val="0"/>
        <w:spacing w:line="242" w:lineRule="auto"/>
        <w:rPr>
          <w:rFonts w:hint="eastAsia" w:ascii="宋体" w:hAnsi="宋体" w:eastAsia="宋体" w:cs="宋体"/>
          <w:b/>
          <w:bCs/>
          <w:color w:val="FF0000"/>
          <w:sz w:val="24"/>
          <w:szCs w:val="24"/>
          <w:lang w:eastAsia="zh-CN"/>
        </w:rPr>
      </w:pPr>
      <w:r>
        <w:rPr>
          <w:rFonts w:hint="eastAsia" w:ascii="宋体" w:hAnsi="宋体" w:eastAsia="宋体" w:cs="宋体"/>
          <w:b/>
          <w:bCs/>
          <w:color w:val="FF0000"/>
          <w:sz w:val="24"/>
          <w:szCs w:val="24"/>
          <w:lang w:eastAsia="zh-CN"/>
        </w:rPr>
        <w:t>12L（三个）:</w:t>
      </w:r>
    </w:p>
    <w:p w14:paraId="5C6952D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1、有效容积≥12升，内外壳选用食品级硬质塑料注塑而成；</w:t>
      </w:r>
    </w:p>
    <w:p w14:paraId="571E26F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2、箱体结实耐用，其牢固度≥V级，抗冲击，适用于高温，严寒等恶劣环境；</w:t>
      </w:r>
    </w:p>
    <w:p w14:paraId="6807D3C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3、保温层为无氟聚氨酯一体发泡，密度≥43kg/m3，发泡均匀，导热系数低，平均壁厚为35mm以上，性能优良；</w:t>
      </w:r>
    </w:p>
    <w:p w14:paraId="4B2763B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4、配有塑料提手及背带，可肩背、手提，易携带；</w:t>
      </w:r>
    </w:p>
    <w:p w14:paraId="46033D7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5、密封采用迷宫式设计，保温效果更佳；</w:t>
      </w:r>
    </w:p>
    <w:p w14:paraId="69B0D7C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6、采用先进的蓄冷技术达到长的控温时间；</w:t>
      </w:r>
    </w:p>
    <w:p w14:paraId="6A8D948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7、适用于药品、食品等长时间的冷藏及冷冻；</w:t>
      </w:r>
    </w:p>
    <w:p w14:paraId="37EA56A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8、为方便监控箱内的温度变化，箱体正面可装液晶显示温度计，精度达≤0.5℃；</w:t>
      </w:r>
    </w:p>
    <w:p w14:paraId="62B5251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9、带24小时智能温湿度记录仪及平台，智能温湿度记录仪（冷链监控系统)能对接血站原管理系统并且具有信息安全管理体系认证证书。</w:t>
      </w:r>
      <w:r>
        <w:rPr>
          <w:rFonts w:hint="eastAsia" w:ascii="宋体" w:hAnsi="宋体" w:eastAsia="宋体" w:cs="宋体"/>
          <w:b/>
          <w:bCs/>
          <w:color w:val="auto"/>
          <w:sz w:val="24"/>
          <w:szCs w:val="24"/>
          <w:lang w:val="en-US" w:eastAsia="zh-CN"/>
        </w:rPr>
        <w:t>（投标人须提供</w:t>
      </w:r>
      <w:r>
        <w:rPr>
          <w:rFonts w:hint="eastAsia" w:ascii="宋体" w:hAnsi="宋体" w:eastAsia="宋体" w:cs="宋体"/>
          <w:b/>
          <w:bCs/>
          <w:color w:val="auto"/>
          <w:sz w:val="24"/>
          <w:szCs w:val="24"/>
          <w:lang w:eastAsia="zh-CN"/>
        </w:rPr>
        <w:t>智能温湿度记录仪（冷链监控系统)能对接血站原管理系统的承诺函，否则作无效投标。</w:t>
      </w:r>
      <w:r>
        <w:rPr>
          <w:rFonts w:hint="eastAsia" w:ascii="宋体" w:hAnsi="宋体" w:eastAsia="宋体" w:cs="宋体"/>
          <w:b/>
          <w:bCs/>
          <w:color w:val="auto"/>
          <w:sz w:val="24"/>
          <w:szCs w:val="24"/>
          <w:lang w:val="en-US" w:eastAsia="zh-CN"/>
        </w:rPr>
        <w:t>）</w:t>
      </w:r>
    </w:p>
    <w:p w14:paraId="4413E31C">
      <w:pPr>
        <w:widowControl w:val="0"/>
        <w:spacing w:line="242" w:lineRule="auto"/>
        <w:rPr>
          <w:rFonts w:hint="eastAsia" w:ascii="宋体" w:hAnsi="宋体" w:eastAsia="宋体" w:cs="宋体"/>
          <w:b/>
          <w:bCs/>
          <w:color w:val="auto"/>
          <w:sz w:val="24"/>
          <w:szCs w:val="24"/>
          <w:lang w:val="en-US" w:eastAsia="zh-CN"/>
        </w:rPr>
      </w:pP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智能温湿度记录仪（冷链监控系统)或</w:t>
      </w:r>
      <w:r>
        <w:rPr>
          <w:rFonts w:hint="eastAsia" w:ascii="宋体" w:hAnsi="宋体" w:eastAsia="宋体" w:cs="宋体"/>
          <w:color w:val="auto"/>
          <w:sz w:val="24"/>
          <w:szCs w:val="24"/>
          <w:lang w:val="en-US" w:eastAsia="zh-CN"/>
        </w:rPr>
        <w:t>关键部件（比如：电池）须具备有效3C认证证书，符合国家相关强制标准要求。</w:t>
      </w:r>
      <w:r>
        <w:rPr>
          <w:rFonts w:hint="eastAsia" w:ascii="宋体" w:hAnsi="宋体" w:eastAsia="宋体" w:cs="宋体"/>
          <w:b/>
          <w:bCs/>
          <w:color w:val="auto"/>
          <w:sz w:val="24"/>
          <w:szCs w:val="24"/>
          <w:lang w:val="en-US" w:eastAsia="zh-CN"/>
        </w:rPr>
        <w:t>（投标人须提供3C认证证书扫描件加盖投标人盖章，</w:t>
      </w:r>
      <w:r>
        <w:rPr>
          <w:rFonts w:hint="eastAsia" w:ascii="宋体" w:hAnsi="宋体" w:eastAsia="宋体" w:cs="宋体"/>
          <w:b/>
          <w:bCs/>
          <w:color w:val="auto"/>
          <w:sz w:val="24"/>
          <w:szCs w:val="24"/>
          <w:lang w:eastAsia="zh-CN"/>
        </w:rPr>
        <w:t>否则作无效投标。</w:t>
      </w:r>
      <w:r>
        <w:rPr>
          <w:rFonts w:hint="eastAsia" w:ascii="宋体" w:hAnsi="宋体" w:eastAsia="宋体" w:cs="宋体"/>
          <w:b/>
          <w:bCs/>
          <w:color w:val="auto"/>
          <w:sz w:val="24"/>
          <w:szCs w:val="24"/>
          <w:lang w:val="en-US" w:eastAsia="zh-CN"/>
        </w:rPr>
        <w:t>）</w:t>
      </w:r>
    </w:p>
    <w:p w14:paraId="3AC631D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w:t>
      </w:r>
    </w:p>
    <w:p w14:paraId="664C0BCF">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六.全自动血培养仪：</w:t>
      </w:r>
    </w:p>
    <w:p w14:paraId="6243175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1、检测原理：采用色原法检测技术，当培养瓶内有微生物生长，代谢过程中产生CO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 xml:space="preserve"> 可经过半透膜渗透至瓶底，与感应器结合，指示剂产生颜色变化，经光电检测得知CO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变化情况，自动连续记忆并制成曲线图，通过计算机分析处理后，判断阴性或阳性结果。</w:t>
      </w:r>
    </w:p>
    <w:p w14:paraId="6EB1A55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2、检测容量：单模块标本位≥40个，最大可支持9台仪器联机扩充检测容量。</w:t>
      </w:r>
    </w:p>
    <w:p w14:paraId="03AD525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3、培养模式：翻盖式培养箱结构，布局紧凑，故障率低，恒温控制、摇摆震荡培养。</w:t>
      </w:r>
    </w:p>
    <w:p w14:paraId="7132A25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4、温控系统：配置独立温度检测和控制系统，用户可根据需求灵活设定培养温度，温度波动范围≤±1.5℃。</w:t>
      </w:r>
    </w:p>
    <w:p w14:paraId="5A95364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5、培养周期：每个培养瓶孔位设置独立检测器，支持每个孔位设定独立不同的培养周期。</w:t>
      </w:r>
    </w:p>
    <w:p w14:paraId="21BBE3B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6、取放瓶模式：支持盲置和盲取。盲置：扫码后，可在任意可用空位放入标本瓶；盲取：指定瓶位指示灯指示阳性/阴性瓶后，其它类型空位指示灯熄灭，同类型指示灯保持点亮，方便快速取出同类型的标本瓶。</w:t>
      </w:r>
    </w:p>
    <w:p w14:paraId="2357B3B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7、检测频率：仪器24小时连续不间断实时监控，每10分钟自动对每份标本检测一次并记录，形成微生物生长曲线，对阴阳性结果自动判定，并能给出声音、图形等相关报警信号提示。</w:t>
      </w:r>
    </w:p>
    <w:p w14:paraId="18F0678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8、匿名培养：支持匿名瓶上机培养，并可通过设置将匿名瓶转换为正式瓶。</w:t>
      </w:r>
    </w:p>
    <w:p w14:paraId="2A7F4CF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9、延迟上机：支持延迟瓶放入及检测。</w:t>
      </w:r>
    </w:p>
    <w:p w14:paraId="037C6AE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10、样本再培养：取出后的培养瓶，扫码后再次上机可以继续培养，之前检测数据不丢失；支持假阳培养瓶重新放入检测。</w:t>
      </w:r>
    </w:p>
    <w:p w14:paraId="070DB45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11、条形码：双条码管理系统，放瓶等操作简单方便，可随意或指定方式取瓶及置瓶；</w:t>
      </w:r>
    </w:p>
    <w:p w14:paraId="7436085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12、自动检测：全自动化培养、检测、预警，无需手工校正；</w:t>
      </w:r>
    </w:p>
    <w:p w14:paraId="5C667D2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13、远程控制：支持远程控制，支持接入实验室管理系统，如HIS、LIS系统；</w:t>
      </w:r>
    </w:p>
    <w:p w14:paraId="2D2906F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14、结果报告：可导出带生长曲线的样本检测报告；</w:t>
      </w:r>
    </w:p>
    <w:p w14:paraId="397DF23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15、培养瓶材质：多层聚合纤维培养瓶，采用扎口设计，防摔破，防污染；</w:t>
      </w:r>
    </w:p>
    <w:p w14:paraId="21A66BD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16、培养瓶种类：成人需氧/厌氧中和抗生素瓶；儿童需氧中和抗生素瓶；L型需氧中和抗生素瓶；</w:t>
      </w:r>
    </w:p>
    <w:p w14:paraId="4FC9259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17、中和抗生素瓶：采用特殊树脂吸附抗生素技术，保证中和抗生素效果的同时不影响革兰氏染色涂片结果；</w:t>
      </w:r>
    </w:p>
    <w:p w14:paraId="15CEBA0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18、标本采集：培养瓶内为负压，同时在瓶体有定量刻度，可实现真空定量采血；</w:t>
      </w:r>
    </w:p>
    <w:p w14:paraId="51D7833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19、软件系统：可视化程度高，可提供多种辅助信息，具有培养时间图形显示、统计分析等；</w:t>
      </w:r>
    </w:p>
    <w:p w14:paraId="11B09A57">
      <w:pPr>
        <w:widowControl w:val="0"/>
        <w:spacing w:line="242" w:lineRule="auto"/>
        <w:rPr>
          <w:rFonts w:hint="eastAsia" w:ascii="宋体" w:hAnsi="宋体" w:eastAsia="宋体" w:cs="宋体"/>
          <w:color w:val="auto"/>
          <w:sz w:val="24"/>
          <w:szCs w:val="24"/>
          <w:lang w:eastAsia="zh-CN"/>
        </w:rPr>
      </w:pPr>
    </w:p>
    <w:p w14:paraId="3FC88DF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七.全自动血细胞分析仪：</w:t>
      </w:r>
    </w:p>
    <w:p w14:paraId="6ED217A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1、操作系统及界面：全中文操作系统，外置≥10.4英寸彩色触摸屏操作界面。</w:t>
      </w:r>
    </w:p>
    <w:p w14:paraId="0D80369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2、白细胞检测原理：采用激光流式原理及核酸荧光染色技术，使白细胞计数免受难溶红细胞、巨大血小板、血小板簇及细胞碎片等的干扰。</w:t>
      </w:r>
    </w:p>
    <w:p w14:paraId="2BCB010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3、检测速度：全血血常规五分类速度≥70T/h，体液检测≥30T/h。</w:t>
      </w:r>
    </w:p>
    <w:p w14:paraId="72568A1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4、需血量：血常规检测最低需血量≤25ul，体液检测需样量≤70ul。</w:t>
      </w:r>
    </w:p>
    <w:p w14:paraId="74EB630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5、样本类型：支持静脉全血、末梢微量血、预稀释血液、体液。</w:t>
      </w:r>
    </w:p>
    <w:p w14:paraId="3F52F6A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6、检测项目（可报告参数）：≥35项血液报告参数，≥6项体液报告参数。</w:t>
      </w:r>
    </w:p>
    <w:p w14:paraId="0538568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7、血小板计数：具备两种方法（阻抗法PLT-I和光学法PLT-O）进行血小板的定量计数，且PLT-O为报告参数、对应方法学均可提供相应校准品进行校准；血小板检测线最高检测线性要求可达到5000x103/μL。</w:t>
      </w:r>
    </w:p>
    <w:p w14:paraId="34391B4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8、网织红细胞检测功能（Ret）：使用核酸荧光染色及流式细胞技术，具有全自动网织红细胞定量计数和对网织红细胞成熟度的分类。</w:t>
      </w:r>
    </w:p>
    <w:p w14:paraId="3644A4F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9、体液检测：具有体液检测功能，可对红细胞和白细胞计数,并对白细胞进行分类；</w:t>
      </w:r>
    </w:p>
    <w:p w14:paraId="12D938C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10、正确度：WBC检测范围内允许偏差不超过±4.5%，RBC检测范围内允许偏差不超过±2%，HGB检测范围内允许偏差不超过±2%，HCT检测范围内允许偏差不超过±3%，PLT检测范围内允许偏差不超过±7%。</w:t>
      </w:r>
    </w:p>
    <w:p w14:paraId="06454E8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11、血液质控品：具有原厂配套的高、中、低三个水平的质控品，并通过FDA及NMPA注册。质控项目覆盖所有报告参数；</w:t>
      </w:r>
    </w:p>
    <w:p w14:paraId="00070CB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12、体液质控品：具有原厂配套的高、低两个水平的质控品，并通过FDA及NMPA注册。质控项目覆盖所有报告参数；</w:t>
      </w:r>
    </w:p>
    <w:p w14:paraId="26B1E61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13、校准品：具有原厂配套的，</w:t>
      </w:r>
      <w:r>
        <w:rPr>
          <w:rFonts w:hint="eastAsia" w:ascii="宋体" w:hAnsi="宋体" w:eastAsia="宋体" w:cs="宋体"/>
          <w:color w:val="auto"/>
          <w:sz w:val="24"/>
          <w:szCs w:val="24"/>
          <w:highlight w:val="none"/>
          <w:lang w:eastAsia="zh-CN"/>
        </w:rPr>
        <w:t>并通过国内注册的校准品</w:t>
      </w:r>
      <w:r>
        <w:rPr>
          <w:rFonts w:hint="eastAsia" w:ascii="宋体" w:hAnsi="宋体" w:eastAsia="宋体" w:cs="宋体"/>
          <w:color w:val="auto"/>
          <w:sz w:val="24"/>
          <w:szCs w:val="24"/>
          <w:lang w:eastAsia="zh-CN"/>
        </w:rPr>
        <w:t>。一支校准品可校准项目包含RBC、WBC、HGB、PLT、HCT、MCV、RET。</w:t>
      </w:r>
    </w:p>
    <w:p w14:paraId="286BCAB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14、实时网络通讯系统：提供实时在线网络质控功能，并具备ISO17043等权威认证，通过室内质控实现实时的室间质评，确保实验室的结果质量达到国际质量水准。</w:t>
      </w:r>
    </w:p>
    <w:p w14:paraId="71591BC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15、外形尺寸：≤450mm*660mm*450mm，重量：≤53Kg，简单小巧的设计专为小标本量实验室量身定做。</w:t>
      </w:r>
    </w:p>
    <w:p w14:paraId="08742FFF">
      <w:pPr>
        <w:widowControl w:val="0"/>
        <w:spacing w:line="242" w:lineRule="auto"/>
        <w:rPr>
          <w:rFonts w:hint="eastAsia" w:ascii="宋体" w:hAnsi="宋体" w:eastAsia="宋体" w:cs="宋体"/>
          <w:color w:val="auto"/>
          <w:sz w:val="24"/>
          <w:szCs w:val="24"/>
          <w:lang w:eastAsia="zh-CN"/>
        </w:rPr>
      </w:pPr>
    </w:p>
    <w:p w14:paraId="7DD5B6E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八、全自动生化分析仪：</w:t>
      </w:r>
    </w:p>
    <w:p w14:paraId="4444148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1.仪器类型：随机任选、分立式全自动生化分析仪</w:t>
      </w:r>
    </w:p>
    <w:p w14:paraId="1AEBB8E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2.分析速度：生化恒速≥800T/H，选配ISE速度可达≥1200T/H </w:t>
      </w:r>
    </w:p>
    <w:p w14:paraId="2427C20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3.最大可同时分析项目：≥185个（生化179个，ISE3个，血清指数3项）</w:t>
      </w:r>
    </w:p>
    <w:p w14:paraId="00F0691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4.测试原理：比色法、比浊法、离子选择电极法(选配)</w:t>
      </w:r>
    </w:p>
    <w:p w14:paraId="7EBAE60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5.分析方法：终点法、固定时间法、动力学法</w:t>
      </w:r>
    </w:p>
    <w:p w14:paraId="3BF6998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6.样本位：≥185个样本位</w:t>
      </w:r>
    </w:p>
    <w:p w14:paraId="408CB7C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7.样本量：1.5μL～35uL， 0.1µl步进</w:t>
      </w:r>
    </w:p>
    <w:p w14:paraId="2F25EDA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8.试剂位：≥180个试剂位</w:t>
      </w:r>
    </w:p>
    <w:p w14:paraId="60E89C5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9.试剂盘冷藏温度：2～8℃</w:t>
      </w:r>
    </w:p>
    <w:p w14:paraId="1DDAA31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10.试剂量：10μL～200uL， 0.5µl步进</w:t>
      </w:r>
    </w:p>
    <w:p w14:paraId="10E90E2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11.反应杯位：≥160个,光径5mm</w:t>
      </w:r>
    </w:p>
    <w:p w14:paraId="6253DBC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12.反应体积： ≥70µl～300uL</w:t>
      </w:r>
    </w:p>
    <w:p w14:paraId="1CB6FEB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13.温控方式：固体直热（水浴、油浴及液气双项均不算固体直热术），无需添加任何恒温液和保养剂，免维护免保养；</w:t>
      </w:r>
    </w:p>
    <w:p w14:paraId="31723BD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14.比色杯清洗：8阶，自动温水/清洗剂清洗</w:t>
      </w:r>
    </w:p>
    <w:p w14:paraId="0FCA3DE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15.光学系统：全息凹面光栅后分光系统</w:t>
      </w:r>
    </w:p>
    <w:p w14:paraId="7A30BBF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16.波长：340～850nm ,16个波长</w:t>
      </w:r>
    </w:p>
    <w:p w14:paraId="64E941B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17.吸光度线性范围：0～3.5 Abs</w:t>
      </w:r>
    </w:p>
    <w:p w14:paraId="187681C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18.样品携带污染率：不大于0.05%</w:t>
      </w:r>
    </w:p>
    <w:p w14:paraId="4CF2575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19.支持HbA1c全血测试功能</w:t>
      </w:r>
    </w:p>
    <w:p w14:paraId="551BC7F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20.具有酶线性拓展功能</w:t>
      </w:r>
    </w:p>
    <w:p w14:paraId="439DC6D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21.支持在线试剂装载</w:t>
      </w:r>
    </w:p>
    <w:p w14:paraId="249C555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22.支持一个项目放置多套试剂</w:t>
      </w:r>
    </w:p>
    <w:p w14:paraId="4FBED34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23.支持定时休眠和手动休眠</w:t>
      </w:r>
    </w:p>
    <w:p w14:paraId="1F8156B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24.操作系统：全中文操作界面</w:t>
      </w:r>
    </w:p>
    <w:p w14:paraId="45CEFBD4">
      <w:pPr>
        <w:widowControl w:val="0"/>
        <w:spacing w:line="242" w:lineRule="auto"/>
        <w:rPr>
          <w:rFonts w:hint="eastAsia" w:ascii="宋体" w:hAnsi="宋体" w:eastAsia="宋体" w:cs="宋体"/>
          <w:color w:val="auto"/>
          <w:sz w:val="24"/>
          <w:szCs w:val="24"/>
          <w:lang w:eastAsia="zh-CN"/>
        </w:rPr>
      </w:pPr>
    </w:p>
    <w:p w14:paraId="51F5CE46">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九、立式压力蒸汽灭菌器：</w:t>
      </w:r>
    </w:p>
    <w:p w14:paraId="3B6CDA3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1.容积：75L</w:t>
      </w:r>
    </w:p>
    <w:p w14:paraId="500D52C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2.材质：06Cr19Ni10不锈钢</w:t>
      </w:r>
    </w:p>
    <w:p w14:paraId="21E0E26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3.设计压力：≥0.28Mpa</w:t>
      </w:r>
    </w:p>
    <w:p w14:paraId="3D4859F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4.设计温度：≥150℃</w:t>
      </w:r>
    </w:p>
    <w:p w14:paraId="7A2BF41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5.使用寿命：≥8年</w:t>
      </w:r>
    </w:p>
    <w:p w14:paraId="35027A1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6.主体保温：≥10mm玻璃棉</w:t>
      </w:r>
    </w:p>
    <w:p w14:paraId="339A4CA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7.腔壁加热：包覆式硅胶加热膜</w:t>
      </w:r>
    </w:p>
    <w:p w14:paraId="3415BA4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8.门板：拉伸门板，材料厚度≥2.5mm</w:t>
      </w:r>
    </w:p>
    <w:p w14:paraId="657AB83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9.开关门方式：手动平移式密封门</w:t>
      </w:r>
    </w:p>
    <w:p w14:paraId="01BC92F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10.安全联锁：压力安全联锁装置，门只有关闭到位，电源才能接通加热产生蒸汽；内室有压力，门无法打开。</w:t>
      </w:r>
    </w:p>
    <w:p w14:paraId="1947736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11.门密封方式：自胀式密封胶圈，采用透明医用硅橡胶模压而成</w:t>
      </w:r>
    </w:p>
    <w:p w14:paraId="5824DA3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12.门罩：采用工程塑料高效隔热材料模具成型</w:t>
      </w:r>
    </w:p>
    <w:p w14:paraId="7911980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13.控制阀门：直动式电磁阀3个，手动球阀1个</w:t>
      </w:r>
    </w:p>
    <w:p w14:paraId="1D74723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14.蒸汽产生方式：主体内加热，直接产生饱和蒸汽，无需外接蒸汽源</w:t>
      </w:r>
    </w:p>
    <w:p w14:paraId="6A24DD6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15.注水排水方式：自动注水、自动排水</w:t>
      </w:r>
    </w:p>
    <w:p w14:paraId="32D48C0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16.储水装置：配有内置蒸汽收集水箱，少量蒸汽溢出；水箱容积9L，一次加水可多次运行，自动进水，自动排水，汽水内循环使用，环境清洁干燥。</w:t>
      </w:r>
    </w:p>
    <w:p w14:paraId="47A6428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17.压力表：量程：0～0.4MPa  精度等级：1.6级</w:t>
      </w:r>
    </w:p>
    <w:p w14:paraId="6707E44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18.具有不锈钢防锈蚀装置，可减少氯离子对不锈钢锅体的腐蚀，延长设备的使用寿命。</w:t>
      </w:r>
    </w:p>
    <w:p w14:paraId="143251E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19.控制方式：实时采集锅内蒸汽的温度</w:t>
      </w:r>
    </w:p>
    <w:p w14:paraId="2E22C44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20.界面显示：四位数码显示屏，显示精度0.1℃；指示灯闪烁显示当前工作阶段；</w:t>
      </w:r>
    </w:p>
    <w:p w14:paraId="1F1A949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21.一键启动，方便快捷；</w:t>
      </w:r>
    </w:p>
    <w:p w14:paraId="2159388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22.流程控制：注水、升温、灭菌、排水排汽全过程自动控制；采用重力置换和正压脉动排气方式，排除灭菌室及负载内冷空气</w:t>
      </w:r>
    </w:p>
    <w:p w14:paraId="65CA296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23.报警显示：出现故障时，LED数字显示报警代码，声光报警显示，蜂鸣报警</w:t>
      </w:r>
    </w:p>
    <w:p w14:paraId="4C4EE32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24.安全保护：带超温自动保护装置、防干烧保护装置、超压自动泄放装置、过流过压保护装置</w:t>
      </w:r>
    </w:p>
    <w:p w14:paraId="0552992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25.程序名称：裸露器械、器械包、敷料、橡胶四种标准程序，自定义程序，可根据需要任意更改灭菌参数，实现灭菌-保温</w:t>
      </w:r>
    </w:p>
    <w:p w14:paraId="708DBAAE">
      <w:pPr>
        <w:widowControl w:val="0"/>
        <w:spacing w:line="242" w:lineRule="auto"/>
        <w:rPr>
          <w:rFonts w:hint="eastAsia" w:ascii="宋体" w:hAnsi="宋体" w:eastAsia="宋体" w:cs="宋体"/>
          <w:color w:val="auto"/>
          <w:sz w:val="24"/>
          <w:szCs w:val="24"/>
          <w:lang w:eastAsia="zh-CN"/>
        </w:rPr>
      </w:pPr>
    </w:p>
    <w:p w14:paraId="654CDDC6">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十、医用冷藏箱：</w:t>
      </w:r>
    </w:p>
    <w:p w14:paraId="1C957EA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FF0000"/>
          <w:sz w:val="24"/>
          <w:szCs w:val="24"/>
          <w:lang w:eastAsia="zh-CN"/>
        </w:rPr>
        <w:t>医用冷藏箱1</w:t>
      </w:r>
      <w:r>
        <w:rPr>
          <w:rFonts w:hint="eastAsia" w:ascii="宋体" w:hAnsi="宋体" w:eastAsia="宋体" w:cs="宋体"/>
          <w:color w:val="FF0000"/>
          <w:sz w:val="24"/>
          <w:szCs w:val="24"/>
          <w:lang w:val="en-US" w:eastAsia="zh-CN"/>
        </w:rPr>
        <w:t xml:space="preserve"> </w:t>
      </w:r>
      <w:r>
        <w:rPr>
          <w:rFonts w:hint="eastAsia" w:ascii="宋体" w:hAnsi="宋体" w:eastAsia="宋体" w:cs="宋体"/>
          <w:color w:val="FF0000"/>
          <w:sz w:val="24"/>
          <w:szCs w:val="24"/>
          <w:lang w:eastAsia="zh-CN"/>
        </w:rPr>
        <w:t>（三台）</w:t>
      </w:r>
      <w:r>
        <w:rPr>
          <w:rFonts w:hint="eastAsia" w:ascii="宋体" w:hAnsi="宋体" w:eastAsia="宋体" w:cs="宋体"/>
          <w:color w:val="auto"/>
          <w:sz w:val="24"/>
          <w:szCs w:val="24"/>
          <w:lang w:eastAsia="zh-CN"/>
        </w:rPr>
        <w:t>：</w:t>
      </w:r>
    </w:p>
    <w:p w14:paraId="1DEB044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1、工作条件：环境温度10-32℃，环境湿度≤80%，电压：220V±10%，频率50±1Hz。</w:t>
      </w:r>
    </w:p>
    <w:p w14:paraId="4DA4646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2、样式：立式，双门。</w:t>
      </w:r>
    </w:p>
    <w:p w14:paraId="5013F97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3、有效容积≥1500L。</w:t>
      </w:r>
    </w:p>
    <w:p w14:paraId="200EE5B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4、冷藏温度2～8℃，产品具有注册证（注册证上有所投产品的型号）</w:t>
      </w:r>
    </w:p>
    <w:p w14:paraId="218ABF9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5、箱体材料：喷涂钢板。</w:t>
      </w:r>
    </w:p>
    <w:p w14:paraId="1955E3D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6、内胆材料：喷涂钢板。</w:t>
      </w:r>
    </w:p>
    <w:p w14:paraId="21455FF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7、保温材料：无CFC聚氨酯发泡。 </w:t>
      </w:r>
    </w:p>
    <w:p w14:paraId="6AD0A8F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8、采用恩布拉科高效变频压缩机，动力强劲；高效蒸发/冷凝风机风量大，节能高效。</w:t>
      </w:r>
    </w:p>
    <w:p w14:paraId="0B9DD82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9.碳氢制冷剂，制冷效率高，节能环保。</w:t>
      </w:r>
    </w:p>
    <w:p w14:paraId="21E0891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10采用翅片式蒸发器，可以提高换热效率，制冷速度更快</w:t>
      </w:r>
    </w:p>
    <w:p w14:paraId="5BD6C69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11、温度控制：高精度微电脑温度控制系统，内置6个温度传感器，确保运行状态安全稳定。适用范围在2℃～8℃范围内，控温精度0.1℃，温度波动度≤3℃，显示温度偏差≤0.1℃;</w:t>
      </w:r>
    </w:p>
    <w:p w14:paraId="4A64954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12、标配≥2个LED屏，可显示箱内温度、设定温度和环境温度，能设定高低温报警，具有故障指示灯，出现报警或故障时指示灯显示红色。 </w:t>
      </w:r>
    </w:p>
    <w:p w14:paraId="081D5BC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13、强制风循环，箱内多个出风口，确保箱体内部温度均匀性。</w:t>
      </w:r>
    </w:p>
    <w:p w14:paraId="7A0E93D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14、搭载电源管理模块，节能效率大幅提升；电压控制精度高，电压和整机性能稳定；冗余热量少，杜绝过热安全隐患。</w:t>
      </w:r>
    </w:p>
    <w:p w14:paraId="23DA61F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15、多种声光报警功能：具有断电、电池电量检测故障、电池电量低、环境温度传感器故障、温度传感器故障、环境温度高报警、高低温报警、门长时间打开报警、主控板通信故障等多种功能。开门持续 1 分钟，蜂鸣报警，门关闭报警消除。 </w:t>
      </w:r>
    </w:p>
    <w:p w14:paraId="611794C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16、两种报警方式：声音蜂鸣器报警、闪烁报警1秒/次。</w:t>
      </w:r>
    </w:p>
    <w:p w14:paraId="12C2EB5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17.安全运行模式：当显示控制/报警传感器发生故障时，压缩机以正常开停规律运行，确保物品存储安全。 </w:t>
      </w:r>
    </w:p>
    <w:p w14:paraId="79C2CA8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18、防凝露：电加热玻璃门，防凝露，便于观察。</w:t>
      </w:r>
    </w:p>
    <w:p w14:paraId="46715B4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19、箱体发泡层厚度≥50mm。 </w:t>
      </w:r>
    </w:p>
    <w:p w14:paraId="1002476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20、视窗玻璃电加热模式：自复位电加热模式。</w:t>
      </w:r>
    </w:p>
    <w:p w14:paraId="2EFD3DF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21、箱体底部配四个脚轮，带有2个底脚锁定装置，便于移动和安放。</w:t>
      </w:r>
    </w:p>
    <w:p w14:paraId="5D7C1E1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22、采用金属一体式把手符合人机工程学，单手实现开关门，更加省力</w:t>
      </w:r>
    </w:p>
    <w:p w14:paraId="4ECB3AC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23、箱体配备独立锁扣，可以选配外挂锁。</w:t>
      </w:r>
    </w:p>
    <w:p w14:paraId="01BF45A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24、配置 LED 照明系统，视物更清晰。</w:t>
      </w:r>
    </w:p>
    <w:p w14:paraId="1C6E7D6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25、箱体标配1个测试孔，便于安装外置温度监控模块。</w:t>
      </w:r>
    </w:p>
    <w:p w14:paraId="59ED55B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26、标配停机间歇自动化霜功能。</w:t>
      </w:r>
    </w:p>
    <w:p w14:paraId="1E02397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27、配置6层12个浸塑搁架(带标签卡)。 </w:t>
      </w:r>
    </w:p>
    <w:p w14:paraId="1154F89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28、标配5V/1A电源接口。</w:t>
      </w:r>
    </w:p>
    <w:p w14:paraId="5528678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29、标配蓄电池，断电后可为屏幕供电≥72小时。</w:t>
      </w:r>
    </w:p>
    <w:p w14:paraId="5A9011B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30、标配USB数据导出接口，可导出全部温度记录数据，导出PDF文件格式。</w:t>
      </w:r>
    </w:p>
    <w:p w14:paraId="145E06E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整机低噪音运行，噪音≤50db(A)。</w:t>
      </w:r>
    </w:p>
    <w:p w14:paraId="4D0106E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31、带24小时智能温湿度记录仪及平台，智能温湿度记录仪（冷链监控系统) 具有信息安全管理体系认证证书。</w:t>
      </w:r>
    </w:p>
    <w:p w14:paraId="69B563A1">
      <w:pPr>
        <w:widowControl w:val="0"/>
        <w:spacing w:line="242" w:lineRule="auto"/>
        <w:rPr>
          <w:rFonts w:hint="eastAsia" w:ascii="宋体" w:hAnsi="宋体" w:eastAsia="宋体" w:cs="宋体"/>
          <w:color w:val="auto"/>
          <w:sz w:val="24"/>
          <w:szCs w:val="24"/>
          <w:lang w:eastAsia="zh-CN"/>
        </w:rPr>
      </w:pPr>
    </w:p>
    <w:p w14:paraId="2DC93FE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b w:val="0"/>
          <w:bCs w:val="0"/>
          <w:color w:val="FF0000"/>
          <w:sz w:val="24"/>
          <w:szCs w:val="24"/>
          <w:lang w:eastAsia="zh-CN"/>
        </w:rPr>
        <w:t>医用冷藏箱</w:t>
      </w:r>
      <w:r>
        <w:rPr>
          <w:rFonts w:hint="eastAsia" w:ascii="宋体" w:hAnsi="宋体" w:eastAsia="宋体" w:cs="宋体"/>
          <w:b w:val="0"/>
          <w:bCs w:val="0"/>
          <w:color w:val="FF0000"/>
          <w:sz w:val="24"/>
          <w:szCs w:val="24"/>
          <w:lang w:val="en-US" w:eastAsia="zh-CN"/>
        </w:rPr>
        <w:t>2</w:t>
      </w:r>
      <w:r>
        <w:rPr>
          <w:rFonts w:hint="eastAsia" w:ascii="宋体" w:hAnsi="宋体" w:eastAsia="宋体" w:cs="宋体"/>
          <w:b w:val="0"/>
          <w:bCs w:val="0"/>
          <w:color w:val="FF0000"/>
          <w:sz w:val="24"/>
          <w:szCs w:val="24"/>
          <w:lang w:eastAsia="zh-CN"/>
        </w:rPr>
        <w:t>（三台）</w:t>
      </w:r>
      <w:r>
        <w:rPr>
          <w:rFonts w:hint="eastAsia" w:ascii="宋体" w:hAnsi="宋体" w:eastAsia="宋体" w:cs="宋体"/>
          <w:b/>
          <w:bCs/>
          <w:color w:val="auto"/>
          <w:sz w:val="24"/>
          <w:szCs w:val="24"/>
          <w:lang w:eastAsia="zh-CN"/>
        </w:rPr>
        <w:t>：</w:t>
      </w:r>
    </w:p>
    <w:p w14:paraId="22C506F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有效容积≥200升，立式，门体为单门，</w:t>
      </w:r>
    </w:p>
    <w:p w14:paraId="67AF536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微电脑控制，箱体自带数码显示箱内温度功能，显示精度0.1℃，设有密码保护防止随意调整，箱内温度波动范围在±2℃。</w:t>
      </w:r>
    </w:p>
    <w:p w14:paraId="523FE1C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强制风冷系统，箱内温度恒定控制在2℃～8℃以内（产品注册证上须有体现）。</w:t>
      </w:r>
    </w:p>
    <w:p w14:paraId="4C023D4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多种故障报警：高低温报警、传感器故障报警、开门报警；</w:t>
      </w:r>
    </w:p>
    <w:p w14:paraId="7A715DE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三种报警方式：声音蜂鸣报警、灯光闪烁报警</w:t>
      </w:r>
    </w:p>
    <w:p w14:paraId="3FECEDA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多重保护功能：开机延时、停机间隔等。</w:t>
      </w:r>
    </w:p>
    <w:p w14:paraId="63DDDA4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采用国际名牌压缩机和风扇电机。</w:t>
      </w:r>
    </w:p>
    <w:p w14:paraId="24B8D05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合理优化蒸发冷凝系统设计，制冷迅速。</w:t>
      </w:r>
    </w:p>
    <w:p w14:paraId="7089E54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内部强制风冷系统，确保箱内温度均匀稳定。</w:t>
      </w:r>
    </w:p>
    <w:p w14:paraId="1A45934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安全门锁设计，防止随意开启。</w:t>
      </w:r>
    </w:p>
    <w:p w14:paraId="7E603FE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宽电压带设计，适合187~242V电压下使用。</w:t>
      </w:r>
    </w:p>
    <w:p w14:paraId="181D9AF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采用离线镀膜玻璃门及前吹风设计，防止玻璃门凝露。           </w:t>
      </w:r>
    </w:p>
    <w:p w14:paraId="64BCF4E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内设LED照明灯，存取物品一目了然。</w:t>
      </w:r>
    </w:p>
    <w:p w14:paraId="1AC0A51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多层搁架设计，可根据需要调整间隙，方便实用。</w:t>
      </w:r>
    </w:p>
    <w:p w14:paraId="353502C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产品具有医疗器械注册证（注册证上要有具体型号）</w:t>
      </w:r>
    </w:p>
    <w:p w14:paraId="300FF72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带24小时智能温湿度记录仪及平台，智能温湿度记录仪（冷链监控系统) 具有信息安全管理体系认证证书。</w:t>
      </w:r>
    </w:p>
    <w:p w14:paraId="1C586B47">
      <w:pPr>
        <w:widowControl w:val="0"/>
        <w:spacing w:line="242" w:lineRule="auto"/>
        <w:rPr>
          <w:rFonts w:hint="eastAsia" w:ascii="宋体" w:hAnsi="宋体" w:eastAsia="宋体" w:cs="宋体"/>
          <w:color w:val="auto"/>
          <w:sz w:val="24"/>
          <w:szCs w:val="24"/>
          <w:lang w:eastAsia="zh-CN"/>
        </w:rPr>
      </w:pPr>
    </w:p>
    <w:p w14:paraId="061CAA3F">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十一、低温保存箱：</w:t>
      </w:r>
    </w:p>
    <w:p w14:paraId="5F48DB2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1.产品有效容积≥500升，产品样式：卧式，门体：顶开门，门体数量≥双门，产品功率≤270瓦。</w:t>
      </w:r>
    </w:p>
    <w:p w14:paraId="45ED396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2.微电脑控制，数码显示箱内温度，箱内温度-10℃~ -25℃以内可调。</w:t>
      </w:r>
    </w:p>
    <w:p w14:paraId="1840093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3.高低温报警控制，可根据需要设定报警温度点。</w:t>
      </w:r>
    </w:p>
    <w:p w14:paraId="7BB4660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4.两种故障报警：高低温报警、传感器故障报警。</w:t>
      </w:r>
    </w:p>
    <w:p w14:paraId="62B7DD7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5.两种报警方式：声音蜂鸣报警、灯光闪烁报警。</w:t>
      </w:r>
    </w:p>
    <w:p w14:paraId="52DA18D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6.多重保护功能：开机延时、停机间隔等。</w:t>
      </w:r>
    </w:p>
    <w:p w14:paraId="0126EE3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7.采用名牌压缩机，制冷迅速。</w:t>
      </w:r>
    </w:p>
    <w:p w14:paraId="4866740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8.加厚保温层，超微孔发泡技术，保温效果好。</w:t>
      </w:r>
    </w:p>
    <w:p w14:paraId="4ED81EF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9.无氟发泡、无氟制冷剂，绿色环保。</w:t>
      </w:r>
    </w:p>
    <w:p w14:paraId="03DB52A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10.合理优化蒸发冷凝系统设计，制冷强，能耗低。</w:t>
      </w:r>
    </w:p>
    <w:p w14:paraId="2D299D7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11.具备速冻功能。</w:t>
      </w:r>
    </w:p>
    <w:p w14:paraId="095B6B6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12.安全门锁设计，防止随意开启。</w:t>
      </w:r>
    </w:p>
    <w:p w14:paraId="49558AC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13.宽电压带设计，适合187~242V电压下使用。</w:t>
      </w:r>
    </w:p>
    <w:p w14:paraId="32427D9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14.高质量台阶式铝制内胆设计，箱内底部装有排水孔，方便清洁。</w:t>
      </w:r>
    </w:p>
    <w:p w14:paraId="78F1903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15.箱内可根据需要随意配置物品筐，方便使用。</w:t>
      </w:r>
    </w:p>
    <w:p w14:paraId="7116269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16.产品具有医疗器械注册证（注册证上有所投产品型号）</w:t>
      </w:r>
    </w:p>
    <w:p w14:paraId="0E91A18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17.带24小时智能温湿度记录仪及平台，智能温湿度记录仪（冷链监控系统) 具有信息安全管理体系认证证书。</w:t>
      </w:r>
    </w:p>
    <w:p w14:paraId="215F5254">
      <w:pPr>
        <w:widowControl w:val="0"/>
        <w:spacing w:line="242" w:lineRule="auto"/>
        <w:rPr>
          <w:rFonts w:hint="eastAsia" w:ascii="宋体" w:hAnsi="宋体" w:eastAsia="宋体" w:cs="宋体"/>
          <w:color w:val="auto"/>
          <w:sz w:val="24"/>
          <w:szCs w:val="24"/>
          <w:lang w:eastAsia="zh-CN"/>
        </w:rPr>
      </w:pPr>
    </w:p>
    <w:p w14:paraId="5FEED2E9">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十二．医用离心机：</w:t>
      </w:r>
    </w:p>
    <w:p w14:paraId="28EC80C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1.金属机箱、电子门锁、不锈钢离心腔，安全可靠；</w:t>
      </w:r>
    </w:p>
    <w:p w14:paraId="687C236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2.≥99个程序，可自主设定5段阶梯程序，用于梯度离心可显示每段程序的进度状态； </w:t>
      </w:r>
    </w:p>
    <w:p w14:paraId="5BD0690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3.单片机控制, 人性化界面，4.3吋高清液晶屏显示，显示直观； </w:t>
      </w:r>
    </w:p>
    <w:p w14:paraId="76B030E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4.专用rpm/rcf数值转换按键，可快速设置转速和离心力数值，方便快捷； </w:t>
      </w:r>
    </w:p>
    <w:p w14:paraId="108901B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5.专用程序快捷按键，全触摸参数设置，显示直观、操作简单； </w:t>
      </w:r>
    </w:p>
    <w:p w14:paraId="0ACC4DB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6.直流无刷电机驱动，无碳粉污染、升速快、运行平稳、使用寿命长； </w:t>
      </w:r>
    </w:p>
    <w:p w14:paraId="47F3E05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7.有瞬时离心功能,最快停机时间≤5秒，停机能自动开盖； </w:t>
      </w:r>
    </w:p>
    <w:p w14:paraId="6E7B5BD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8.运行中能修改转速、时间等参数，可记忆最后一次运行参数； </w:t>
      </w:r>
    </w:p>
    <w:p w14:paraId="1386015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9.采用软启动控制技术，可保证样本在升速过程中平稳运行； </w:t>
      </w:r>
    </w:p>
    <w:p w14:paraId="19682770">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10.配备交叉配血、细胞洗涤、细胞涂片、血型卡、淋巴球洗涤多种转子可一机多用。 </w:t>
      </w:r>
    </w:p>
    <w:p w14:paraId="4523632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11.最高转速：≥5000r/min （转速偏差：±10rpm）</w:t>
      </w:r>
    </w:p>
    <w:p w14:paraId="5E88717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12.最大相对离心力：≥3550×g</w:t>
      </w:r>
    </w:p>
    <w:p w14:paraId="7A79189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13.最大容量：≥15ml×12 支</w:t>
      </w:r>
    </w:p>
    <w:p w14:paraId="0730E9D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14.定时范围：1-99min59S</w:t>
      </w:r>
    </w:p>
    <w:p w14:paraId="1430C4F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15.加速时间：1-9 档 </w:t>
      </w:r>
    </w:p>
    <w:p w14:paraId="311165B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16.减速时间：1-9 档 （9 档最快停机时间 5S）</w:t>
      </w:r>
    </w:p>
    <w:p w14:paraId="65C4C50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17.整机噪音：≤45dB（A）</w:t>
      </w:r>
    </w:p>
    <w:p w14:paraId="2935F0A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18.电源：AC220V   50HZ</w:t>
      </w:r>
    </w:p>
    <w:p w14:paraId="7E4486E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19.输入功率：350W</w:t>
      </w:r>
    </w:p>
    <w:p w14:paraId="29417E3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20.外型尺寸：≥46×35×30cm</w:t>
      </w:r>
    </w:p>
    <w:p w14:paraId="1A63D792">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21.净重：≥25kg</w:t>
      </w:r>
    </w:p>
    <w:p w14:paraId="34A70C41">
      <w:pPr>
        <w:widowControl w:val="0"/>
        <w:spacing w:line="242" w:lineRule="auto"/>
        <w:rPr>
          <w:rFonts w:hint="eastAsia" w:ascii="宋体" w:hAnsi="宋体" w:eastAsia="宋体" w:cs="宋体"/>
          <w:color w:val="auto"/>
          <w:sz w:val="24"/>
          <w:szCs w:val="24"/>
          <w:lang w:eastAsia="zh-CN"/>
        </w:rPr>
      </w:pPr>
    </w:p>
    <w:p w14:paraId="559CB88E">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十三.标签打印机：</w:t>
      </w:r>
    </w:p>
    <w:p w14:paraId="12CFC32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1、打印方式：热转印和热敏；</w:t>
      </w:r>
    </w:p>
    <w:p w14:paraId="06C4086D">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2、打印速度：≤ 14英寸/秒；</w:t>
      </w:r>
    </w:p>
    <w:p w14:paraId="3FD76AC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3、分辨率：≥203dpl;</w:t>
      </w:r>
    </w:p>
    <w:p w14:paraId="2E631F4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4、标签容量：≥1000张成品血标签</w:t>
      </w:r>
    </w:p>
    <w:p w14:paraId="2A698AA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5、标签宽度：≥80mm;</w:t>
      </w:r>
    </w:p>
    <w:p w14:paraId="49E8AF5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6、标签类型：卷装血标签、防水血标签、后包装血标签；</w:t>
      </w:r>
    </w:p>
    <w:p w14:paraId="2DA0110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7、标签厚度：0.064—0.25mm;</w:t>
      </w:r>
    </w:p>
    <w:p w14:paraId="4A09F05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8、传感方式：透射、反射和连续三种方式；</w:t>
      </w:r>
    </w:p>
    <w:p w14:paraId="17C7A89E">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9、碳带：轴心≤25.4mm ≥300M 长，涂层面朝内；</w:t>
      </w:r>
    </w:p>
    <w:p w14:paraId="1F6F6AE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10、条码类型：采供血行业专用ISBT</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128码；</w:t>
      </w:r>
    </w:p>
    <w:p w14:paraId="5EEAE7E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11、常驻字体：支持Premium</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Asian和Andale字体；</w:t>
      </w:r>
    </w:p>
    <w:p w14:paraId="1A0311C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12、图像格式：PCX、TIFF、BMP、PNG 格式；</w:t>
      </w:r>
    </w:p>
    <w:p w14:paraId="2810A0D6">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13、内存：256MB RAM 512MB 闪存；</w:t>
      </w:r>
    </w:p>
    <w:p w14:paraId="0843BE2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14、切刀：最薄纸张厚度≤5微米，使用寿命≥100万次</w:t>
      </w:r>
    </w:p>
    <w:p w14:paraId="367AE71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15、接口：串行接口RS232、USB和以太网10/100Base</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T;</w:t>
      </w:r>
    </w:p>
    <w:p w14:paraId="41B8FAE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16、操作语言：多语言可选</w:t>
      </w:r>
    </w:p>
    <w:p w14:paraId="7F47988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17、操作面板：彩色屏幕</w:t>
      </w:r>
    </w:p>
    <w:p w14:paraId="13662964">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18、与站内软件无缝兼容</w:t>
      </w:r>
    </w:p>
    <w:p w14:paraId="20CB34AA">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19、与站内使用标签无缝兼容。</w:t>
      </w:r>
      <w:r>
        <w:rPr>
          <w:rFonts w:hint="eastAsia" w:ascii="宋体" w:hAnsi="宋体" w:eastAsia="宋体" w:cs="宋体"/>
          <w:b/>
          <w:bCs/>
          <w:color w:val="auto"/>
          <w:sz w:val="24"/>
          <w:szCs w:val="24"/>
          <w:lang w:eastAsia="zh-CN"/>
        </w:rPr>
        <w:t>（投标人承诺与站内使用标签无缝兼容的承诺函，否则作无效投标处理。）</w:t>
      </w:r>
    </w:p>
    <w:p w14:paraId="13AD0847">
      <w:pPr>
        <w:pStyle w:val="2"/>
        <w:rPr>
          <w:rFonts w:hint="eastAsia"/>
          <w:color w:val="auto"/>
          <w:lang w:eastAsia="zh-CN"/>
        </w:rPr>
      </w:pPr>
    </w:p>
    <w:p w14:paraId="5C45C99C">
      <w:pPr>
        <w:widowControl w:val="0"/>
        <w:spacing w:line="242"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十四.生物显微镜：</w:t>
      </w:r>
    </w:p>
    <w:p w14:paraId="683B7B0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1．工作条件</w:t>
      </w:r>
    </w:p>
    <w:p w14:paraId="20EBC76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1.1  配置符合有关标准要求的插头，或提供适当的转换插座。</w:t>
      </w:r>
    </w:p>
    <w:p w14:paraId="59B76B7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2．主要技术指标</w:t>
      </w:r>
    </w:p>
    <w:p w14:paraId="2674CDB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  生物显微镜</w:t>
      </w:r>
    </w:p>
    <w:p w14:paraId="6055578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2.1.1  光学系统：无限远光学矫正系统，齐焦距离≤45mm。</w:t>
      </w:r>
    </w:p>
    <w:p w14:paraId="6D9059D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2.1.2  载物台：钢丝传动，无齿条结构</w:t>
      </w:r>
    </w:p>
    <w:p w14:paraId="62C28AD3">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尺寸为：≥120mm×≥132mm；行程为：≥76mm（X）×≥30mm（Y）</w:t>
      </w:r>
    </w:p>
    <w:p w14:paraId="032A8CCA">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2.1.3  调焦机构：有粗调限位，可以进行张力调节，避免标本或物镜的损伤。</w:t>
      </w:r>
    </w:p>
    <w:p w14:paraId="2217431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2.1.4  聚光镜：带有孔径光阑的聚光镜，N.A. 1.25，带有蓝色滤色片</w:t>
      </w:r>
    </w:p>
    <w:p w14:paraId="394ED4C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2.1.5  照明系统:内置投射光照明系统，≤0.5WLED光源，寿命≥20000小时</w:t>
      </w:r>
    </w:p>
    <w:p w14:paraId="6D2A7E58">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2.1.6  双目观察筒：瞳距调整范围≥48-75mm， 倾斜角度≥30°，带屈光度调节，360°可旋转，铰链式，眼点高度≥432.9mm，视场数≥20</w:t>
      </w:r>
    </w:p>
    <w:p w14:paraId="2BF0332C">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2.1.7  目镜：≥10X，带眼罩，视场数≥20</w:t>
      </w:r>
    </w:p>
    <w:p w14:paraId="5926EE1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2.1.8  物镜转盘：与显微镜机身固定的内旋式4孔物镜转盘，便于放置标本等操作。</w:t>
      </w:r>
    </w:p>
    <w:p w14:paraId="4C6C131F">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2.1.9  物镜：平场消色差物镜4X（N.A.≥0.1 W.D≥27）、10X（N.A.≥0.25 W.D≥8）、40X（N.A.≥0.65 W.D≥0.6）、100X（N.A.≥1.25 W.D≥0.12）</w:t>
      </w:r>
    </w:p>
    <w:p w14:paraId="038434D5">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2.1.10  防霉装置：在双目观察筒、目镜、物镜都做了防霉处理</w:t>
      </w:r>
    </w:p>
    <w:p w14:paraId="51E781DB">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2.1.11  所采用光学元件均为环保无铅玻璃</w:t>
      </w:r>
    </w:p>
    <w:p w14:paraId="2E5DCF8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3．基本配置：</w:t>
      </w:r>
    </w:p>
    <w:p w14:paraId="4AAF4DB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3.1  生物显微镜主机                       1套</w:t>
      </w:r>
    </w:p>
    <w:p w14:paraId="079FE4B7">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3.2  透射明场照明系统                     1套</w:t>
      </w:r>
    </w:p>
    <w:p w14:paraId="621613F9">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3.3  平场消色差物镜4X—100X（4个）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1套</w:t>
      </w:r>
    </w:p>
    <w:p w14:paraId="3D851F21">
      <w:pPr>
        <w:widowControl w:val="0"/>
        <w:spacing w:line="242"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3.4  必配的附件、配件、专用工具、消耗品等</w:t>
      </w:r>
    </w:p>
    <w:p w14:paraId="2F866BB4">
      <w:pPr>
        <w:widowControl w:val="0"/>
        <w:spacing w:line="288"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bCs/>
          <w:color w:val="FF0000"/>
          <w:sz w:val="24"/>
          <w:szCs w:val="24"/>
          <w:lang w:eastAsia="zh-CN"/>
        </w:rPr>
        <w:t>注：以上技术需求投标人必须完全满足，否则做无效投标处理。</w:t>
      </w:r>
    </w:p>
    <w:p w14:paraId="50726903">
      <w:pPr>
        <w:widowControl w:val="0"/>
        <w:spacing w:before="78" w:line="219" w:lineRule="auto"/>
        <w:rPr>
          <w:rFonts w:hint="eastAsia" w:ascii="宋体" w:hAnsi="宋体" w:eastAsia="宋体" w:cs="宋体"/>
          <w:color w:val="auto"/>
          <w:sz w:val="24"/>
          <w:szCs w:val="24"/>
          <w:lang w:eastAsia="zh-CN"/>
        </w:rPr>
      </w:pPr>
    </w:p>
    <w:p w14:paraId="6B0815BF">
      <w:pPr>
        <w:widowControl w:val="0"/>
        <w:spacing w:before="78" w:line="219" w:lineRule="auto"/>
        <w:rPr>
          <w:rFonts w:ascii="宋体" w:hAnsi="宋体" w:eastAsia="宋体" w:cs="宋体"/>
          <w:b/>
          <w:color w:val="auto"/>
          <w:sz w:val="24"/>
          <w:szCs w:val="24"/>
          <w:lang w:eastAsia="zh-CN"/>
        </w:rPr>
      </w:pPr>
      <w:r>
        <w:rPr>
          <w:rFonts w:hint="eastAsia" w:ascii="宋体" w:hAnsi="宋体" w:eastAsia="宋体" w:cs="宋体"/>
          <w:color w:val="auto"/>
          <w:sz w:val="24"/>
          <w:szCs w:val="24"/>
          <w:lang w:eastAsia="zh-CN"/>
        </w:rPr>
        <w:t>【三】</w:t>
      </w:r>
      <w:r>
        <w:rPr>
          <w:rFonts w:ascii="宋体" w:hAnsi="宋体" w:eastAsia="宋体" w:cs="宋体"/>
          <w:b/>
          <w:color w:val="auto"/>
          <w:sz w:val="24"/>
          <w:szCs w:val="24"/>
          <w:lang w:eastAsia="zh-CN"/>
        </w:rPr>
        <w:t xml:space="preserve"> 商务条件</w:t>
      </w:r>
    </w:p>
    <w:p w14:paraId="061247BA">
      <w:pPr>
        <w:spacing w:line="360" w:lineRule="auto"/>
        <w:contextualSpacing/>
        <w:rPr>
          <w:sz w:val="24"/>
        </w:rPr>
      </w:pPr>
      <w:r>
        <w:rPr>
          <w:rFonts w:hint="eastAsia"/>
          <w:sz w:val="24"/>
        </w:rPr>
        <w:t>1</w:t>
      </w:r>
      <w:r>
        <w:rPr>
          <w:rFonts w:hint="eastAsia" w:ascii="宋体" w:hAnsi="宋体" w:cs="宋体"/>
          <w:sz w:val="24"/>
        </w:rPr>
        <w:t>、售后服务</w:t>
      </w:r>
    </w:p>
    <w:p w14:paraId="3FCD7C87">
      <w:pPr>
        <w:spacing w:line="360" w:lineRule="auto"/>
        <w:contextualSpacing/>
        <w:rPr>
          <w:rFonts w:hint="eastAsia" w:ascii="宋体" w:hAnsi="宋体" w:cs="宋体"/>
          <w:sz w:val="24"/>
        </w:rPr>
      </w:pPr>
      <w:bookmarkStart w:id="3" w:name="OLE_LINK29"/>
      <w:bookmarkStart w:id="4" w:name="OLE_LINK28"/>
      <w:r>
        <w:rPr>
          <w:rFonts w:hint="eastAsia" w:ascii="宋体" w:hAnsi="宋体" w:cs="宋体"/>
          <w:sz w:val="24"/>
        </w:rPr>
        <w:t>（</w:t>
      </w:r>
      <w:r>
        <w:rPr>
          <w:rFonts w:hint="eastAsia"/>
          <w:sz w:val="24"/>
        </w:rPr>
        <w:t>1</w:t>
      </w:r>
      <w:r>
        <w:rPr>
          <w:rFonts w:hint="eastAsia" w:ascii="宋体" w:hAnsi="宋体" w:cs="宋体"/>
          <w:sz w:val="24"/>
        </w:rPr>
        <w:t>）</w:t>
      </w:r>
      <w:bookmarkEnd w:id="3"/>
      <w:bookmarkEnd w:id="4"/>
      <w:r>
        <w:rPr>
          <w:rFonts w:hint="eastAsia" w:ascii="宋体" w:hAnsi="宋体" w:cs="宋体"/>
          <w:sz w:val="24"/>
        </w:rPr>
        <w:t>三个月内有质量问题可免费换新。质保期内免费提供所需原件及维修服务。保修期外的维修只收取配件成本费，质保期内更换或修复超过</w:t>
      </w:r>
      <w:r>
        <w:rPr>
          <w:rFonts w:hint="eastAsia"/>
          <w:sz w:val="24"/>
        </w:rPr>
        <w:t>24</w:t>
      </w:r>
      <w:r>
        <w:rPr>
          <w:rFonts w:hint="eastAsia" w:ascii="宋体" w:hAnsi="宋体" w:cs="宋体"/>
          <w:sz w:val="24"/>
        </w:rPr>
        <w:t>小时的，从更换或修复之日起顺延质量保证期（以维修记录日期为准）。设备提供终身免费软件升级服务。</w:t>
      </w:r>
    </w:p>
    <w:p w14:paraId="34409B68">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rFonts w:eastAsiaTheme="minorEastAsia"/>
          <w:sz w:val="24"/>
        </w:rPr>
      </w:pPr>
      <w:r>
        <w:rPr>
          <w:rFonts w:hint="eastAsia" w:ascii="宋体" w:hAnsi="宋体" w:cs="宋体"/>
          <w:sz w:val="24"/>
        </w:rPr>
        <w:t>（</w:t>
      </w:r>
      <w:r>
        <w:rPr>
          <w:rFonts w:hint="eastAsia" w:eastAsiaTheme="minorEastAsia"/>
          <w:sz w:val="24"/>
        </w:rPr>
        <w:t>2</w:t>
      </w:r>
      <w:r>
        <w:rPr>
          <w:rFonts w:hint="eastAsia" w:ascii="宋体" w:hAnsi="宋体" w:cs="宋体"/>
          <w:sz w:val="24"/>
        </w:rPr>
        <w:t>）要求有售后服务体系和备用货物，无论保修期内外，发生故障报修，在</w:t>
      </w:r>
      <w:r>
        <w:rPr>
          <w:rFonts w:hint="eastAsia"/>
          <w:sz w:val="24"/>
        </w:rPr>
        <w:t>2</w:t>
      </w:r>
      <w:r>
        <w:rPr>
          <w:rFonts w:hint="eastAsia" w:ascii="宋体" w:hAnsi="宋体" w:cs="宋体"/>
          <w:sz w:val="24"/>
        </w:rPr>
        <w:t>小时内响应并作出相应安排，需要现场维修的在</w:t>
      </w:r>
      <w:r>
        <w:rPr>
          <w:rFonts w:hint="eastAsia"/>
          <w:sz w:val="24"/>
        </w:rPr>
        <w:t>24</w:t>
      </w:r>
      <w:r>
        <w:rPr>
          <w:rFonts w:hint="eastAsia" w:ascii="宋体" w:hAnsi="宋体" w:cs="宋体"/>
          <w:sz w:val="24"/>
        </w:rPr>
        <w:t>小时内到达现场。</w:t>
      </w:r>
      <w:r>
        <w:rPr>
          <w:rFonts w:hint="eastAsia"/>
          <w:sz w:val="24"/>
        </w:rPr>
        <w:t>48</w:t>
      </w:r>
      <w:r>
        <w:rPr>
          <w:rFonts w:hint="eastAsia" w:ascii="宋体" w:hAnsi="宋体" w:cs="宋体"/>
          <w:sz w:val="24"/>
        </w:rPr>
        <w:t>小时内解决不了，需提供备用货物或延迟相应维保时间。</w:t>
      </w:r>
    </w:p>
    <w:p w14:paraId="268C6A9D">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r>
        <w:rPr>
          <w:rFonts w:hint="eastAsia" w:eastAsiaTheme="minorEastAsia"/>
          <w:sz w:val="24"/>
        </w:rPr>
        <w:t>（3）</w:t>
      </w:r>
      <w:r>
        <w:rPr>
          <w:rFonts w:hint="eastAsia" w:ascii="宋体" w:hAnsi="宋体" w:cs="宋体"/>
          <w:sz w:val="24"/>
        </w:rPr>
        <w:t>在质保期满后，如采购人要求中标人继续提供终身维修、维护服务，由此发生的费用由采购人承担。</w:t>
      </w:r>
    </w:p>
    <w:p w14:paraId="5C3FCCA0">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r>
        <w:rPr>
          <w:rFonts w:hint="eastAsia" w:ascii="宋体" w:hAnsi="宋体" w:cs="宋体"/>
          <w:sz w:val="24"/>
        </w:rPr>
        <w:t>（</w:t>
      </w:r>
      <w:r>
        <w:rPr>
          <w:rFonts w:hint="eastAsia" w:eastAsiaTheme="minorEastAsia"/>
          <w:sz w:val="24"/>
        </w:rPr>
        <w:t>4</w:t>
      </w:r>
      <w:r>
        <w:rPr>
          <w:rFonts w:hint="eastAsia" w:ascii="宋体" w:hAnsi="宋体" w:cs="宋体"/>
          <w:sz w:val="24"/>
        </w:rPr>
        <w:t>）中标人免费提供技术人员的现场技术培训，内容须包括设备的工作原理、数据处理、使用方法、日常维护、一般常见故障的排除措施等，培训时需提供完整的中文培训资料，包括使用说明书、工作原理图、数据处理、操作流程、注意事项、安装调试方法和维修指南。</w:t>
      </w:r>
    </w:p>
    <w:p w14:paraId="7BB96641">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rFonts w:ascii="宋体" w:hAnsi="宋体" w:cs="宋体"/>
          <w:sz w:val="24"/>
        </w:rPr>
      </w:pPr>
      <w:r>
        <w:rPr>
          <w:rFonts w:hint="eastAsia"/>
          <w:sz w:val="24"/>
        </w:rPr>
        <w:t>2</w:t>
      </w:r>
      <w:r>
        <w:rPr>
          <w:rFonts w:hint="eastAsia" w:ascii="宋体" w:hAnsi="宋体" w:cs="宋体"/>
          <w:sz w:val="24"/>
        </w:rPr>
        <w:t>、付款方式：货物验收合格后付合同总款的</w:t>
      </w:r>
      <w:r>
        <w:rPr>
          <w:rFonts w:hint="eastAsia"/>
          <w:sz w:val="24"/>
        </w:rPr>
        <w:t>100%</w:t>
      </w:r>
      <w:r>
        <w:rPr>
          <w:rFonts w:hint="eastAsia" w:ascii="宋体" w:hAnsi="宋体" w:cs="宋体"/>
          <w:sz w:val="24"/>
        </w:rPr>
        <w:t>。</w:t>
      </w:r>
    </w:p>
    <w:p w14:paraId="3120405C">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rFonts w:ascii="宋体" w:hAnsi="宋体" w:cs="宋体"/>
          <w:sz w:val="24"/>
        </w:rPr>
      </w:pPr>
      <w:r>
        <w:rPr>
          <w:rFonts w:hint="eastAsia" w:ascii="宋体" w:hAnsi="宋体" w:cs="宋体"/>
          <w:sz w:val="24"/>
        </w:rPr>
        <w:t>3、质保期：为自货物通过最终验收起</w:t>
      </w:r>
      <w:r>
        <w:rPr>
          <w:rFonts w:hint="eastAsia" w:ascii="宋体" w:hAnsi="宋体" w:cs="宋体"/>
          <w:sz w:val="24"/>
          <w:u w:val="single"/>
        </w:rPr>
        <w:t xml:space="preserve"> 3 年</w:t>
      </w:r>
      <w:r>
        <w:rPr>
          <w:rFonts w:hint="eastAsia" w:ascii="宋体" w:hAnsi="宋体" w:cs="宋体"/>
          <w:sz w:val="24"/>
        </w:rPr>
        <w:t>。（技术规范及要求内另有说明的除外）。</w:t>
      </w:r>
    </w:p>
    <w:p w14:paraId="454DE351">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color w:val="FF0000"/>
          <w:sz w:val="24"/>
        </w:rPr>
      </w:pPr>
      <w:r>
        <w:rPr>
          <w:rFonts w:hint="eastAsia"/>
          <w:color w:val="FF0000"/>
          <w:sz w:val="24"/>
        </w:rPr>
        <w:t>4</w:t>
      </w:r>
      <w:r>
        <w:rPr>
          <w:rFonts w:hint="eastAsia" w:ascii="宋体" w:hAnsi="宋体" w:cs="宋体"/>
          <w:color w:val="FF0000"/>
          <w:sz w:val="24"/>
        </w:rPr>
        <w:t>、交货期：</w:t>
      </w:r>
      <w:r>
        <w:rPr>
          <w:rFonts w:hint="eastAsia" w:ascii="宋体" w:hAnsi="宋体" w:eastAsia="宋体" w:cs="宋体"/>
          <w:color w:val="FF0000"/>
          <w:sz w:val="24"/>
          <w:lang w:eastAsia="zh-CN"/>
        </w:rPr>
        <w:t>中标公示后</w:t>
      </w:r>
      <w:r>
        <w:rPr>
          <w:rFonts w:hint="eastAsia" w:ascii="宋体" w:hAnsi="宋体" w:eastAsia="宋体" w:cs="宋体"/>
          <w:color w:val="FF0000"/>
          <w:sz w:val="24"/>
          <w:lang w:val="en-US" w:eastAsia="zh-CN"/>
        </w:rPr>
        <w:t>2日内须签订合同，合同</w:t>
      </w:r>
      <w:r>
        <w:rPr>
          <w:rFonts w:hint="eastAsia" w:ascii="宋体" w:hAnsi="宋体" w:cs="宋体"/>
          <w:color w:val="FF0000"/>
          <w:sz w:val="24"/>
        </w:rPr>
        <w:t>签订后</w:t>
      </w:r>
      <w:r>
        <w:rPr>
          <w:rFonts w:hint="eastAsia"/>
          <w:color w:val="FF0000"/>
          <w:sz w:val="24"/>
          <w:u w:val="single"/>
        </w:rPr>
        <w:t xml:space="preserve">  </w:t>
      </w:r>
      <w:r>
        <w:rPr>
          <w:rFonts w:hint="eastAsia" w:eastAsia="宋体"/>
          <w:color w:val="FF0000"/>
          <w:sz w:val="24"/>
          <w:u w:val="single"/>
          <w:lang w:val="en-US" w:eastAsia="zh-CN"/>
        </w:rPr>
        <w:t>15</w:t>
      </w:r>
      <w:r>
        <w:rPr>
          <w:rFonts w:hint="eastAsia"/>
          <w:color w:val="FF0000"/>
          <w:sz w:val="24"/>
          <w:u w:val="single"/>
        </w:rPr>
        <w:t xml:space="preserve">  </w:t>
      </w:r>
      <w:r>
        <w:rPr>
          <w:rFonts w:hint="eastAsia" w:ascii="宋体" w:hAnsi="宋体" w:cs="宋体"/>
          <w:color w:val="FF0000"/>
          <w:sz w:val="24"/>
        </w:rPr>
        <w:t>日内</w:t>
      </w:r>
      <w:r>
        <w:rPr>
          <w:rFonts w:hint="eastAsia" w:ascii="宋体" w:hAnsi="宋体" w:eastAsia="宋体" w:cs="宋体"/>
          <w:color w:val="FF0000"/>
          <w:sz w:val="24"/>
          <w:lang w:eastAsia="zh-CN"/>
        </w:rPr>
        <w:t>全部</w:t>
      </w:r>
      <w:r>
        <w:rPr>
          <w:rFonts w:hint="eastAsia" w:ascii="宋体" w:hAnsi="宋体" w:cs="宋体"/>
          <w:color w:val="FF0000"/>
          <w:sz w:val="24"/>
        </w:rPr>
        <w:t>货物安装调试合格并交付使用。</w:t>
      </w:r>
    </w:p>
    <w:p w14:paraId="7A20D75A">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r>
        <w:rPr>
          <w:rFonts w:hint="eastAsia"/>
          <w:sz w:val="24"/>
        </w:rPr>
        <w:t>5</w:t>
      </w:r>
      <w:r>
        <w:rPr>
          <w:rFonts w:hint="eastAsia" w:ascii="宋体" w:hAnsi="宋体" w:cs="宋体"/>
          <w:sz w:val="24"/>
        </w:rPr>
        <w:t>、交货地点：采购人指定</w:t>
      </w:r>
    </w:p>
    <w:p w14:paraId="634FEA7A">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r>
        <w:rPr>
          <w:rFonts w:hint="eastAsia"/>
          <w:sz w:val="24"/>
        </w:rPr>
        <w:t>6</w:t>
      </w:r>
      <w:r>
        <w:rPr>
          <w:rFonts w:hint="eastAsia" w:ascii="宋体" w:hAnsi="宋体" w:cs="宋体"/>
          <w:sz w:val="24"/>
        </w:rPr>
        <w:t>、安装调试及货物验收</w:t>
      </w:r>
    </w:p>
    <w:p w14:paraId="6762F4A5">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r>
        <w:rPr>
          <w:rFonts w:hint="eastAsia" w:ascii="宋体" w:hAnsi="宋体" w:cs="宋体"/>
          <w:sz w:val="24"/>
        </w:rPr>
        <w:t>（</w:t>
      </w:r>
      <w:r>
        <w:rPr>
          <w:sz w:val="24"/>
        </w:rPr>
        <w:t>1</w:t>
      </w:r>
      <w:r>
        <w:rPr>
          <w:rFonts w:hint="eastAsia" w:ascii="宋体" w:hAnsi="宋体" w:cs="宋体"/>
          <w:sz w:val="24"/>
        </w:rPr>
        <w:t>）中标人产品到达后，存放于采购人指定场所自行保管。</w:t>
      </w:r>
    </w:p>
    <w:p w14:paraId="0FC3D734">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r>
        <w:rPr>
          <w:rFonts w:hint="eastAsia" w:ascii="宋体" w:hAnsi="宋体" w:cs="宋体"/>
          <w:sz w:val="24"/>
        </w:rPr>
        <w:t>（</w:t>
      </w:r>
      <w:r>
        <w:rPr>
          <w:rFonts w:hint="eastAsia" w:eastAsiaTheme="minorEastAsia"/>
          <w:sz w:val="24"/>
        </w:rPr>
        <w:t>2</w:t>
      </w:r>
      <w:r>
        <w:rPr>
          <w:rFonts w:hint="eastAsia" w:ascii="宋体" w:hAnsi="宋体" w:cs="宋体"/>
          <w:sz w:val="24"/>
        </w:rPr>
        <w:t>）产品安装后的验收：中标人将产品安装完毕后，采购人组织相关人员到现场根据国家相关标准进行现场验收，质量、性能达到技术要求的，给予验收。对产品进行验收并与采购人有关部门办理交接手续。如货物质量和技术条款不符合要求或有明显损坏，采购人不予验收。中标人应在</w:t>
      </w:r>
      <w:r>
        <w:rPr>
          <w:rFonts w:hint="eastAsia"/>
          <w:sz w:val="24"/>
        </w:rPr>
        <w:t>10</w:t>
      </w:r>
      <w:r>
        <w:rPr>
          <w:rFonts w:hint="eastAsia" w:ascii="宋体" w:hAnsi="宋体" w:cs="宋体"/>
          <w:sz w:val="24"/>
        </w:rPr>
        <w:t>天内免费更换其不合格设备，使之达到招标文件要求，所有费用由中标供应商负担。</w:t>
      </w:r>
    </w:p>
    <w:p w14:paraId="681EED20">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r>
        <w:rPr>
          <w:rFonts w:hint="eastAsia" w:ascii="宋体" w:hAnsi="宋体" w:cs="宋体"/>
          <w:sz w:val="24"/>
        </w:rPr>
        <w:t>（</w:t>
      </w:r>
      <w:r>
        <w:rPr>
          <w:rFonts w:hint="eastAsia" w:eastAsiaTheme="minorEastAsia"/>
          <w:sz w:val="24"/>
        </w:rPr>
        <w:t>3</w:t>
      </w:r>
      <w:r>
        <w:rPr>
          <w:rFonts w:hint="eastAsia" w:ascii="宋体" w:hAnsi="宋体" w:cs="宋体"/>
          <w:sz w:val="24"/>
        </w:rPr>
        <w:t>）自合同验收合格之日起</w:t>
      </w:r>
      <w:r>
        <w:rPr>
          <w:rFonts w:hint="eastAsia"/>
          <w:sz w:val="24"/>
        </w:rPr>
        <w:t xml:space="preserve"> 3 </w:t>
      </w:r>
      <w:r>
        <w:rPr>
          <w:rFonts w:hint="eastAsia" w:ascii="宋体" w:hAnsi="宋体" w:cs="宋体"/>
          <w:sz w:val="24"/>
        </w:rPr>
        <w:t>个日历日内，中标人将全部有关技术文件、资料、验收报告等文档汇集成册交付采购人或用户。</w:t>
      </w:r>
    </w:p>
    <w:p w14:paraId="1DFB8E7B">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r>
        <w:rPr>
          <w:rFonts w:hint="eastAsia"/>
          <w:sz w:val="24"/>
        </w:rPr>
        <w:t>7</w:t>
      </w:r>
      <w:r>
        <w:rPr>
          <w:rFonts w:hint="eastAsia" w:ascii="宋体" w:hAnsi="宋体" w:cs="宋体"/>
          <w:sz w:val="24"/>
        </w:rPr>
        <w:t>、培训要求</w:t>
      </w:r>
    </w:p>
    <w:p w14:paraId="79546E2C">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bookmarkStart w:id="5" w:name="OLE_LINK33"/>
      <w:bookmarkStart w:id="6" w:name="OLE_LINK32"/>
      <w:r>
        <w:rPr>
          <w:rFonts w:hint="eastAsia" w:ascii="宋体" w:hAnsi="宋体" w:cs="宋体"/>
          <w:sz w:val="24"/>
        </w:rPr>
        <w:t>（</w:t>
      </w:r>
      <w:r>
        <w:rPr>
          <w:rFonts w:hint="eastAsia"/>
          <w:sz w:val="24"/>
        </w:rPr>
        <w:t>1</w:t>
      </w:r>
      <w:r>
        <w:rPr>
          <w:rFonts w:hint="eastAsia" w:ascii="宋体" w:hAnsi="宋体" w:cs="宋体"/>
          <w:sz w:val="24"/>
        </w:rPr>
        <w:t>）</w:t>
      </w:r>
      <w:bookmarkEnd w:id="5"/>
      <w:bookmarkEnd w:id="6"/>
      <w:r>
        <w:rPr>
          <w:rFonts w:hint="eastAsia" w:ascii="宋体" w:hAnsi="宋体" w:cs="宋体"/>
          <w:sz w:val="24"/>
        </w:rPr>
        <w:t>为保证设备交付后的正常运行使用，中标人应在各设备安装现场进行现场培训并负责对采购人的技术人员进行免费培训，培训时间和培训地点与采购人协商确定。</w:t>
      </w:r>
    </w:p>
    <w:p w14:paraId="37961B5A">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sz w:val="24"/>
        </w:rPr>
      </w:pPr>
      <w:r>
        <w:rPr>
          <w:rFonts w:hint="eastAsia" w:ascii="宋体" w:hAnsi="宋体" w:cs="宋体"/>
          <w:sz w:val="24"/>
        </w:rPr>
        <w:t>（</w:t>
      </w:r>
      <w:r>
        <w:rPr>
          <w:rFonts w:hint="eastAsia"/>
          <w:sz w:val="24"/>
        </w:rPr>
        <w:t>2</w:t>
      </w:r>
      <w:r>
        <w:rPr>
          <w:rFonts w:hint="eastAsia" w:ascii="宋体" w:hAnsi="宋体" w:cs="宋体"/>
          <w:sz w:val="24"/>
        </w:rPr>
        <w:t>）培训要求：通过培训，系统管理操作工作人员对系统各功能模块能比较熟练地掌握并能完成独立操作。</w:t>
      </w:r>
    </w:p>
    <w:p w14:paraId="3C5E246E">
      <w:pPr>
        <w:keepNext w:val="0"/>
        <w:keepLines w:val="0"/>
        <w:pageBreakBefore w:val="0"/>
        <w:widowControl/>
        <w:kinsoku w:val="0"/>
        <w:wordWrap/>
        <w:overflowPunct/>
        <w:topLinePunct w:val="0"/>
        <w:autoSpaceDE w:val="0"/>
        <w:autoSpaceDN w:val="0"/>
        <w:bidi w:val="0"/>
        <w:adjustRightInd w:val="0"/>
        <w:snapToGrid w:val="0"/>
        <w:spacing w:line="336" w:lineRule="auto"/>
        <w:contextualSpacing/>
        <w:textAlignment w:val="baseline"/>
        <w:rPr>
          <w:rFonts w:hint="eastAsia" w:ascii="宋体" w:hAnsi="宋体" w:cs="宋体"/>
          <w:sz w:val="24"/>
        </w:rPr>
      </w:pPr>
      <w:r>
        <w:rPr>
          <w:rFonts w:hint="eastAsia" w:ascii="宋体" w:hAnsi="宋体" w:cs="宋体"/>
          <w:sz w:val="24"/>
        </w:rPr>
        <w:t>（</w:t>
      </w:r>
      <w:r>
        <w:rPr>
          <w:rFonts w:hint="eastAsia"/>
          <w:sz w:val="24"/>
        </w:rPr>
        <w:t>3</w:t>
      </w:r>
      <w:r>
        <w:rPr>
          <w:rFonts w:hint="eastAsia" w:ascii="宋体" w:hAnsi="宋体" w:cs="宋体"/>
          <w:sz w:val="24"/>
        </w:rPr>
        <w:t>）培训费用由中标供应商承担。</w:t>
      </w:r>
    </w:p>
    <w:p w14:paraId="289D12DE">
      <w:pPr>
        <w:widowControl w:val="0"/>
        <w:spacing w:line="360" w:lineRule="auto"/>
        <w:ind w:left="480"/>
        <w:rPr>
          <w:rFonts w:ascii="宋体" w:hAnsi="宋体" w:eastAsia="宋体" w:cs="宋体"/>
          <w:color w:val="auto"/>
          <w:sz w:val="24"/>
          <w:szCs w:val="24"/>
          <w:lang w:eastAsia="zh-CN"/>
        </w:rPr>
      </w:pPr>
      <w:r>
        <w:rPr>
          <w:rFonts w:hint="eastAsia" w:ascii="宋体" w:hAnsi="宋体" w:eastAsia="宋体" w:cs="宋体"/>
          <w:b/>
          <w:bCs/>
          <w:color w:val="FF0000"/>
          <w:sz w:val="24"/>
          <w:lang w:eastAsia="zh-CN"/>
        </w:rPr>
        <w:t>注：以上商务</w:t>
      </w:r>
      <w:r>
        <w:rPr>
          <w:rFonts w:hint="eastAsia" w:cs="宋体" w:asciiTheme="minorEastAsia" w:hAnsiTheme="minorEastAsia" w:eastAsiaTheme="minorEastAsia"/>
          <w:b/>
          <w:bCs/>
          <w:color w:val="FF0000"/>
          <w:sz w:val="24"/>
          <w:lang w:eastAsia="zh-CN"/>
        </w:rPr>
        <w:t>条件</w:t>
      </w:r>
      <w:r>
        <w:rPr>
          <w:rFonts w:hint="eastAsia" w:ascii="宋体" w:hAnsi="宋体" w:eastAsia="宋体" w:cs="宋体"/>
          <w:b/>
          <w:bCs/>
          <w:color w:val="FF0000"/>
          <w:sz w:val="24"/>
          <w:lang w:eastAsia="zh-CN"/>
        </w:rPr>
        <w:t>投标人必须完全满足，否则做无效投标处理。</w:t>
      </w:r>
    </w:p>
    <w:p w14:paraId="41773734">
      <w:pPr>
        <w:spacing w:line="288" w:lineRule="auto"/>
        <w:ind w:left="-283" w:leftChars="-135" w:right="-340" w:rightChars="-162"/>
        <w:jc w:val="center"/>
        <w:rPr>
          <w:rFonts w:asciiTheme="minorEastAsia" w:hAnsiTheme="minorEastAsia"/>
          <w:sz w:val="28"/>
          <w:szCs w:val="28"/>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_x000b_x000c_">
    <w:altName w:val="Courier New"/>
    <w:panose1 w:val="00000000000000000000"/>
    <w:charset w:val="00"/>
    <w:family w:val="auto"/>
    <w:pitch w:val="default"/>
    <w:sig w:usb0="00000000" w:usb1="00000000" w:usb2="00000000"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ACF3C50" w:usb2="00000016" w:usb3="00000000" w:csb0="0004001F" w:csb1="00000000"/>
  </w:font>
  <w:font w:name="CESI仿宋-GB2312">
    <w:altName w:val="微软雅黑"/>
    <w:panose1 w:val="00000000000000000000"/>
    <w:charset w:val="86"/>
    <w:family w:val="auto"/>
    <w:pitch w:val="default"/>
    <w:sig w:usb0="00000000" w:usb1="00000000"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9663037"/>
    </w:sdtPr>
    <w:sdtContent>
      <w:p w14:paraId="014665A8">
        <w:pPr>
          <w:pStyle w:val="24"/>
          <w:jc w:val="center"/>
        </w:pPr>
        <w:r>
          <w:fldChar w:fldCharType="begin"/>
        </w:r>
        <w:r>
          <w:instrText xml:space="preserve">PAGE   \* MERGEFORMAT</w:instrText>
        </w:r>
        <w:r>
          <w:fldChar w:fldCharType="separate"/>
        </w:r>
        <w:r>
          <w:rPr>
            <w:lang w:val="zh-CN"/>
          </w:rPr>
          <w:t>1</w:t>
        </w:r>
        <w:r>
          <w:fldChar w:fldCharType="end"/>
        </w:r>
      </w:p>
    </w:sdtContent>
  </w:sdt>
  <w:p w14:paraId="615A5055">
    <w:pPr>
      <w:pStyle w:val="2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38F5C7"/>
    <w:multiLevelType w:val="singleLevel"/>
    <w:tmpl w:val="0238F5C7"/>
    <w:lvl w:ilvl="0" w:tentative="0">
      <w:start w:val="1"/>
      <w:numFmt w:val="chineseCounting"/>
      <w:pStyle w:val="72"/>
      <w:suff w:val="nothing"/>
      <w:lvlText w:val="%1、"/>
      <w:lvlJc w:val="left"/>
      <w:rPr>
        <w:rFonts w:hint="eastAsia"/>
      </w:rPr>
    </w:lvl>
  </w:abstractNum>
  <w:abstractNum w:abstractNumId="1">
    <w:nsid w:val="0F396B95"/>
    <w:multiLevelType w:val="singleLevel"/>
    <w:tmpl w:val="0F396B95"/>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44094"/>
    <w:rsid w:val="0001782D"/>
    <w:rsid w:val="0002112F"/>
    <w:rsid w:val="000230FB"/>
    <w:rsid w:val="000312DE"/>
    <w:rsid w:val="00032224"/>
    <w:rsid w:val="00040011"/>
    <w:rsid w:val="00040104"/>
    <w:rsid w:val="00041F5B"/>
    <w:rsid w:val="0005737B"/>
    <w:rsid w:val="00061E7E"/>
    <w:rsid w:val="000726D8"/>
    <w:rsid w:val="00073CD8"/>
    <w:rsid w:val="000811D9"/>
    <w:rsid w:val="00081AD9"/>
    <w:rsid w:val="00085B0E"/>
    <w:rsid w:val="000A1BC8"/>
    <w:rsid w:val="000A3326"/>
    <w:rsid w:val="000A6769"/>
    <w:rsid w:val="000C09F1"/>
    <w:rsid w:val="000D3B95"/>
    <w:rsid w:val="000D5040"/>
    <w:rsid w:val="000D6508"/>
    <w:rsid w:val="000D6D8A"/>
    <w:rsid w:val="000D7F29"/>
    <w:rsid w:val="001038D3"/>
    <w:rsid w:val="00110BD8"/>
    <w:rsid w:val="001170C3"/>
    <w:rsid w:val="001267A9"/>
    <w:rsid w:val="0013375D"/>
    <w:rsid w:val="001437CC"/>
    <w:rsid w:val="00151020"/>
    <w:rsid w:val="00151C8B"/>
    <w:rsid w:val="0016103A"/>
    <w:rsid w:val="001626B1"/>
    <w:rsid w:val="00162C0D"/>
    <w:rsid w:val="00177D19"/>
    <w:rsid w:val="0019659C"/>
    <w:rsid w:val="001B76E8"/>
    <w:rsid w:val="001C1F8C"/>
    <w:rsid w:val="001C43C9"/>
    <w:rsid w:val="001C5ACC"/>
    <w:rsid w:val="001D68AC"/>
    <w:rsid w:val="001F0887"/>
    <w:rsid w:val="001F29FE"/>
    <w:rsid w:val="00202B4D"/>
    <w:rsid w:val="00206717"/>
    <w:rsid w:val="00242B32"/>
    <w:rsid w:val="00244094"/>
    <w:rsid w:val="00246690"/>
    <w:rsid w:val="00251716"/>
    <w:rsid w:val="0025311E"/>
    <w:rsid w:val="00263BB2"/>
    <w:rsid w:val="00265892"/>
    <w:rsid w:val="00265A0C"/>
    <w:rsid w:val="00280A5F"/>
    <w:rsid w:val="00283411"/>
    <w:rsid w:val="00283DA5"/>
    <w:rsid w:val="00294A18"/>
    <w:rsid w:val="002A521B"/>
    <w:rsid w:val="002B521D"/>
    <w:rsid w:val="002C3378"/>
    <w:rsid w:val="002D45D8"/>
    <w:rsid w:val="002E3CBE"/>
    <w:rsid w:val="002F4172"/>
    <w:rsid w:val="00317157"/>
    <w:rsid w:val="00322E12"/>
    <w:rsid w:val="00326A08"/>
    <w:rsid w:val="00354E65"/>
    <w:rsid w:val="003613C9"/>
    <w:rsid w:val="00377565"/>
    <w:rsid w:val="00382972"/>
    <w:rsid w:val="003B201C"/>
    <w:rsid w:val="003C50F4"/>
    <w:rsid w:val="003D04C7"/>
    <w:rsid w:val="003F09EC"/>
    <w:rsid w:val="00402CA0"/>
    <w:rsid w:val="004047CB"/>
    <w:rsid w:val="00405820"/>
    <w:rsid w:val="00417454"/>
    <w:rsid w:val="004234A5"/>
    <w:rsid w:val="004242EC"/>
    <w:rsid w:val="00430D5D"/>
    <w:rsid w:val="004352B1"/>
    <w:rsid w:val="00440D4F"/>
    <w:rsid w:val="00445621"/>
    <w:rsid w:val="004736EE"/>
    <w:rsid w:val="00477057"/>
    <w:rsid w:val="00492CA1"/>
    <w:rsid w:val="004A3579"/>
    <w:rsid w:val="004B0417"/>
    <w:rsid w:val="004B2798"/>
    <w:rsid w:val="004C7617"/>
    <w:rsid w:val="004D20FE"/>
    <w:rsid w:val="004D2D9A"/>
    <w:rsid w:val="004D4C63"/>
    <w:rsid w:val="004D6B49"/>
    <w:rsid w:val="004E0FD5"/>
    <w:rsid w:val="004E39FD"/>
    <w:rsid w:val="004F0CA3"/>
    <w:rsid w:val="004F449A"/>
    <w:rsid w:val="00505C8C"/>
    <w:rsid w:val="00513D2E"/>
    <w:rsid w:val="00516E39"/>
    <w:rsid w:val="00534BBE"/>
    <w:rsid w:val="00540AA3"/>
    <w:rsid w:val="00550839"/>
    <w:rsid w:val="005537E7"/>
    <w:rsid w:val="00561C05"/>
    <w:rsid w:val="005769A5"/>
    <w:rsid w:val="00577E43"/>
    <w:rsid w:val="005902A4"/>
    <w:rsid w:val="005B075F"/>
    <w:rsid w:val="005B7770"/>
    <w:rsid w:val="005C639C"/>
    <w:rsid w:val="005E6D81"/>
    <w:rsid w:val="005F2DF8"/>
    <w:rsid w:val="005F4512"/>
    <w:rsid w:val="00612B40"/>
    <w:rsid w:val="00615667"/>
    <w:rsid w:val="00617237"/>
    <w:rsid w:val="00621BC2"/>
    <w:rsid w:val="0062558B"/>
    <w:rsid w:val="00625692"/>
    <w:rsid w:val="006319A9"/>
    <w:rsid w:val="006406BA"/>
    <w:rsid w:val="00647B06"/>
    <w:rsid w:val="00651149"/>
    <w:rsid w:val="00692AE8"/>
    <w:rsid w:val="006939FC"/>
    <w:rsid w:val="006B499C"/>
    <w:rsid w:val="006C1AA8"/>
    <w:rsid w:val="006C3263"/>
    <w:rsid w:val="006C76A8"/>
    <w:rsid w:val="006C7CA3"/>
    <w:rsid w:val="006E5565"/>
    <w:rsid w:val="006F3BB6"/>
    <w:rsid w:val="006F3E1B"/>
    <w:rsid w:val="007048AA"/>
    <w:rsid w:val="00707A94"/>
    <w:rsid w:val="00710E85"/>
    <w:rsid w:val="007162BE"/>
    <w:rsid w:val="00722336"/>
    <w:rsid w:val="00733B46"/>
    <w:rsid w:val="0074344C"/>
    <w:rsid w:val="00743549"/>
    <w:rsid w:val="007508E9"/>
    <w:rsid w:val="0077085C"/>
    <w:rsid w:val="0077529B"/>
    <w:rsid w:val="0079663A"/>
    <w:rsid w:val="00797951"/>
    <w:rsid w:val="007B0AA0"/>
    <w:rsid w:val="007B66F9"/>
    <w:rsid w:val="007C2590"/>
    <w:rsid w:val="007C2F19"/>
    <w:rsid w:val="007C585D"/>
    <w:rsid w:val="007E2D83"/>
    <w:rsid w:val="007F4738"/>
    <w:rsid w:val="00804906"/>
    <w:rsid w:val="0080719E"/>
    <w:rsid w:val="0080774A"/>
    <w:rsid w:val="00807A99"/>
    <w:rsid w:val="00810AA5"/>
    <w:rsid w:val="00820BF3"/>
    <w:rsid w:val="008212AA"/>
    <w:rsid w:val="008358F7"/>
    <w:rsid w:val="008539A4"/>
    <w:rsid w:val="00873535"/>
    <w:rsid w:val="00873ED9"/>
    <w:rsid w:val="00877C6E"/>
    <w:rsid w:val="008808C8"/>
    <w:rsid w:val="00883475"/>
    <w:rsid w:val="00893062"/>
    <w:rsid w:val="00896C36"/>
    <w:rsid w:val="008974EE"/>
    <w:rsid w:val="008A1192"/>
    <w:rsid w:val="008A2FE7"/>
    <w:rsid w:val="008C23C9"/>
    <w:rsid w:val="008D397D"/>
    <w:rsid w:val="008D55A9"/>
    <w:rsid w:val="008E3CDA"/>
    <w:rsid w:val="008E47B6"/>
    <w:rsid w:val="00901DBB"/>
    <w:rsid w:val="00903665"/>
    <w:rsid w:val="0090581E"/>
    <w:rsid w:val="00913E00"/>
    <w:rsid w:val="00914C6B"/>
    <w:rsid w:val="00931D8A"/>
    <w:rsid w:val="00932200"/>
    <w:rsid w:val="00933FA6"/>
    <w:rsid w:val="0095561F"/>
    <w:rsid w:val="00955751"/>
    <w:rsid w:val="009564EA"/>
    <w:rsid w:val="00966F02"/>
    <w:rsid w:val="00987EBF"/>
    <w:rsid w:val="00990F83"/>
    <w:rsid w:val="00993353"/>
    <w:rsid w:val="00994576"/>
    <w:rsid w:val="009A15C7"/>
    <w:rsid w:val="009B0D82"/>
    <w:rsid w:val="009C09CE"/>
    <w:rsid w:val="009F70F5"/>
    <w:rsid w:val="00A054B9"/>
    <w:rsid w:val="00A16D7E"/>
    <w:rsid w:val="00A21229"/>
    <w:rsid w:val="00A27B41"/>
    <w:rsid w:val="00A30A01"/>
    <w:rsid w:val="00A30F31"/>
    <w:rsid w:val="00A32905"/>
    <w:rsid w:val="00A3374C"/>
    <w:rsid w:val="00A40F00"/>
    <w:rsid w:val="00A42AC0"/>
    <w:rsid w:val="00A45A1C"/>
    <w:rsid w:val="00A56433"/>
    <w:rsid w:val="00A6282A"/>
    <w:rsid w:val="00A82565"/>
    <w:rsid w:val="00A82C2E"/>
    <w:rsid w:val="00AE122D"/>
    <w:rsid w:val="00AE61F6"/>
    <w:rsid w:val="00AF733C"/>
    <w:rsid w:val="00B04C27"/>
    <w:rsid w:val="00B15699"/>
    <w:rsid w:val="00B31F67"/>
    <w:rsid w:val="00B6184F"/>
    <w:rsid w:val="00B76D04"/>
    <w:rsid w:val="00B77100"/>
    <w:rsid w:val="00B84AD0"/>
    <w:rsid w:val="00B87E0C"/>
    <w:rsid w:val="00B91984"/>
    <w:rsid w:val="00B979B6"/>
    <w:rsid w:val="00BA38A2"/>
    <w:rsid w:val="00BA4064"/>
    <w:rsid w:val="00BD1CA7"/>
    <w:rsid w:val="00BD7241"/>
    <w:rsid w:val="00BD76E2"/>
    <w:rsid w:val="00C26AB0"/>
    <w:rsid w:val="00C37A88"/>
    <w:rsid w:val="00C47052"/>
    <w:rsid w:val="00C52F06"/>
    <w:rsid w:val="00C53B82"/>
    <w:rsid w:val="00C61BBE"/>
    <w:rsid w:val="00C64158"/>
    <w:rsid w:val="00C64EA3"/>
    <w:rsid w:val="00C65434"/>
    <w:rsid w:val="00C927FC"/>
    <w:rsid w:val="00C94175"/>
    <w:rsid w:val="00C95981"/>
    <w:rsid w:val="00CA4673"/>
    <w:rsid w:val="00CB4BD4"/>
    <w:rsid w:val="00D227E1"/>
    <w:rsid w:val="00D26832"/>
    <w:rsid w:val="00D44AB6"/>
    <w:rsid w:val="00D5210A"/>
    <w:rsid w:val="00D54805"/>
    <w:rsid w:val="00D60F19"/>
    <w:rsid w:val="00D73764"/>
    <w:rsid w:val="00D76708"/>
    <w:rsid w:val="00D80101"/>
    <w:rsid w:val="00D829B7"/>
    <w:rsid w:val="00D848BF"/>
    <w:rsid w:val="00D93794"/>
    <w:rsid w:val="00D95EC5"/>
    <w:rsid w:val="00DA4006"/>
    <w:rsid w:val="00DA7067"/>
    <w:rsid w:val="00DB5330"/>
    <w:rsid w:val="00DC09FA"/>
    <w:rsid w:val="00DD470F"/>
    <w:rsid w:val="00DF06FF"/>
    <w:rsid w:val="00DF7D68"/>
    <w:rsid w:val="00E000E1"/>
    <w:rsid w:val="00E0386B"/>
    <w:rsid w:val="00E15A95"/>
    <w:rsid w:val="00E22D38"/>
    <w:rsid w:val="00E323CD"/>
    <w:rsid w:val="00E457B7"/>
    <w:rsid w:val="00E46458"/>
    <w:rsid w:val="00E702D6"/>
    <w:rsid w:val="00E75E92"/>
    <w:rsid w:val="00EA6399"/>
    <w:rsid w:val="00EC537C"/>
    <w:rsid w:val="00EC68B9"/>
    <w:rsid w:val="00EC6C90"/>
    <w:rsid w:val="00ED4F85"/>
    <w:rsid w:val="00ED7C2A"/>
    <w:rsid w:val="00EE3266"/>
    <w:rsid w:val="00EF1B4E"/>
    <w:rsid w:val="00F06DC8"/>
    <w:rsid w:val="00F0709B"/>
    <w:rsid w:val="00F1283E"/>
    <w:rsid w:val="00F154F0"/>
    <w:rsid w:val="00F33A7E"/>
    <w:rsid w:val="00F340CE"/>
    <w:rsid w:val="00F4116D"/>
    <w:rsid w:val="00F53A4B"/>
    <w:rsid w:val="00F561E4"/>
    <w:rsid w:val="00F562B9"/>
    <w:rsid w:val="00F60114"/>
    <w:rsid w:val="00F60BF2"/>
    <w:rsid w:val="00F7076C"/>
    <w:rsid w:val="00F801AD"/>
    <w:rsid w:val="00F83A52"/>
    <w:rsid w:val="00F90CF8"/>
    <w:rsid w:val="00F94986"/>
    <w:rsid w:val="00F96BE4"/>
    <w:rsid w:val="00FA3D82"/>
    <w:rsid w:val="00FA520F"/>
    <w:rsid w:val="00FB16A4"/>
    <w:rsid w:val="00FB61B7"/>
    <w:rsid w:val="00FC0186"/>
    <w:rsid w:val="00FD643E"/>
    <w:rsid w:val="00FF155E"/>
    <w:rsid w:val="030933A7"/>
    <w:rsid w:val="073B6130"/>
    <w:rsid w:val="217C6D52"/>
    <w:rsid w:val="4BCD536A"/>
    <w:rsid w:val="4C266266"/>
    <w:rsid w:val="4E38698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semiHidden="0" w:name="heading 5"/>
    <w:lsdException w:qFormat="1" w:uiPriority="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name="annotation text"/>
    <w:lsdException w:qFormat="1" w:uiPriority="0" w:semiHidden="0" w:name="header"/>
    <w:lsdException w:qFormat="1"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0" w:semiHidden="0" w:name="Message Header"/>
    <w:lsdException w:qFormat="1" w:unhideWhenUsed="0" w:uiPriority="11" w:semiHidden="0" w:name="Subtitle"/>
    <w:lsdException w:uiPriority="99" w:name="Salutation"/>
    <w:lsdException w:qFormat="1" w:unhideWhenUsed="0" w:uiPriority="0" w:semiHidden="0" w:name="Date"/>
    <w:lsdException w:qFormat="1" w:unhideWhenUsed="0" w:uiPriority="99" w:semiHidden="0" w:name="Body Text First Indent"/>
    <w:lsdException w:uiPriority="99"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47"/>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48"/>
    <w:qFormat/>
    <w:uiPriority w:val="0"/>
    <w:pPr>
      <w:keepNext/>
      <w:keepLines/>
      <w:spacing w:before="260" w:after="260" w:line="415" w:lineRule="auto"/>
      <w:outlineLvl w:val="1"/>
    </w:pPr>
    <w:rPr>
      <w:rFonts w:ascii="Arial" w:hAnsi="Arial" w:eastAsia="黑体" w:cs="Arial"/>
      <w:b/>
      <w:bCs/>
      <w:sz w:val="32"/>
      <w:szCs w:val="32"/>
    </w:rPr>
  </w:style>
  <w:style w:type="paragraph" w:styleId="5">
    <w:name w:val="heading 3"/>
    <w:basedOn w:val="1"/>
    <w:next w:val="1"/>
    <w:link w:val="61"/>
    <w:qFormat/>
    <w:uiPriority w:val="0"/>
    <w:pPr>
      <w:keepNext/>
      <w:keepLines/>
      <w:spacing w:before="260" w:after="260" w:line="416" w:lineRule="auto"/>
      <w:outlineLvl w:val="2"/>
    </w:pPr>
    <w:rPr>
      <w:b/>
      <w:bCs/>
      <w:sz w:val="32"/>
      <w:szCs w:val="32"/>
    </w:rPr>
  </w:style>
  <w:style w:type="paragraph" w:styleId="6">
    <w:name w:val="heading 4"/>
    <w:basedOn w:val="1"/>
    <w:next w:val="1"/>
    <w:link w:val="62"/>
    <w:qFormat/>
    <w:uiPriority w:val="0"/>
    <w:pPr>
      <w:keepNext/>
      <w:spacing w:line="440" w:lineRule="exact"/>
      <w:jc w:val="center"/>
      <w:outlineLvl w:val="3"/>
    </w:pPr>
    <w:rPr>
      <w:rFonts w:ascii="仿宋_GB2312" w:eastAsia="仿宋_GB2312" w:cs="宋体"/>
      <w:sz w:val="28"/>
      <w:szCs w:val="24"/>
    </w:rPr>
  </w:style>
  <w:style w:type="paragraph" w:styleId="7">
    <w:name w:val="heading 5"/>
    <w:basedOn w:val="1"/>
    <w:next w:val="1"/>
    <w:link w:val="92"/>
    <w:unhideWhenUsed/>
    <w:qFormat/>
    <w:uiPriority w:val="0"/>
    <w:pPr>
      <w:keepNext/>
      <w:keepLines/>
      <w:widowControl/>
      <w:spacing w:before="280" w:after="290" w:line="376" w:lineRule="auto"/>
      <w:textAlignment w:val="baseline"/>
      <w:outlineLvl w:val="4"/>
    </w:pPr>
    <w:rPr>
      <w:b/>
      <w:bCs/>
      <w:sz w:val="28"/>
      <w:szCs w:val="28"/>
    </w:rPr>
  </w:style>
  <w:style w:type="paragraph" w:styleId="8">
    <w:name w:val="heading 6"/>
    <w:basedOn w:val="1"/>
    <w:next w:val="1"/>
    <w:link w:val="93"/>
    <w:semiHidden/>
    <w:unhideWhenUsed/>
    <w:qFormat/>
    <w:uiPriority w:val="0"/>
    <w:pPr>
      <w:keepNext/>
      <w:keepLines/>
      <w:widowControl/>
      <w:spacing w:before="240" w:after="64" w:line="320" w:lineRule="auto"/>
      <w:textAlignment w:val="baseline"/>
      <w:outlineLvl w:val="5"/>
    </w:pPr>
    <w:rPr>
      <w:rFonts w:asciiTheme="majorHAnsi" w:hAnsiTheme="majorHAnsi" w:eastAsiaTheme="majorEastAsia" w:cstheme="majorBidi"/>
      <w:b/>
      <w:bCs/>
      <w:sz w:val="24"/>
      <w:szCs w:val="24"/>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94"/>
    <w:qFormat/>
    <w:uiPriority w:val="0"/>
    <w:pPr>
      <w:widowControl/>
      <w:tabs>
        <w:tab w:val="left" w:pos="567"/>
      </w:tabs>
      <w:spacing w:before="120" w:line="22" w:lineRule="atLeast"/>
      <w:textAlignment w:val="baseline"/>
    </w:pPr>
    <w:rPr>
      <w:rFonts w:ascii="宋体"/>
      <w:sz w:val="24"/>
      <w:szCs w:val="24"/>
    </w:rPr>
  </w:style>
  <w:style w:type="paragraph" w:styleId="9">
    <w:name w:val="toc 7"/>
    <w:basedOn w:val="1"/>
    <w:next w:val="1"/>
    <w:qFormat/>
    <w:uiPriority w:val="0"/>
    <w:pPr>
      <w:ind w:left="1260"/>
      <w:jc w:val="left"/>
    </w:pPr>
    <w:rPr>
      <w:rFonts w:ascii="Calibri" w:hAnsi="Calibri"/>
      <w:sz w:val="18"/>
      <w:szCs w:val="18"/>
    </w:rPr>
  </w:style>
  <w:style w:type="paragraph" w:styleId="10">
    <w:name w:val="Normal Indent"/>
    <w:basedOn w:val="1"/>
    <w:link w:val="64"/>
    <w:qFormat/>
    <w:uiPriority w:val="0"/>
    <w:pPr>
      <w:ind w:firstLine="420"/>
    </w:pPr>
    <w:rPr>
      <w:rFonts w:asciiTheme="minorHAnsi" w:hAnsiTheme="minorHAnsi" w:cstheme="minorBidi"/>
      <w:szCs w:val="20"/>
    </w:rPr>
  </w:style>
  <w:style w:type="paragraph" w:styleId="11">
    <w:name w:val="caption"/>
    <w:basedOn w:val="1"/>
    <w:next w:val="1"/>
    <w:qFormat/>
    <w:uiPriority w:val="0"/>
    <w:pPr>
      <w:spacing w:before="152" w:after="160"/>
    </w:pPr>
    <w:rPr>
      <w:rFonts w:ascii="Arial" w:hAnsi="Arial" w:eastAsia="黑体"/>
      <w:sz w:val="20"/>
      <w:szCs w:val="24"/>
    </w:rPr>
  </w:style>
  <w:style w:type="paragraph" w:styleId="12">
    <w:name w:val="Document Map"/>
    <w:basedOn w:val="1"/>
    <w:link w:val="66"/>
    <w:qFormat/>
    <w:uiPriority w:val="0"/>
    <w:rPr>
      <w:rFonts w:ascii="宋体" w:hAnsiTheme="minorHAnsi" w:eastAsiaTheme="minorEastAsia" w:cstheme="minorBidi"/>
      <w:sz w:val="18"/>
      <w:szCs w:val="18"/>
    </w:rPr>
  </w:style>
  <w:style w:type="paragraph" w:styleId="13">
    <w:name w:val="toa heading"/>
    <w:basedOn w:val="1"/>
    <w:next w:val="1"/>
    <w:qFormat/>
    <w:uiPriority w:val="0"/>
    <w:rPr>
      <w:rFonts w:ascii="Arial" w:hAnsi="Arial"/>
      <w:sz w:val="24"/>
      <w:szCs w:val="24"/>
    </w:rPr>
  </w:style>
  <w:style w:type="paragraph" w:styleId="14">
    <w:name w:val="annotation text"/>
    <w:basedOn w:val="1"/>
    <w:link w:val="49"/>
    <w:semiHidden/>
    <w:unhideWhenUsed/>
    <w:qFormat/>
    <w:uiPriority w:val="99"/>
    <w:pPr>
      <w:jc w:val="left"/>
    </w:pPr>
  </w:style>
  <w:style w:type="paragraph" w:styleId="15">
    <w:name w:val="Body Text Indent"/>
    <w:basedOn w:val="1"/>
    <w:link w:val="69"/>
    <w:qFormat/>
    <w:uiPriority w:val="0"/>
    <w:pPr>
      <w:ind w:firstLine="830" w:firstLineChars="352"/>
    </w:pPr>
    <w:rPr>
      <w:rFonts w:ascii="仿宋_GB2312" w:eastAsia="仿宋_GB2312"/>
      <w:sz w:val="32"/>
      <w:szCs w:val="20"/>
    </w:rPr>
  </w:style>
  <w:style w:type="paragraph" w:styleId="16">
    <w:name w:val="Block Text"/>
    <w:basedOn w:val="1"/>
    <w:qFormat/>
    <w:uiPriority w:val="0"/>
    <w:pPr>
      <w:autoSpaceDE w:val="0"/>
      <w:autoSpaceDN w:val="0"/>
      <w:adjustRightInd w:val="0"/>
      <w:spacing w:line="500" w:lineRule="exact"/>
      <w:ind w:left="391" w:right="246"/>
    </w:pPr>
    <w:rPr>
      <w:rFonts w:ascii="仿宋_GB2312" w:eastAsia="仿宋_GB2312"/>
      <w:kern w:val="0"/>
      <w:sz w:val="24"/>
      <w:szCs w:val="24"/>
    </w:rPr>
  </w:style>
  <w:style w:type="paragraph" w:styleId="17">
    <w:name w:val="toc 5"/>
    <w:basedOn w:val="1"/>
    <w:next w:val="1"/>
    <w:qFormat/>
    <w:uiPriority w:val="0"/>
    <w:pPr>
      <w:ind w:left="840"/>
      <w:jc w:val="left"/>
    </w:pPr>
    <w:rPr>
      <w:rFonts w:ascii="Calibri" w:hAnsi="Calibri"/>
      <w:sz w:val="18"/>
      <w:szCs w:val="18"/>
    </w:rPr>
  </w:style>
  <w:style w:type="paragraph" w:styleId="18">
    <w:name w:val="toc 3"/>
    <w:basedOn w:val="1"/>
    <w:next w:val="1"/>
    <w:unhideWhenUsed/>
    <w:qFormat/>
    <w:uiPriority w:val="39"/>
    <w:pPr>
      <w:widowControl/>
      <w:spacing w:after="100" w:line="259" w:lineRule="auto"/>
      <w:ind w:left="440"/>
      <w:jc w:val="left"/>
    </w:pPr>
    <w:rPr>
      <w:rFonts w:asciiTheme="minorHAnsi" w:hAnsiTheme="minorHAnsi" w:eastAsiaTheme="minorEastAsia"/>
      <w:kern w:val="0"/>
      <w:sz w:val="22"/>
      <w:szCs w:val="22"/>
    </w:rPr>
  </w:style>
  <w:style w:type="paragraph" w:styleId="19">
    <w:name w:val="Plain Text"/>
    <w:basedOn w:val="1"/>
    <w:link w:val="50"/>
    <w:qFormat/>
    <w:uiPriority w:val="0"/>
    <w:rPr>
      <w:rFonts w:ascii="宋体" w:hAnsi="Courier New" w:eastAsiaTheme="minorEastAsia" w:cstheme="minorBidi"/>
      <w:szCs w:val="22"/>
    </w:rPr>
  </w:style>
  <w:style w:type="paragraph" w:styleId="20">
    <w:name w:val="toc 8"/>
    <w:basedOn w:val="1"/>
    <w:next w:val="1"/>
    <w:qFormat/>
    <w:uiPriority w:val="0"/>
    <w:pPr>
      <w:ind w:left="1470"/>
      <w:jc w:val="left"/>
    </w:pPr>
    <w:rPr>
      <w:rFonts w:ascii="Calibri" w:hAnsi="Calibri"/>
      <w:sz w:val="18"/>
      <w:szCs w:val="18"/>
    </w:rPr>
  </w:style>
  <w:style w:type="paragraph" w:styleId="21">
    <w:name w:val="Date"/>
    <w:basedOn w:val="1"/>
    <w:next w:val="1"/>
    <w:link w:val="51"/>
    <w:qFormat/>
    <w:uiPriority w:val="0"/>
    <w:pPr>
      <w:adjustRightInd w:val="0"/>
      <w:spacing w:line="360" w:lineRule="atLeast"/>
      <w:textAlignment w:val="baseline"/>
    </w:pPr>
    <w:rPr>
      <w:rFonts w:ascii="宋体" w:cs="宋体"/>
      <w:kern w:val="0"/>
      <w:sz w:val="24"/>
      <w:szCs w:val="24"/>
    </w:rPr>
  </w:style>
  <w:style w:type="paragraph" w:styleId="22">
    <w:name w:val="Body Text Indent 2"/>
    <w:basedOn w:val="1"/>
    <w:link w:val="68"/>
    <w:qFormat/>
    <w:uiPriority w:val="0"/>
    <w:pPr>
      <w:spacing w:after="120" w:line="480" w:lineRule="auto"/>
      <w:ind w:left="420" w:leftChars="200"/>
    </w:pPr>
    <w:rPr>
      <w:szCs w:val="24"/>
    </w:rPr>
  </w:style>
  <w:style w:type="paragraph" w:styleId="23">
    <w:name w:val="Balloon Text"/>
    <w:basedOn w:val="1"/>
    <w:link w:val="52"/>
    <w:unhideWhenUsed/>
    <w:qFormat/>
    <w:uiPriority w:val="0"/>
    <w:rPr>
      <w:sz w:val="18"/>
      <w:szCs w:val="18"/>
    </w:rPr>
  </w:style>
  <w:style w:type="paragraph" w:styleId="24">
    <w:name w:val="footer"/>
    <w:basedOn w:val="1"/>
    <w:link w:val="46"/>
    <w:unhideWhenUsed/>
    <w:qFormat/>
    <w:uiPriority w:val="0"/>
    <w:pPr>
      <w:tabs>
        <w:tab w:val="center" w:pos="4153"/>
        <w:tab w:val="right" w:pos="8306"/>
      </w:tabs>
      <w:snapToGrid w:val="0"/>
      <w:jc w:val="left"/>
    </w:pPr>
    <w:rPr>
      <w:sz w:val="18"/>
      <w:szCs w:val="18"/>
    </w:rPr>
  </w:style>
  <w:style w:type="paragraph" w:styleId="25">
    <w:name w:val="header"/>
    <w:basedOn w:val="1"/>
    <w:link w:val="45"/>
    <w:unhideWhenUsed/>
    <w:qFormat/>
    <w:uiPriority w:val="0"/>
    <w:pPr>
      <w:pBdr>
        <w:bottom w:val="single" w:color="auto" w:sz="6" w:space="1"/>
      </w:pBdr>
      <w:tabs>
        <w:tab w:val="center" w:pos="4153"/>
        <w:tab w:val="right" w:pos="8306"/>
      </w:tabs>
      <w:snapToGrid w:val="0"/>
      <w:jc w:val="center"/>
    </w:pPr>
    <w:rPr>
      <w:sz w:val="18"/>
      <w:szCs w:val="18"/>
    </w:rPr>
  </w:style>
  <w:style w:type="paragraph" w:styleId="26">
    <w:name w:val="toc 1"/>
    <w:basedOn w:val="1"/>
    <w:next w:val="1"/>
    <w:unhideWhenUsed/>
    <w:qFormat/>
    <w:uiPriority w:val="39"/>
    <w:pPr>
      <w:widowControl/>
      <w:spacing w:after="100" w:line="259" w:lineRule="auto"/>
      <w:jc w:val="left"/>
    </w:pPr>
    <w:rPr>
      <w:rFonts w:asciiTheme="minorHAnsi" w:hAnsiTheme="minorHAnsi" w:eastAsiaTheme="minorEastAsia"/>
      <w:kern w:val="0"/>
      <w:sz w:val="22"/>
      <w:szCs w:val="22"/>
    </w:rPr>
  </w:style>
  <w:style w:type="paragraph" w:styleId="27">
    <w:name w:val="toc 4"/>
    <w:basedOn w:val="1"/>
    <w:next w:val="1"/>
    <w:qFormat/>
    <w:uiPriority w:val="0"/>
    <w:pPr>
      <w:ind w:left="630"/>
      <w:jc w:val="left"/>
    </w:pPr>
    <w:rPr>
      <w:rFonts w:ascii="Calibri" w:hAnsi="Calibri"/>
      <w:sz w:val="18"/>
      <w:szCs w:val="18"/>
    </w:rPr>
  </w:style>
  <w:style w:type="paragraph" w:styleId="28">
    <w:name w:val="toc 6"/>
    <w:basedOn w:val="1"/>
    <w:next w:val="1"/>
    <w:qFormat/>
    <w:uiPriority w:val="0"/>
    <w:pPr>
      <w:ind w:left="1050"/>
      <w:jc w:val="left"/>
    </w:pPr>
    <w:rPr>
      <w:rFonts w:ascii="Calibri" w:hAnsi="Calibri"/>
      <w:sz w:val="18"/>
      <w:szCs w:val="18"/>
    </w:rPr>
  </w:style>
  <w:style w:type="paragraph" w:styleId="29">
    <w:name w:val="Body Text Indent 3"/>
    <w:basedOn w:val="1"/>
    <w:link w:val="70"/>
    <w:qFormat/>
    <w:uiPriority w:val="0"/>
    <w:pPr>
      <w:spacing w:after="120"/>
      <w:ind w:left="420" w:leftChars="200"/>
    </w:pPr>
    <w:rPr>
      <w:sz w:val="16"/>
      <w:szCs w:val="16"/>
    </w:rPr>
  </w:style>
  <w:style w:type="paragraph" w:styleId="30">
    <w:name w:val="toc 2"/>
    <w:basedOn w:val="1"/>
    <w:next w:val="1"/>
    <w:unhideWhenUsed/>
    <w:qFormat/>
    <w:uiPriority w:val="39"/>
    <w:pPr>
      <w:widowControl/>
      <w:spacing w:after="100" w:line="259" w:lineRule="auto"/>
      <w:ind w:left="220"/>
      <w:jc w:val="left"/>
    </w:pPr>
    <w:rPr>
      <w:rFonts w:asciiTheme="minorHAnsi" w:hAnsiTheme="minorHAnsi" w:eastAsiaTheme="minorEastAsia"/>
      <w:kern w:val="0"/>
      <w:sz w:val="22"/>
      <w:szCs w:val="22"/>
    </w:rPr>
  </w:style>
  <w:style w:type="paragraph" w:styleId="31">
    <w:name w:val="toc 9"/>
    <w:basedOn w:val="1"/>
    <w:next w:val="1"/>
    <w:qFormat/>
    <w:uiPriority w:val="0"/>
    <w:pPr>
      <w:ind w:left="1680"/>
      <w:jc w:val="left"/>
    </w:pPr>
    <w:rPr>
      <w:rFonts w:ascii="Calibri" w:hAnsi="Calibri"/>
      <w:sz w:val="18"/>
      <w:szCs w:val="18"/>
    </w:rPr>
  </w:style>
  <w:style w:type="paragraph" w:styleId="32">
    <w:name w:val="Body Text 2"/>
    <w:basedOn w:val="1"/>
    <w:link w:val="53"/>
    <w:qFormat/>
    <w:uiPriority w:val="0"/>
    <w:pPr>
      <w:spacing w:after="120" w:line="480" w:lineRule="auto"/>
    </w:pPr>
  </w:style>
  <w:style w:type="paragraph" w:styleId="33">
    <w:name w:val="Message Header"/>
    <w:basedOn w:val="1"/>
    <w:next w:val="1"/>
    <w:link w:val="95"/>
    <w:qFormat/>
    <w:uiPriority w:val="0"/>
    <w:pPr>
      <w:pBdr>
        <w:top w:val="none" w:color="auto" w:sz="0" w:space="1"/>
        <w:left w:val="none" w:color="auto" w:sz="0" w:space="1"/>
        <w:bottom w:val="none" w:color="auto" w:sz="0" w:space="1"/>
        <w:right w:val="none" w:color="auto" w:sz="0" w:space="1"/>
      </w:pBdr>
      <w:ind w:left="1080" w:leftChars="500" w:hanging="1080" w:hangingChars="500"/>
    </w:pPr>
    <w:rPr>
      <w:rFonts w:ascii="Arial" w:hAnsi="Arial"/>
      <w:sz w:val="24"/>
      <w:szCs w:val="24"/>
    </w:rPr>
  </w:style>
  <w:style w:type="paragraph" w:styleId="3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35">
    <w:name w:val="annotation subject"/>
    <w:basedOn w:val="14"/>
    <w:next w:val="14"/>
    <w:link w:val="54"/>
    <w:semiHidden/>
    <w:unhideWhenUsed/>
    <w:qFormat/>
    <w:uiPriority w:val="99"/>
    <w:rPr>
      <w:b/>
      <w:bCs/>
    </w:rPr>
  </w:style>
  <w:style w:type="paragraph" w:styleId="36">
    <w:name w:val="Body Text First Indent"/>
    <w:basedOn w:val="2"/>
    <w:link w:val="96"/>
    <w:qFormat/>
    <w:uiPriority w:val="99"/>
    <w:pPr>
      <w:widowControl w:val="0"/>
      <w:tabs>
        <w:tab w:val="clear" w:pos="567"/>
      </w:tabs>
      <w:spacing w:before="0" w:after="120" w:line="240" w:lineRule="auto"/>
      <w:ind w:firstLine="420" w:firstLineChars="100"/>
      <w:textAlignment w:val="auto"/>
    </w:pPr>
    <w:rPr>
      <w:rFonts w:ascii="Calibri" w:hAnsi="宋体" w:cs="Calibri"/>
      <w:sz w:val="21"/>
      <w:szCs w:val="21"/>
    </w:rPr>
  </w:style>
  <w:style w:type="table" w:styleId="38">
    <w:name w:val="Table Grid"/>
    <w:basedOn w:val="3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0">
    <w:name w:val="Strong"/>
    <w:basedOn w:val="39"/>
    <w:qFormat/>
    <w:uiPriority w:val="22"/>
    <w:rPr>
      <w:b/>
      <w:bCs/>
    </w:rPr>
  </w:style>
  <w:style w:type="character" w:styleId="41">
    <w:name w:val="page number"/>
    <w:basedOn w:val="39"/>
    <w:qFormat/>
    <w:uiPriority w:val="0"/>
  </w:style>
  <w:style w:type="character" w:styleId="42">
    <w:name w:val="FollowedHyperlink"/>
    <w:basedOn w:val="39"/>
    <w:unhideWhenUsed/>
    <w:qFormat/>
    <w:uiPriority w:val="99"/>
    <w:rPr>
      <w:color w:val="800080"/>
      <w:u w:val="single"/>
    </w:rPr>
  </w:style>
  <w:style w:type="character" w:styleId="43">
    <w:name w:val="Hyperlink"/>
    <w:basedOn w:val="39"/>
    <w:unhideWhenUsed/>
    <w:qFormat/>
    <w:uiPriority w:val="99"/>
    <w:rPr>
      <w:color w:val="0000FF" w:themeColor="hyperlink"/>
      <w:u w:val="single"/>
    </w:rPr>
  </w:style>
  <w:style w:type="character" w:styleId="44">
    <w:name w:val="annotation reference"/>
    <w:basedOn w:val="39"/>
    <w:semiHidden/>
    <w:unhideWhenUsed/>
    <w:qFormat/>
    <w:uiPriority w:val="99"/>
    <w:rPr>
      <w:sz w:val="21"/>
      <w:szCs w:val="21"/>
    </w:rPr>
  </w:style>
  <w:style w:type="character" w:customStyle="1" w:styleId="45">
    <w:name w:val="页眉 Char"/>
    <w:basedOn w:val="39"/>
    <w:link w:val="25"/>
    <w:qFormat/>
    <w:uiPriority w:val="99"/>
    <w:rPr>
      <w:sz w:val="18"/>
      <w:szCs w:val="18"/>
    </w:rPr>
  </w:style>
  <w:style w:type="character" w:customStyle="1" w:styleId="46">
    <w:name w:val="页脚 Char"/>
    <w:basedOn w:val="39"/>
    <w:link w:val="24"/>
    <w:qFormat/>
    <w:uiPriority w:val="0"/>
    <w:rPr>
      <w:sz w:val="18"/>
      <w:szCs w:val="18"/>
    </w:rPr>
  </w:style>
  <w:style w:type="character" w:customStyle="1" w:styleId="47">
    <w:name w:val="标题 1 Char"/>
    <w:basedOn w:val="39"/>
    <w:link w:val="3"/>
    <w:qFormat/>
    <w:uiPriority w:val="0"/>
    <w:rPr>
      <w:rFonts w:ascii="Times New Roman" w:hAnsi="Times New Roman" w:eastAsia="宋体" w:cs="Times New Roman"/>
      <w:b/>
      <w:bCs/>
      <w:kern w:val="44"/>
      <w:sz w:val="44"/>
      <w:szCs w:val="44"/>
    </w:rPr>
  </w:style>
  <w:style w:type="character" w:customStyle="1" w:styleId="48">
    <w:name w:val="标题 2 Char"/>
    <w:basedOn w:val="39"/>
    <w:link w:val="4"/>
    <w:qFormat/>
    <w:uiPriority w:val="1"/>
    <w:rPr>
      <w:rFonts w:ascii="Arial" w:hAnsi="Arial" w:eastAsia="黑体" w:cs="Arial"/>
      <w:b/>
      <w:bCs/>
      <w:sz w:val="32"/>
      <w:szCs w:val="32"/>
    </w:rPr>
  </w:style>
  <w:style w:type="character" w:customStyle="1" w:styleId="49">
    <w:name w:val="批注文字 Char"/>
    <w:basedOn w:val="39"/>
    <w:link w:val="14"/>
    <w:semiHidden/>
    <w:qFormat/>
    <w:uiPriority w:val="99"/>
    <w:rPr>
      <w:rFonts w:ascii="Times New Roman" w:hAnsi="Times New Roman" w:eastAsia="宋体" w:cs="Times New Roman"/>
      <w:szCs w:val="21"/>
    </w:rPr>
  </w:style>
  <w:style w:type="character" w:customStyle="1" w:styleId="50">
    <w:name w:val="纯文本 Char"/>
    <w:basedOn w:val="39"/>
    <w:link w:val="19"/>
    <w:qFormat/>
    <w:uiPriority w:val="0"/>
    <w:rPr>
      <w:rFonts w:ascii="宋体" w:hAnsi="Courier New"/>
    </w:rPr>
  </w:style>
  <w:style w:type="character" w:customStyle="1" w:styleId="51">
    <w:name w:val="日期 Char"/>
    <w:basedOn w:val="39"/>
    <w:link w:val="21"/>
    <w:qFormat/>
    <w:uiPriority w:val="0"/>
    <w:rPr>
      <w:rFonts w:ascii="宋体" w:hAnsi="Times New Roman" w:eastAsia="宋体" w:cs="宋体"/>
      <w:kern w:val="0"/>
      <w:sz w:val="24"/>
      <w:szCs w:val="24"/>
    </w:rPr>
  </w:style>
  <w:style w:type="character" w:customStyle="1" w:styleId="52">
    <w:name w:val="批注框文本 Char"/>
    <w:basedOn w:val="39"/>
    <w:link w:val="23"/>
    <w:qFormat/>
    <w:uiPriority w:val="0"/>
    <w:rPr>
      <w:rFonts w:ascii="Times New Roman" w:hAnsi="Times New Roman" w:eastAsia="宋体" w:cs="Times New Roman"/>
      <w:sz w:val="18"/>
      <w:szCs w:val="18"/>
    </w:rPr>
  </w:style>
  <w:style w:type="character" w:customStyle="1" w:styleId="53">
    <w:name w:val="正文文本 2 Char"/>
    <w:basedOn w:val="39"/>
    <w:link w:val="32"/>
    <w:qFormat/>
    <w:uiPriority w:val="0"/>
    <w:rPr>
      <w:rFonts w:ascii="Times New Roman" w:hAnsi="Times New Roman" w:eastAsia="宋体" w:cs="Times New Roman"/>
      <w:szCs w:val="21"/>
    </w:rPr>
  </w:style>
  <w:style w:type="character" w:customStyle="1" w:styleId="54">
    <w:name w:val="批注主题 Char"/>
    <w:basedOn w:val="49"/>
    <w:link w:val="35"/>
    <w:semiHidden/>
    <w:qFormat/>
    <w:uiPriority w:val="99"/>
    <w:rPr>
      <w:rFonts w:ascii="Times New Roman" w:hAnsi="Times New Roman" w:eastAsia="宋体" w:cs="Times New Roman"/>
      <w:b/>
      <w:bCs/>
      <w:szCs w:val="21"/>
    </w:rPr>
  </w:style>
  <w:style w:type="character" w:customStyle="1" w:styleId="55">
    <w:name w:val="纯文本 字符"/>
    <w:basedOn w:val="39"/>
    <w:semiHidden/>
    <w:qFormat/>
    <w:uiPriority w:val="99"/>
    <w:rPr>
      <w:rFonts w:hAnsi="Courier New" w:cs="Courier New" w:asciiTheme="minorEastAsia"/>
      <w:szCs w:val="21"/>
    </w:rPr>
  </w:style>
  <w:style w:type="paragraph" w:styleId="56">
    <w:name w:val="List Paragraph"/>
    <w:basedOn w:val="1"/>
    <w:link w:val="82"/>
    <w:qFormat/>
    <w:uiPriority w:val="0"/>
    <w:pPr>
      <w:ind w:firstLine="420" w:firstLineChars="200"/>
    </w:pPr>
  </w:style>
  <w:style w:type="paragraph" w:customStyle="1" w:styleId="57">
    <w:name w:val="修订1"/>
    <w:hidden/>
    <w:semiHidden/>
    <w:qFormat/>
    <w:uiPriority w:val="99"/>
    <w:rPr>
      <w:rFonts w:ascii="Times New Roman" w:hAnsi="Times New Roman" w:eastAsia="宋体" w:cs="Times New Roman"/>
      <w:kern w:val="2"/>
      <w:sz w:val="21"/>
      <w:szCs w:val="21"/>
      <w:lang w:val="en-US" w:eastAsia="zh-CN" w:bidi="ar-SA"/>
    </w:rPr>
  </w:style>
  <w:style w:type="paragraph" w:customStyle="1" w:styleId="58">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 w:type="paragraph" w:customStyle="1" w:styleId="59">
    <w:name w:val="TOC 标题2"/>
    <w:basedOn w:val="3"/>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60">
    <w:name w:val="qowt-font10-gbk"/>
    <w:basedOn w:val="39"/>
    <w:qFormat/>
    <w:uiPriority w:val="0"/>
  </w:style>
  <w:style w:type="character" w:customStyle="1" w:styleId="61">
    <w:name w:val="标题 3 Char"/>
    <w:basedOn w:val="39"/>
    <w:link w:val="5"/>
    <w:qFormat/>
    <w:uiPriority w:val="0"/>
    <w:rPr>
      <w:rFonts w:ascii="Times New Roman" w:hAnsi="Times New Roman" w:eastAsia="宋体" w:cs="Times New Roman"/>
      <w:b/>
      <w:bCs/>
      <w:kern w:val="2"/>
      <w:sz w:val="32"/>
      <w:szCs w:val="32"/>
    </w:rPr>
  </w:style>
  <w:style w:type="character" w:customStyle="1" w:styleId="62">
    <w:name w:val="标题 4 Char"/>
    <w:basedOn w:val="39"/>
    <w:link w:val="6"/>
    <w:qFormat/>
    <w:uiPriority w:val="0"/>
    <w:rPr>
      <w:rFonts w:ascii="仿宋_GB2312" w:hAnsi="Times New Roman" w:eastAsia="仿宋_GB2312" w:cs="宋体"/>
      <w:kern w:val="2"/>
      <w:sz w:val="28"/>
      <w:szCs w:val="24"/>
    </w:rPr>
  </w:style>
  <w:style w:type="character" w:customStyle="1" w:styleId="63">
    <w:name w:val="Texte Char Char"/>
    <w:basedOn w:val="39"/>
    <w:qFormat/>
    <w:uiPriority w:val="0"/>
    <w:rPr>
      <w:rFonts w:ascii="宋体" w:hAnsi="Courier New" w:eastAsia="宋体" w:cs="Courier New"/>
      <w:kern w:val="2"/>
      <w:sz w:val="21"/>
      <w:szCs w:val="21"/>
      <w:lang w:val="en-US" w:eastAsia="zh-CN" w:bidi="ar-SA"/>
    </w:rPr>
  </w:style>
  <w:style w:type="character" w:customStyle="1" w:styleId="64">
    <w:name w:val="正文缩进 Char"/>
    <w:link w:val="10"/>
    <w:qFormat/>
    <w:uiPriority w:val="0"/>
    <w:rPr>
      <w:rFonts w:eastAsia="宋体"/>
      <w:kern w:val="2"/>
      <w:sz w:val="21"/>
    </w:rPr>
  </w:style>
  <w:style w:type="character" w:customStyle="1" w:styleId="65">
    <w:name w:val="case31"/>
    <w:basedOn w:val="39"/>
    <w:qFormat/>
    <w:uiPriority w:val="0"/>
    <w:rPr>
      <w:rFonts w:hint="default"/>
      <w:spacing w:val="390"/>
      <w:sz w:val="21"/>
      <w:szCs w:val="21"/>
    </w:rPr>
  </w:style>
  <w:style w:type="character" w:customStyle="1" w:styleId="66">
    <w:name w:val="文档结构图 Char"/>
    <w:basedOn w:val="39"/>
    <w:link w:val="12"/>
    <w:qFormat/>
    <w:uiPriority w:val="0"/>
    <w:rPr>
      <w:rFonts w:ascii="宋体"/>
      <w:kern w:val="2"/>
      <w:sz w:val="18"/>
      <w:szCs w:val="18"/>
    </w:rPr>
  </w:style>
  <w:style w:type="character" w:customStyle="1" w:styleId="67">
    <w:name w:val="文档结构图 Char1"/>
    <w:basedOn w:val="39"/>
    <w:semiHidden/>
    <w:qFormat/>
    <w:uiPriority w:val="99"/>
    <w:rPr>
      <w:rFonts w:ascii="宋体" w:hAnsi="Times New Roman" w:eastAsia="宋体" w:cs="Times New Roman"/>
      <w:kern w:val="2"/>
      <w:sz w:val="18"/>
      <w:szCs w:val="18"/>
    </w:rPr>
  </w:style>
  <w:style w:type="character" w:customStyle="1" w:styleId="68">
    <w:name w:val="正文文本缩进 2 Char"/>
    <w:basedOn w:val="39"/>
    <w:link w:val="22"/>
    <w:qFormat/>
    <w:uiPriority w:val="0"/>
    <w:rPr>
      <w:rFonts w:ascii="Times New Roman" w:hAnsi="Times New Roman" w:eastAsia="宋体" w:cs="Times New Roman"/>
      <w:kern w:val="2"/>
      <w:sz w:val="21"/>
      <w:szCs w:val="24"/>
    </w:rPr>
  </w:style>
  <w:style w:type="character" w:customStyle="1" w:styleId="69">
    <w:name w:val="正文文本缩进 Char"/>
    <w:basedOn w:val="39"/>
    <w:link w:val="15"/>
    <w:qFormat/>
    <w:uiPriority w:val="0"/>
    <w:rPr>
      <w:rFonts w:ascii="仿宋_GB2312" w:hAnsi="Times New Roman" w:eastAsia="仿宋_GB2312" w:cs="Times New Roman"/>
      <w:kern w:val="2"/>
      <w:sz w:val="32"/>
    </w:rPr>
  </w:style>
  <w:style w:type="character" w:customStyle="1" w:styleId="70">
    <w:name w:val="正文文本缩进 3 Char"/>
    <w:basedOn w:val="39"/>
    <w:link w:val="29"/>
    <w:qFormat/>
    <w:uiPriority w:val="0"/>
    <w:rPr>
      <w:rFonts w:ascii="Times New Roman" w:hAnsi="Times New Roman" w:eastAsia="宋体" w:cs="Times New Roman"/>
      <w:kern w:val="2"/>
      <w:sz w:val="16"/>
      <w:szCs w:val="16"/>
    </w:rPr>
  </w:style>
  <w:style w:type="paragraph" w:styleId="71">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72">
    <w:name w:val="样式1"/>
    <w:basedOn w:val="1"/>
    <w:qFormat/>
    <w:uiPriority w:val="0"/>
    <w:pPr>
      <w:numPr>
        <w:ilvl w:val="0"/>
        <w:numId w:val="1"/>
      </w:numPr>
      <w:tabs>
        <w:tab w:val="left" w:pos="709"/>
      </w:tabs>
      <w:adjustRightInd w:val="0"/>
    </w:pPr>
    <w:rPr>
      <w:rFonts w:ascii="宋体" w:hAnsi="宋体"/>
      <w:kern w:val="0"/>
    </w:rPr>
  </w:style>
  <w:style w:type="paragraph" w:customStyle="1" w:styleId="7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74">
    <w:name w:val="Char Char Char Char"/>
    <w:basedOn w:val="1"/>
    <w:qFormat/>
    <w:uiPriority w:val="0"/>
    <w:rPr>
      <w:rFonts w:ascii="Tahoma" w:hAnsi="Tahoma"/>
      <w:sz w:val="24"/>
      <w:szCs w:val="20"/>
    </w:rPr>
  </w:style>
  <w:style w:type="paragraph" w:customStyle="1" w:styleId="75">
    <w:name w:val="Char2"/>
    <w:basedOn w:val="1"/>
    <w:qFormat/>
    <w:uiPriority w:val="0"/>
    <w:rPr>
      <w:rFonts w:ascii="Tahoma" w:hAnsi="Tahoma" w:cs="仿宋_GB2312"/>
      <w:sz w:val="24"/>
      <w:szCs w:val="20"/>
    </w:rPr>
  </w:style>
  <w:style w:type="paragraph" w:customStyle="1" w:styleId="76">
    <w:name w:val="TOC Heading"/>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77">
    <w:name w:val="xl23"/>
    <w:basedOn w:val="1"/>
    <w:qFormat/>
    <w:uiPriority w:val="0"/>
    <w:pPr>
      <w:widowControl/>
      <w:spacing w:before="100" w:beforeAutospacing="1" w:after="100" w:afterAutospacing="1" w:line="360" w:lineRule="auto"/>
      <w:textAlignment w:val="top"/>
    </w:pPr>
    <w:rPr>
      <w:kern w:val="0"/>
      <w:sz w:val="24"/>
      <w:szCs w:val="24"/>
    </w:rPr>
  </w:style>
  <w:style w:type="paragraph" w:customStyle="1" w:styleId="78">
    <w:name w:val="Char Char Char Char Char Char"/>
    <w:basedOn w:val="1"/>
    <w:qFormat/>
    <w:uiPriority w:val="0"/>
    <w:rPr>
      <w:szCs w:val="24"/>
    </w:rPr>
  </w:style>
  <w:style w:type="paragraph" w:customStyle="1" w:styleId="79">
    <w:name w:val="reader-word-laye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0">
    <w:name w:val="paragraphindent"/>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81">
    <w:name w:val="address-info"/>
    <w:basedOn w:val="39"/>
    <w:qFormat/>
    <w:uiPriority w:val="0"/>
  </w:style>
  <w:style w:type="character" w:customStyle="1" w:styleId="82">
    <w:name w:val="列出段落 Char"/>
    <w:link w:val="56"/>
    <w:qFormat/>
    <w:uiPriority w:val="0"/>
    <w:rPr>
      <w:rFonts w:ascii="Times New Roman" w:hAnsi="Times New Roman" w:eastAsia="宋体" w:cs="Times New Roman"/>
      <w:kern w:val="2"/>
      <w:sz w:val="21"/>
      <w:szCs w:val="21"/>
    </w:rPr>
  </w:style>
  <w:style w:type="paragraph" w:customStyle="1" w:styleId="83">
    <w:name w:val="正文缩进2格"/>
    <w:basedOn w:val="1"/>
    <w:qFormat/>
    <w:uiPriority w:val="0"/>
    <w:pPr>
      <w:spacing w:line="600" w:lineRule="exact"/>
      <w:ind w:firstLine="639" w:firstLineChars="206"/>
    </w:pPr>
    <w:rPr>
      <w:rFonts w:ascii="仿宋_GB2312" w:hAnsi="宋体" w:eastAsia="仿宋_GB2312"/>
      <w:sz w:val="31"/>
      <w:szCs w:val="28"/>
    </w:rPr>
  </w:style>
  <w:style w:type="paragraph" w:customStyle="1" w:styleId="84">
    <w:name w:val="首行缩进"/>
    <w:basedOn w:val="1"/>
    <w:qFormat/>
    <w:uiPriority w:val="0"/>
    <w:pPr>
      <w:ind w:firstLine="480" w:firstLineChars="200"/>
    </w:pPr>
    <w:rPr>
      <w:szCs w:val="24"/>
      <w:lang w:val="zh-CN"/>
    </w:rPr>
  </w:style>
  <w:style w:type="character" w:customStyle="1" w:styleId="85">
    <w:name w:val="font51"/>
    <w:basedOn w:val="39"/>
    <w:qFormat/>
    <w:uiPriority w:val="0"/>
    <w:rPr>
      <w:rFonts w:hint="eastAsia" w:ascii="宋体" w:hAnsi="宋体" w:eastAsia="宋体" w:cs="宋体"/>
      <w:color w:val="000000"/>
      <w:sz w:val="24"/>
      <w:szCs w:val="24"/>
      <w:u w:val="none"/>
    </w:rPr>
  </w:style>
  <w:style w:type="paragraph" w:customStyle="1" w:styleId="86">
    <w:name w:val="正文-鹰潭"/>
    <w:basedOn w:val="1"/>
    <w:qFormat/>
    <w:uiPriority w:val="0"/>
    <w:pPr>
      <w:ind w:firstLine="200" w:firstLineChars="200"/>
    </w:pPr>
    <w:rPr>
      <w:szCs w:val="24"/>
    </w:rPr>
  </w:style>
  <w:style w:type="character" w:customStyle="1" w:styleId="87">
    <w:name w:val="NormalCharacter"/>
    <w:semiHidden/>
    <w:qFormat/>
    <w:uiPriority w:val="0"/>
  </w:style>
  <w:style w:type="paragraph" w:customStyle="1" w:styleId="88">
    <w:name w:val="Char Char Char Char1"/>
    <w:basedOn w:val="1"/>
    <w:qFormat/>
    <w:uiPriority w:val="0"/>
    <w:rPr>
      <w:rFonts w:ascii="Tahoma" w:hAnsi="Tahoma"/>
      <w:sz w:val="24"/>
      <w:szCs w:val="20"/>
    </w:rPr>
  </w:style>
  <w:style w:type="paragraph" w:customStyle="1" w:styleId="89">
    <w:name w:val="Char21"/>
    <w:basedOn w:val="1"/>
    <w:qFormat/>
    <w:uiPriority w:val="0"/>
    <w:rPr>
      <w:rFonts w:ascii="Tahoma" w:hAnsi="Tahoma" w:cs="仿宋_GB2312"/>
      <w:sz w:val="24"/>
      <w:szCs w:val="20"/>
    </w:rPr>
  </w:style>
  <w:style w:type="paragraph" w:customStyle="1" w:styleId="90">
    <w:name w:val="Char Char Char Char2"/>
    <w:basedOn w:val="1"/>
    <w:qFormat/>
    <w:uiPriority w:val="0"/>
    <w:rPr>
      <w:rFonts w:ascii="Tahoma" w:hAnsi="Tahoma"/>
      <w:sz w:val="24"/>
      <w:szCs w:val="20"/>
    </w:rPr>
  </w:style>
  <w:style w:type="paragraph" w:customStyle="1" w:styleId="91">
    <w:name w:val="Char22"/>
    <w:basedOn w:val="1"/>
    <w:qFormat/>
    <w:uiPriority w:val="0"/>
    <w:rPr>
      <w:rFonts w:ascii="Tahoma" w:hAnsi="Tahoma" w:cs="仿宋_GB2312"/>
      <w:sz w:val="24"/>
      <w:szCs w:val="20"/>
    </w:rPr>
  </w:style>
  <w:style w:type="character" w:customStyle="1" w:styleId="92">
    <w:name w:val="标题 5 Char"/>
    <w:basedOn w:val="39"/>
    <w:link w:val="7"/>
    <w:qFormat/>
    <w:uiPriority w:val="0"/>
    <w:rPr>
      <w:rFonts w:ascii="Times New Roman" w:hAnsi="Times New Roman" w:eastAsia="宋体" w:cs="Times New Roman"/>
      <w:b/>
      <w:bCs/>
      <w:kern w:val="2"/>
      <w:sz w:val="28"/>
      <w:szCs w:val="28"/>
    </w:rPr>
  </w:style>
  <w:style w:type="character" w:customStyle="1" w:styleId="93">
    <w:name w:val="标题 6 Char"/>
    <w:basedOn w:val="39"/>
    <w:link w:val="8"/>
    <w:semiHidden/>
    <w:qFormat/>
    <w:uiPriority w:val="0"/>
    <w:rPr>
      <w:rFonts w:asciiTheme="majorHAnsi" w:hAnsiTheme="majorHAnsi" w:eastAsiaTheme="majorEastAsia" w:cstheme="majorBidi"/>
      <w:b/>
      <w:bCs/>
      <w:kern w:val="2"/>
      <w:sz w:val="24"/>
      <w:szCs w:val="24"/>
    </w:rPr>
  </w:style>
  <w:style w:type="character" w:customStyle="1" w:styleId="94">
    <w:name w:val="正文文本 Char"/>
    <w:basedOn w:val="39"/>
    <w:link w:val="2"/>
    <w:qFormat/>
    <w:uiPriority w:val="0"/>
    <w:rPr>
      <w:rFonts w:ascii="宋体" w:hAnsi="Times New Roman" w:eastAsia="宋体" w:cs="Times New Roman"/>
      <w:kern w:val="2"/>
      <w:sz w:val="24"/>
      <w:szCs w:val="24"/>
    </w:rPr>
  </w:style>
  <w:style w:type="character" w:customStyle="1" w:styleId="95">
    <w:name w:val="信息标题 Char"/>
    <w:basedOn w:val="39"/>
    <w:link w:val="33"/>
    <w:qFormat/>
    <w:uiPriority w:val="0"/>
    <w:rPr>
      <w:rFonts w:ascii="Arial" w:hAnsi="Arial" w:eastAsia="宋体" w:cs="Times New Roman"/>
      <w:kern w:val="2"/>
      <w:sz w:val="24"/>
      <w:szCs w:val="24"/>
    </w:rPr>
  </w:style>
  <w:style w:type="character" w:customStyle="1" w:styleId="96">
    <w:name w:val="正文首行缩进 Char"/>
    <w:basedOn w:val="94"/>
    <w:link w:val="36"/>
    <w:qFormat/>
    <w:uiPriority w:val="99"/>
    <w:rPr>
      <w:rFonts w:ascii="Calibri" w:hAnsi="宋体" w:cs="Calibri"/>
      <w:sz w:val="21"/>
      <w:szCs w:val="21"/>
    </w:rPr>
  </w:style>
  <w:style w:type="paragraph" w:customStyle="1" w:styleId="97">
    <w:name w:val="Heading1"/>
    <w:basedOn w:val="1"/>
    <w:next w:val="1"/>
    <w:qFormat/>
    <w:uiPriority w:val="0"/>
    <w:pPr>
      <w:keepNext/>
      <w:widowControl/>
      <w:textAlignment w:val="baseline"/>
    </w:pPr>
    <w:rPr>
      <w:rFonts w:ascii="宋体"/>
      <w:sz w:val="28"/>
      <w:szCs w:val="20"/>
    </w:rPr>
  </w:style>
  <w:style w:type="paragraph" w:customStyle="1" w:styleId="98">
    <w:name w:val="Heading2"/>
    <w:basedOn w:val="1"/>
    <w:next w:val="1"/>
    <w:qFormat/>
    <w:uiPriority w:val="0"/>
    <w:pPr>
      <w:keepNext/>
      <w:keepLines/>
      <w:widowControl/>
      <w:spacing w:before="260" w:after="260" w:line="415" w:lineRule="auto"/>
      <w:textAlignment w:val="baseline"/>
    </w:pPr>
    <w:rPr>
      <w:rFonts w:ascii="Arial" w:hAnsi="Arial" w:eastAsia="黑体"/>
      <w:b/>
      <w:bCs/>
      <w:sz w:val="32"/>
      <w:szCs w:val="32"/>
    </w:rPr>
  </w:style>
  <w:style w:type="paragraph" w:customStyle="1" w:styleId="99">
    <w:name w:val="Heading3"/>
    <w:basedOn w:val="1"/>
    <w:next w:val="1"/>
    <w:qFormat/>
    <w:uiPriority w:val="0"/>
    <w:pPr>
      <w:keepNext/>
      <w:keepLines/>
      <w:widowControl/>
      <w:spacing w:before="260" w:after="260" w:line="416" w:lineRule="auto"/>
      <w:textAlignment w:val="baseline"/>
    </w:pPr>
    <w:rPr>
      <w:b/>
      <w:bCs/>
      <w:sz w:val="32"/>
      <w:szCs w:val="32"/>
    </w:rPr>
  </w:style>
  <w:style w:type="paragraph" w:customStyle="1" w:styleId="100">
    <w:name w:val="Heading4"/>
    <w:basedOn w:val="1"/>
    <w:next w:val="1"/>
    <w:qFormat/>
    <w:uiPriority w:val="0"/>
    <w:pPr>
      <w:keepNext/>
      <w:widowControl/>
      <w:spacing w:line="440" w:lineRule="exact"/>
      <w:jc w:val="center"/>
      <w:textAlignment w:val="baseline"/>
    </w:pPr>
    <w:rPr>
      <w:rFonts w:ascii="仿宋_GB2312" w:eastAsia="仿宋_GB2312"/>
      <w:sz w:val="28"/>
      <w:szCs w:val="24"/>
    </w:rPr>
  </w:style>
  <w:style w:type="table" w:customStyle="1" w:styleId="101">
    <w:name w:val="TableNormal"/>
    <w:semiHidden/>
    <w:qFormat/>
    <w:uiPriority w:val="0"/>
    <w:rPr>
      <w:rFonts w:ascii="Times New Roman" w:hAnsi="Times New Roman" w:eastAsia="宋体" w:cs="Times New Roman"/>
    </w:rPr>
    <w:tblPr>
      <w:tblCellMar>
        <w:top w:w="0" w:type="dxa"/>
        <w:left w:w="0" w:type="dxa"/>
        <w:bottom w:w="0" w:type="dxa"/>
        <w:right w:w="0" w:type="dxa"/>
      </w:tblCellMar>
    </w:tblPr>
  </w:style>
  <w:style w:type="character" w:customStyle="1" w:styleId="102">
    <w:name w:val="PageNumber"/>
    <w:basedOn w:val="87"/>
    <w:qFormat/>
    <w:uiPriority w:val="0"/>
  </w:style>
  <w:style w:type="character" w:customStyle="1" w:styleId="103">
    <w:name w:val="UserStyle_0"/>
    <w:basedOn w:val="87"/>
    <w:qFormat/>
    <w:uiPriority w:val="0"/>
    <w:rPr>
      <w:rFonts w:ascii="宋体" w:hAnsi="Courier New" w:eastAsia="宋体"/>
      <w:kern w:val="2"/>
      <w:sz w:val="21"/>
      <w:szCs w:val="21"/>
      <w:lang w:val="en-US" w:eastAsia="zh-CN" w:bidi="ar-SA"/>
    </w:rPr>
  </w:style>
  <w:style w:type="character" w:customStyle="1" w:styleId="104">
    <w:name w:val="UserStyle_1"/>
    <w:link w:val="105"/>
    <w:qFormat/>
    <w:uiPriority w:val="0"/>
    <w:rPr>
      <w:rFonts w:eastAsia="宋体"/>
    </w:rPr>
  </w:style>
  <w:style w:type="paragraph" w:customStyle="1" w:styleId="105">
    <w:name w:val="NormalIndent"/>
    <w:basedOn w:val="1"/>
    <w:link w:val="104"/>
    <w:qFormat/>
    <w:uiPriority w:val="0"/>
    <w:pPr>
      <w:widowControl/>
      <w:ind w:firstLine="420"/>
      <w:textAlignment w:val="baseline"/>
    </w:pPr>
    <w:rPr>
      <w:rFonts w:asciiTheme="minorHAnsi" w:hAnsiTheme="minorHAnsi" w:cstheme="minorBidi"/>
      <w:kern w:val="0"/>
      <w:sz w:val="20"/>
      <w:szCs w:val="20"/>
    </w:rPr>
  </w:style>
  <w:style w:type="character" w:customStyle="1" w:styleId="106">
    <w:name w:val="UserStyle_2"/>
    <w:basedOn w:val="87"/>
    <w:link w:val="107"/>
    <w:qFormat/>
    <w:uiPriority w:val="0"/>
    <w:rPr>
      <w:sz w:val="18"/>
      <w:szCs w:val="18"/>
    </w:rPr>
  </w:style>
  <w:style w:type="paragraph" w:customStyle="1" w:styleId="107">
    <w:name w:val="Acetate"/>
    <w:basedOn w:val="1"/>
    <w:link w:val="106"/>
    <w:qFormat/>
    <w:uiPriority w:val="0"/>
    <w:pPr>
      <w:widowControl/>
      <w:textAlignment w:val="baseline"/>
    </w:pPr>
    <w:rPr>
      <w:rFonts w:asciiTheme="minorHAnsi" w:hAnsiTheme="minorHAnsi" w:eastAsiaTheme="minorEastAsia" w:cstheme="minorBidi"/>
      <w:kern w:val="0"/>
      <w:sz w:val="18"/>
      <w:szCs w:val="18"/>
    </w:rPr>
  </w:style>
  <w:style w:type="character" w:customStyle="1" w:styleId="108">
    <w:name w:val="UserStyle_3"/>
    <w:basedOn w:val="87"/>
    <w:qFormat/>
    <w:uiPriority w:val="0"/>
    <w:rPr>
      <w:rFonts w:ascii="_x000b_x000c_" w:hAnsi="_x000b_x000c_"/>
      <w:spacing w:val="390"/>
      <w:sz w:val="21"/>
      <w:szCs w:val="21"/>
    </w:rPr>
  </w:style>
  <w:style w:type="character" w:customStyle="1" w:styleId="109">
    <w:name w:val="UserStyle_4"/>
    <w:basedOn w:val="87"/>
    <w:link w:val="110"/>
    <w:qFormat/>
    <w:uiPriority w:val="0"/>
    <w:rPr>
      <w:rFonts w:ascii="宋体"/>
      <w:sz w:val="18"/>
      <w:szCs w:val="18"/>
    </w:rPr>
  </w:style>
  <w:style w:type="paragraph" w:customStyle="1" w:styleId="110">
    <w:name w:val="NavPane"/>
    <w:basedOn w:val="1"/>
    <w:link w:val="109"/>
    <w:qFormat/>
    <w:uiPriority w:val="0"/>
    <w:pPr>
      <w:widowControl/>
      <w:textAlignment w:val="baseline"/>
    </w:pPr>
    <w:rPr>
      <w:rFonts w:ascii="宋体" w:hAnsiTheme="minorHAnsi" w:eastAsiaTheme="minorEastAsia" w:cstheme="minorBidi"/>
      <w:kern w:val="0"/>
      <w:sz w:val="18"/>
      <w:szCs w:val="18"/>
    </w:rPr>
  </w:style>
  <w:style w:type="character" w:customStyle="1" w:styleId="111">
    <w:name w:val="UserStyle_5"/>
    <w:link w:val="112"/>
    <w:qFormat/>
    <w:uiPriority w:val="0"/>
    <w:rPr>
      <w:rFonts w:ascii="宋体" w:hAnsi="Courier New" w:eastAsia="宋体"/>
      <w:szCs w:val="21"/>
    </w:rPr>
  </w:style>
  <w:style w:type="paragraph" w:customStyle="1" w:styleId="112">
    <w:name w:val="PlainText"/>
    <w:basedOn w:val="1"/>
    <w:link w:val="111"/>
    <w:qFormat/>
    <w:uiPriority w:val="0"/>
    <w:pPr>
      <w:widowControl/>
      <w:textAlignment w:val="baseline"/>
    </w:pPr>
    <w:rPr>
      <w:rFonts w:ascii="宋体" w:hAnsi="Courier New" w:cstheme="minorBidi"/>
      <w:kern w:val="0"/>
      <w:sz w:val="20"/>
    </w:rPr>
  </w:style>
  <w:style w:type="paragraph" w:customStyle="1" w:styleId="113">
    <w:name w:val="TOC9"/>
    <w:basedOn w:val="1"/>
    <w:next w:val="1"/>
    <w:qFormat/>
    <w:uiPriority w:val="0"/>
    <w:pPr>
      <w:widowControl/>
      <w:ind w:left="1680"/>
      <w:jc w:val="left"/>
      <w:textAlignment w:val="baseline"/>
    </w:pPr>
    <w:rPr>
      <w:rFonts w:ascii="Calibri" w:hAnsi="Calibri"/>
      <w:sz w:val="18"/>
      <w:szCs w:val="18"/>
    </w:rPr>
  </w:style>
  <w:style w:type="paragraph" w:customStyle="1" w:styleId="114">
    <w:name w:val="BodyTextIndent2"/>
    <w:basedOn w:val="1"/>
    <w:link w:val="115"/>
    <w:qFormat/>
    <w:uiPriority w:val="0"/>
    <w:pPr>
      <w:widowControl/>
      <w:spacing w:after="120" w:line="480" w:lineRule="auto"/>
      <w:ind w:left="420" w:leftChars="200"/>
      <w:textAlignment w:val="baseline"/>
    </w:pPr>
    <w:rPr>
      <w:szCs w:val="24"/>
    </w:rPr>
  </w:style>
  <w:style w:type="character" w:customStyle="1" w:styleId="115">
    <w:name w:val="UserStyle_6"/>
    <w:basedOn w:val="87"/>
    <w:link w:val="114"/>
    <w:qFormat/>
    <w:uiPriority w:val="0"/>
    <w:rPr>
      <w:rFonts w:ascii="Times New Roman" w:hAnsi="Times New Roman" w:eastAsia="宋体" w:cs="Times New Roman"/>
      <w:kern w:val="2"/>
      <w:sz w:val="21"/>
      <w:szCs w:val="24"/>
    </w:rPr>
  </w:style>
  <w:style w:type="paragraph" w:customStyle="1" w:styleId="116">
    <w:name w:val="TOC5"/>
    <w:basedOn w:val="1"/>
    <w:next w:val="1"/>
    <w:qFormat/>
    <w:uiPriority w:val="0"/>
    <w:pPr>
      <w:widowControl/>
      <w:ind w:left="840"/>
      <w:jc w:val="left"/>
      <w:textAlignment w:val="baseline"/>
    </w:pPr>
    <w:rPr>
      <w:rFonts w:ascii="Calibri" w:hAnsi="Calibri"/>
      <w:sz w:val="18"/>
      <w:szCs w:val="18"/>
    </w:rPr>
  </w:style>
  <w:style w:type="paragraph" w:customStyle="1" w:styleId="117">
    <w:name w:val="BlockQuote"/>
    <w:basedOn w:val="1"/>
    <w:qFormat/>
    <w:uiPriority w:val="0"/>
    <w:pPr>
      <w:widowControl/>
      <w:spacing w:line="500" w:lineRule="exact"/>
      <w:ind w:left="391" w:right="246"/>
      <w:textAlignment w:val="baseline"/>
    </w:pPr>
    <w:rPr>
      <w:rFonts w:ascii="仿宋_GB2312" w:eastAsia="仿宋_GB2312"/>
      <w:kern w:val="0"/>
      <w:sz w:val="24"/>
      <w:szCs w:val="24"/>
    </w:rPr>
  </w:style>
  <w:style w:type="paragraph" w:customStyle="1" w:styleId="118">
    <w:name w:val="TOC7"/>
    <w:basedOn w:val="1"/>
    <w:next w:val="1"/>
    <w:qFormat/>
    <w:uiPriority w:val="0"/>
    <w:pPr>
      <w:widowControl/>
      <w:ind w:left="1260"/>
      <w:jc w:val="left"/>
      <w:textAlignment w:val="baseline"/>
    </w:pPr>
    <w:rPr>
      <w:rFonts w:ascii="Calibri" w:hAnsi="Calibri"/>
      <w:sz w:val="18"/>
      <w:szCs w:val="18"/>
    </w:rPr>
  </w:style>
  <w:style w:type="paragraph" w:customStyle="1" w:styleId="119">
    <w:name w:val="BodyTextIndent"/>
    <w:basedOn w:val="1"/>
    <w:qFormat/>
    <w:uiPriority w:val="0"/>
    <w:pPr>
      <w:widowControl/>
      <w:ind w:firstLine="830" w:firstLineChars="352"/>
      <w:textAlignment w:val="baseline"/>
    </w:pPr>
    <w:rPr>
      <w:rFonts w:ascii="仿宋_GB2312" w:eastAsia="仿宋_GB2312"/>
      <w:sz w:val="32"/>
      <w:szCs w:val="20"/>
    </w:rPr>
  </w:style>
  <w:style w:type="paragraph" w:customStyle="1" w:styleId="120">
    <w:name w:val="TOC2"/>
    <w:basedOn w:val="1"/>
    <w:next w:val="1"/>
    <w:qFormat/>
    <w:uiPriority w:val="0"/>
    <w:pPr>
      <w:widowControl/>
      <w:tabs>
        <w:tab w:val="right" w:leader="dot" w:pos="9530"/>
      </w:tabs>
      <w:ind w:left="210"/>
      <w:jc w:val="left"/>
      <w:textAlignment w:val="baseline"/>
    </w:pPr>
    <w:rPr>
      <w:rFonts w:ascii="Calibri" w:hAnsi="Calibri" w:eastAsia="仿宋_GB2312"/>
      <w:smallCaps/>
      <w:sz w:val="20"/>
      <w:szCs w:val="20"/>
    </w:rPr>
  </w:style>
  <w:style w:type="paragraph" w:customStyle="1" w:styleId="121">
    <w:name w:val="BodyTextIndent3"/>
    <w:basedOn w:val="1"/>
    <w:qFormat/>
    <w:uiPriority w:val="0"/>
    <w:pPr>
      <w:widowControl/>
      <w:spacing w:after="120"/>
      <w:ind w:left="420" w:leftChars="200"/>
      <w:textAlignment w:val="baseline"/>
    </w:pPr>
    <w:rPr>
      <w:sz w:val="16"/>
      <w:szCs w:val="16"/>
    </w:rPr>
  </w:style>
  <w:style w:type="paragraph" w:customStyle="1" w:styleId="122">
    <w:name w:val="TOC4"/>
    <w:basedOn w:val="1"/>
    <w:next w:val="1"/>
    <w:qFormat/>
    <w:uiPriority w:val="0"/>
    <w:pPr>
      <w:widowControl/>
      <w:ind w:left="630"/>
      <w:jc w:val="left"/>
      <w:textAlignment w:val="baseline"/>
    </w:pPr>
    <w:rPr>
      <w:rFonts w:ascii="Calibri" w:hAnsi="Calibri"/>
      <w:sz w:val="18"/>
      <w:szCs w:val="18"/>
    </w:rPr>
  </w:style>
  <w:style w:type="paragraph" w:customStyle="1" w:styleId="123">
    <w:name w:val="HtmlNormal"/>
    <w:basedOn w:val="1"/>
    <w:qFormat/>
    <w:uiPriority w:val="0"/>
    <w:pPr>
      <w:widowControl/>
      <w:spacing w:before="100" w:beforeAutospacing="1" w:after="100" w:afterAutospacing="1"/>
      <w:jc w:val="left"/>
      <w:textAlignment w:val="baseline"/>
    </w:pPr>
    <w:rPr>
      <w:rFonts w:ascii="宋体" w:hAnsi="宋体"/>
      <w:kern w:val="0"/>
      <w:sz w:val="24"/>
      <w:szCs w:val="24"/>
    </w:rPr>
  </w:style>
  <w:style w:type="paragraph" w:customStyle="1" w:styleId="124">
    <w:name w:val="TOC6"/>
    <w:basedOn w:val="1"/>
    <w:next w:val="1"/>
    <w:qFormat/>
    <w:uiPriority w:val="0"/>
    <w:pPr>
      <w:widowControl/>
      <w:ind w:left="1050"/>
      <w:jc w:val="left"/>
      <w:textAlignment w:val="baseline"/>
    </w:pPr>
    <w:rPr>
      <w:rFonts w:ascii="Calibri" w:hAnsi="Calibri"/>
      <w:sz w:val="18"/>
      <w:szCs w:val="18"/>
    </w:rPr>
  </w:style>
  <w:style w:type="paragraph" w:customStyle="1" w:styleId="125">
    <w:name w:val="TOC1"/>
    <w:basedOn w:val="1"/>
    <w:next w:val="1"/>
    <w:qFormat/>
    <w:uiPriority w:val="0"/>
    <w:pPr>
      <w:widowControl/>
      <w:tabs>
        <w:tab w:val="right" w:leader="dot" w:pos="9540"/>
      </w:tabs>
      <w:spacing w:before="120" w:after="120"/>
      <w:jc w:val="left"/>
      <w:textAlignment w:val="baseline"/>
    </w:pPr>
    <w:rPr>
      <w:rFonts w:ascii="Calibri" w:hAnsi="Calibri"/>
      <w:b/>
      <w:bCs/>
      <w:caps/>
      <w:sz w:val="20"/>
      <w:szCs w:val="20"/>
    </w:rPr>
  </w:style>
  <w:style w:type="paragraph" w:customStyle="1" w:styleId="126">
    <w:name w:val="TOC8"/>
    <w:basedOn w:val="1"/>
    <w:next w:val="1"/>
    <w:qFormat/>
    <w:uiPriority w:val="0"/>
    <w:pPr>
      <w:widowControl/>
      <w:ind w:left="1470"/>
      <w:jc w:val="left"/>
      <w:textAlignment w:val="baseline"/>
    </w:pPr>
    <w:rPr>
      <w:rFonts w:ascii="Calibri" w:hAnsi="Calibri"/>
      <w:sz w:val="18"/>
      <w:szCs w:val="18"/>
    </w:rPr>
  </w:style>
  <w:style w:type="paragraph" w:customStyle="1" w:styleId="127">
    <w:name w:val="TOC3"/>
    <w:basedOn w:val="1"/>
    <w:next w:val="1"/>
    <w:semiHidden/>
    <w:qFormat/>
    <w:uiPriority w:val="0"/>
    <w:pPr>
      <w:widowControl/>
      <w:ind w:left="420"/>
      <w:jc w:val="left"/>
      <w:textAlignment w:val="baseline"/>
    </w:pPr>
    <w:rPr>
      <w:rFonts w:ascii="Calibri" w:hAnsi="Calibri"/>
      <w:i/>
      <w:iCs/>
      <w:sz w:val="20"/>
      <w:szCs w:val="20"/>
    </w:rPr>
  </w:style>
  <w:style w:type="paragraph" w:customStyle="1" w:styleId="128">
    <w:name w:val="Null"/>
    <w:qFormat/>
    <w:uiPriority w:val="0"/>
    <w:pPr>
      <w:jc w:val="both"/>
      <w:textAlignment w:val="baseline"/>
    </w:pPr>
    <w:rPr>
      <w:rFonts w:ascii="Times New Roman" w:hAnsi="Times New Roman" w:eastAsia="宋体" w:cs="Times New Roman"/>
      <w:kern w:val="2"/>
      <w:sz w:val="21"/>
      <w:szCs w:val="24"/>
      <w:lang w:val="en-US" w:eastAsia="zh-CN" w:bidi="ar-SA"/>
    </w:rPr>
  </w:style>
  <w:style w:type="paragraph" w:customStyle="1" w:styleId="129">
    <w:name w:val="UserStyle_7"/>
    <w:basedOn w:val="1"/>
    <w:qFormat/>
    <w:uiPriority w:val="0"/>
    <w:pPr>
      <w:widowControl/>
      <w:tabs>
        <w:tab w:val="left" w:pos="709"/>
      </w:tabs>
      <w:ind w:left="709" w:hanging="709"/>
      <w:textAlignment w:val="baseline"/>
    </w:pPr>
    <w:rPr>
      <w:rFonts w:ascii="宋体" w:hAnsi="宋体"/>
      <w:kern w:val="0"/>
    </w:rPr>
  </w:style>
  <w:style w:type="paragraph" w:customStyle="1" w:styleId="130">
    <w:name w:val="UserStyle_8"/>
    <w:basedOn w:val="1"/>
    <w:qFormat/>
    <w:uiPriority w:val="0"/>
    <w:pPr>
      <w:widowControl/>
      <w:spacing w:before="100" w:after="100"/>
      <w:ind w:left="360" w:right="360"/>
      <w:jc w:val="left"/>
      <w:textAlignment w:val="baseline"/>
    </w:pPr>
    <w:rPr>
      <w:kern w:val="0"/>
      <w:sz w:val="24"/>
      <w:szCs w:val="20"/>
    </w:rPr>
  </w:style>
  <w:style w:type="paragraph" w:customStyle="1" w:styleId="131">
    <w:name w:val="UserStyle_9"/>
    <w:basedOn w:val="1"/>
    <w:qFormat/>
    <w:uiPriority w:val="0"/>
    <w:pPr>
      <w:widowControl/>
      <w:textAlignment w:val="baseline"/>
    </w:pPr>
    <w:rPr>
      <w:rFonts w:ascii="Tahoma" w:hAnsi="Tahoma"/>
      <w:sz w:val="24"/>
      <w:szCs w:val="20"/>
    </w:rPr>
  </w:style>
  <w:style w:type="paragraph" w:customStyle="1" w:styleId="132">
    <w:name w:val="UserStyle_10"/>
    <w:basedOn w:val="1"/>
    <w:qFormat/>
    <w:uiPriority w:val="0"/>
    <w:pPr>
      <w:widowControl/>
      <w:textAlignment w:val="baseline"/>
    </w:pPr>
    <w:rPr>
      <w:rFonts w:ascii="Tahoma" w:hAnsi="Tahoma"/>
      <w:sz w:val="24"/>
      <w:szCs w:val="20"/>
    </w:rPr>
  </w:style>
  <w:style w:type="paragraph" w:customStyle="1" w:styleId="133">
    <w:name w:val="266"/>
    <w:basedOn w:val="97"/>
    <w:next w:val="1"/>
    <w:qFormat/>
    <w:uiPriority w:val="0"/>
    <w:pPr>
      <w:keepLines/>
      <w:spacing w:before="480" w:line="276" w:lineRule="auto"/>
      <w:jc w:val="left"/>
    </w:pPr>
    <w:rPr>
      <w:rFonts w:ascii="Cambria" w:hAnsi="Cambria"/>
      <w:b/>
      <w:bCs/>
      <w:color w:val="365F91"/>
      <w:kern w:val="0"/>
      <w:szCs w:val="28"/>
    </w:rPr>
  </w:style>
  <w:style w:type="paragraph" w:customStyle="1" w:styleId="134">
    <w:name w:val="UserStyle_11"/>
    <w:basedOn w:val="1"/>
    <w:qFormat/>
    <w:uiPriority w:val="0"/>
    <w:pPr>
      <w:widowControl/>
      <w:spacing w:before="100" w:beforeAutospacing="1" w:after="100" w:afterAutospacing="1" w:line="360" w:lineRule="auto"/>
      <w:textAlignment w:val="top"/>
    </w:pPr>
    <w:rPr>
      <w:kern w:val="0"/>
      <w:sz w:val="24"/>
      <w:szCs w:val="24"/>
    </w:rPr>
  </w:style>
  <w:style w:type="paragraph" w:customStyle="1" w:styleId="135">
    <w:name w:val="UserStyle_12"/>
    <w:basedOn w:val="1"/>
    <w:qFormat/>
    <w:uiPriority w:val="0"/>
    <w:pPr>
      <w:widowControl/>
      <w:textAlignment w:val="baseline"/>
    </w:pPr>
    <w:rPr>
      <w:szCs w:val="24"/>
    </w:rPr>
  </w:style>
  <w:style w:type="paragraph" w:customStyle="1" w:styleId="136">
    <w:name w:val="UserStyle_13"/>
    <w:basedOn w:val="1"/>
    <w:qFormat/>
    <w:uiPriority w:val="0"/>
    <w:pPr>
      <w:widowControl/>
      <w:spacing w:before="100" w:beforeAutospacing="1" w:after="100" w:afterAutospacing="1"/>
      <w:jc w:val="left"/>
      <w:textAlignment w:val="baseline"/>
    </w:pPr>
    <w:rPr>
      <w:rFonts w:ascii="宋体" w:hAnsi="宋体"/>
      <w:kern w:val="0"/>
      <w:sz w:val="24"/>
      <w:szCs w:val="24"/>
    </w:rPr>
  </w:style>
  <w:style w:type="paragraph" w:customStyle="1" w:styleId="137">
    <w:name w:val="UserStyle_14"/>
    <w:basedOn w:val="1"/>
    <w:qFormat/>
    <w:uiPriority w:val="0"/>
    <w:pPr>
      <w:widowControl/>
      <w:spacing w:before="100" w:beforeAutospacing="1" w:after="100" w:afterAutospacing="1"/>
      <w:jc w:val="left"/>
      <w:textAlignment w:val="baseline"/>
    </w:pPr>
    <w:rPr>
      <w:rFonts w:ascii="宋体" w:hAnsi="宋体"/>
      <w:kern w:val="0"/>
      <w:sz w:val="24"/>
      <w:szCs w:val="24"/>
    </w:rPr>
  </w:style>
  <w:style w:type="table" w:customStyle="1" w:styleId="138">
    <w:name w:val="TableGrid"/>
    <w:basedOn w:val="101"/>
    <w:qFormat/>
    <w:uiPriority w:val="0"/>
    <w:tblPr>
      <w:tblCellMar>
        <w:top w:w="0" w:type="dxa"/>
        <w:left w:w="0" w:type="dxa"/>
        <w:bottom w:w="0" w:type="dxa"/>
        <w:right w:w="0" w:type="dxa"/>
      </w:tblCellMar>
    </w:tblPr>
  </w:style>
  <w:style w:type="character" w:customStyle="1" w:styleId="139">
    <w:name w:val="UserStyle_15"/>
    <w:qFormat/>
    <w:uiPriority w:val="0"/>
    <w:rPr>
      <w:rFonts w:ascii="宋体" w:hAnsi="Courier New" w:eastAsia="宋体"/>
      <w:kern w:val="2"/>
      <w:sz w:val="21"/>
      <w:szCs w:val="21"/>
      <w:lang w:val="en-US" w:eastAsia="zh-CN" w:bidi="ar-SA"/>
    </w:rPr>
  </w:style>
  <w:style w:type="paragraph" w:customStyle="1" w:styleId="140">
    <w:name w:val="UserStyle_16"/>
    <w:basedOn w:val="1"/>
    <w:qFormat/>
    <w:uiPriority w:val="0"/>
    <w:pPr>
      <w:widowControl/>
      <w:jc w:val="left"/>
      <w:textAlignment w:val="baseline"/>
    </w:pPr>
    <w:rPr>
      <w:rFonts w:ascii="宋体" w:hAnsi="宋体"/>
      <w:kern w:val="0"/>
      <w:sz w:val="22"/>
      <w:szCs w:val="22"/>
      <w:lang w:val="zh-CN" w:bidi="zh-CN"/>
    </w:rPr>
  </w:style>
  <w:style w:type="paragraph" w:customStyle="1" w:styleId="141">
    <w:name w:val="179"/>
    <w:basedOn w:val="1"/>
    <w:qFormat/>
    <w:uiPriority w:val="0"/>
    <w:pPr>
      <w:widowControl/>
      <w:ind w:firstLine="420" w:firstLineChars="200"/>
      <w:textAlignment w:val="baseline"/>
    </w:pPr>
    <w:rPr>
      <w:rFonts w:ascii="Calibri" w:hAnsi="Calibri"/>
      <w:szCs w:val="22"/>
    </w:rPr>
  </w:style>
  <w:style w:type="paragraph" w:customStyle="1" w:styleId="142">
    <w:name w:val="Table Paragraph"/>
    <w:basedOn w:val="1"/>
    <w:unhideWhenUsed/>
    <w:qFormat/>
    <w:uiPriority w:val="1"/>
    <w:pPr>
      <w:widowControl/>
      <w:textAlignment w:val="baseline"/>
    </w:pPr>
    <w:rPr>
      <w:sz w:val="24"/>
      <w:szCs w:val="24"/>
    </w:rPr>
  </w:style>
  <w:style w:type="paragraph" w:customStyle="1" w:styleId="143">
    <w:name w:val="Normal_12"/>
    <w:qFormat/>
    <w:uiPriority w:val="0"/>
    <w:pPr>
      <w:spacing w:before="120" w:after="240"/>
      <w:jc w:val="both"/>
    </w:pPr>
    <w:rPr>
      <w:rFonts w:ascii="Times New Roman" w:hAnsi="Times New Roman" w:eastAsia="Calibri" w:cs="Times New Roman"/>
      <w:sz w:val="22"/>
      <w:szCs w:val="22"/>
      <w:lang w:val="ru-RU" w:eastAsia="en-US" w:bidi="ar-SA"/>
    </w:rPr>
  </w:style>
  <w:style w:type="paragraph" w:customStyle="1" w:styleId="144">
    <w:name w:val="WPSOffice手动目录 1"/>
    <w:qFormat/>
    <w:uiPriority w:val="0"/>
    <w:rPr>
      <w:rFonts w:ascii="Times New Roman" w:hAnsi="Times New Roman" w:eastAsia="宋体" w:cs="Times New Roman"/>
      <w:lang w:val="en-US" w:eastAsia="zh-CN" w:bidi="ar-SA"/>
    </w:rPr>
  </w:style>
  <w:style w:type="paragraph" w:customStyle="1" w:styleId="145">
    <w:name w:val="_Style 2"/>
    <w:basedOn w:val="1"/>
    <w:next w:val="1"/>
    <w:qFormat/>
    <w:uiPriority w:val="34"/>
    <w:pPr>
      <w:ind w:firstLine="420" w:firstLineChars="200"/>
    </w:pPr>
    <w:rPr>
      <w:rFonts w:eastAsia="仿宋"/>
      <w:sz w:val="28"/>
    </w:rPr>
  </w:style>
  <w:style w:type="paragraph" w:customStyle="1" w:styleId="146">
    <w:name w:val="题注1"/>
    <w:qFormat/>
    <w:uiPriority w:val="0"/>
    <w:pPr>
      <w:spacing w:line="360" w:lineRule="auto"/>
      <w:jc w:val="center"/>
    </w:pPr>
    <w:rPr>
      <w:rFonts w:ascii="宋体" w:hAnsi="宋体" w:eastAsia="宋体" w:cs="Times New Roman"/>
      <w:kern w:val="2"/>
      <w:sz w:val="24"/>
      <w:szCs w:val="21"/>
      <w:lang w:val="en-US" w:eastAsia="zh-CN" w:bidi="ar-SA"/>
    </w:rPr>
  </w:style>
  <w:style w:type="paragraph" w:customStyle="1" w:styleId="147">
    <w:name w:val="列出段落1"/>
    <w:basedOn w:val="1"/>
    <w:qFormat/>
    <w:uiPriority w:val="99"/>
    <w:pPr>
      <w:ind w:firstLine="420" w:firstLineChars="200"/>
    </w:pPr>
    <w:rPr>
      <w:rFonts w:ascii="Calibri" w:hAnsi="Calibri"/>
      <w:sz w:val="22"/>
      <w:szCs w:val="20"/>
      <w:lang w:val="zh-CN"/>
    </w:rPr>
  </w:style>
  <w:style w:type="paragraph" w:customStyle="1" w:styleId="148">
    <w:name w:val="列出段落2"/>
    <w:basedOn w:val="1"/>
    <w:qFormat/>
    <w:uiPriority w:val="34"/>
    <w:pPr>
      <w:ind w:firstLine="420" w:firstLineChars="200"/>
    </w:pPr>
    <w:rPr>
      <w:szCs w:val="20"/>
    </w:rPr>
  </w:style>
  <w:style w:type="character" w:customStyle="1" w:styleId="149">
    <w:name w:val="仿宋四号 字符"/>
    <w:link w:val="150"/>
    <w:qFormat/>
    <w:uiPriority w:val="0"/>
    <w:rPr>
      <w:rFonts w:ascii="仿宋" w:hAnsi="仿宋" w:eastAsia="仿宋"/>
      <w:sz w:val="28"/>
      <w:szCs w:val="28"/>
    </w:rPr>
  </w:style>
  <w:style w:type="paragraph" w:customStyle="1" w:styleId="150">
    <w:name w:val="仿宋四号"/>
    <w:basedOn w:val="1"/>
    <w:link w:val="149"/>
    <w:qFormat/>
    <w:uiPriority w:val="0"/>
    <w:pPr>
      <w:ind w:firstLine="560" w:firstLineChars="200"/>
    </w:pPr>
    <w:rPr>
      <w:rFonts w:ascii="仿宋" w:hAnsi="仿宋" w:eastAsia="仿宋" w:cstheme="minorBidi"/>
      <w:kern w:val="0"/>
      <w:sz w:val="28"/>
      <w:szCs w:val="28"/>
    </w:rPr>
  </w:style>
  <w:style w:type="paragraph" w:customStyle="1" w:styleId="151">
    <w:name w:val="修改内容"/>
    <w:basedOn w:val="1"/>
    <w:qFormat/>
    <w:uiPriority w:val="0"/>
    <w:pPr>
      <w:snapToGrid w:val="0"/>
      <w:spacing w:line="520" w:lineRule="exact"/>
      <w:ind w:firstLine="200" w:firstLineChars="200"/>
    </w:pPr>
    <w:rPr>
      <w:rFonts w:ascii="仿宋_GB2312" w:hAnsi="仿宋" w:eastAsia="仿宋_GB2312" w:cs="仿宋"/>
      <w:color w:val="4BACC6" w:themeColor="accent5"/>
      <w:szCs w:val="24"/>
    </w:rPr>
  </w:style>
  <w:style w:type="paragraph" w:customStyle="1" w:styleId="152">
    <w:name w:val="默认段落字体 Para Char Char Char Char"/>
    <w:basedOn w:val="1"/>
    <w:qFormat/>
    <w:uiPriority w:val="0"/>
    <w:pPr>
      <w:spacing w:line="360" w:lineRule="auto"/>
      <w:ind w:firstLine="200"/>
    </w:pPr>
    <w:rPr>
      <w:rFonts w:eastAsia="仿宋_GB2312"/>
      <w:color w:val="000000"/>
      <w:kern w:val="1"/>
      <w:sz w:val="24"/>
      <w:szCs w:val="24"/>
    </w:rPr>
  </w:style>
  <w:style w:type="paragraph" w:customStyle="1" w:styleId="153">
    <w:name w:val="xl63"/>
    <w:basedOn w:val="1"/>
    <w:qFormat/>
    <w:uiPriority w:val="0"/>
    <w:pPr>
      <w:widowControl/>
      <w:pBdr>
        <w:top w:val="single" w:color="000000" w:sz="8" w:space="0"/>
        <w:left w:val="single" w:color="000000" w:sz="8"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4">
    <w:name w:val="xl64"/>
    <w:basedOn w:val="1"/>
    <w:qFormat/>
    <w:uiPriority w:val="0"/>
    <w:pPr>
      <w:widowControl/>
      <w:pBdr>
        <w:top w:val="single" w:color="000000" w:sz="4" w:space="0"/>
        <w:left w:val="single" w:color="000000" w:sz="8"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5">
    <w:name w:val="xl65"/>
    <w:basedOn w:val="1"/>
    <w:qFormat/>
    <w:uiPriority w:val="0"/>
    <w:pPr>
      <w:widowControl/>
      <w:pBdr>
        <w:top w:val="single" w:color="000000" w:sz="4" w:space="0"/>
        <w:left w:val="single" w:color="000000" w:sz="8" w:space="0"/>
        <w:bottom w:val="single" w:color="000000" w:sz="4" w:space="0"/>
        <w:right w:val="single" w:color="000000" w:sz="4" w:space="0"/>
      </w:pBdr>
      <w:shd w:val="clear" w:color="FFFFFF" w:fill="FFFFFF"/>
      <w:spacing w:before="100" w:beforeAutospacing="1" w:after="100" w:afterAutospacing="1"/>
      <w:jc w:val="left"/>
      <w:textAlignment w:val="center"/>
    </w:pPr>
    <w:rPr>
      <w:rFonts w:ascii="宋体" w:hAnsi="宋体" w:cs="宋体"/>
      <w:color w:val="000000"/>
      <w:kern w:val="0"/>
      <w:sz w:val="24"/>
      <w:szCs w:val="24"/>
    </w:rPr>
  </w:style>
  <w:style w:type="paragraph" w:customStyle="1" w:styleId="156">
    <w:name w:val="xl66"/>
    <w:basedOn w:val="1"/>
    <w:qFormat/>
    <w:uiPriority w:val="0"/>
    <w:pPr>
      <w:widowControl/>
      <w:pBdr>
        <w:top w:val="single" w:color="000000" w:sz="8" w:space="0"/>
        <w:left w:val="single" w:color="000000" w:sz="4"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7">
    <w:name w:val="xl67"/>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8">
    <w:name w:val="xl68"/>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left"/>
      <w:textAlignment w:val="center"/>
    </w:pPr>
    <w:rPr>
      <w:rFonts w:ascii="宋体" w:hAnsi="宋体" w:cs="宋体"/>
      <w:color w:val="000000"/>
      <w:kern w:val="0"/>
      <w:sz w:val="24"/>
      <w:szCs w:val="24"/>
    </w:rPr>
  </w:style>
  <w:style w:type="paragraph" w:customStyle="1" w:styleId="159">
    <w:name w:val="xl69"/>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right"/>
      <w:textAlignment w:val="center"/>
    </w:pPr>
    <w:rPr>
      <w:rFonts w:ascii="宋体" w:hAnsi="宋体" w:cs="宋体"/>
      <w:color w:val="000000"/>
      <w:kern w:val="0"/>
      <w:sz w:val="24"/>
      <w:szCs w:val="24"/>
    </w:rPr>
  </w:style>
  <w:style w:type="paragraph" w:customStyle="1" w:styleId="160">
    <w:name w:val="Normal_8"/>
    <w:qFormat/>
    <w:uiPriority w:val="0"/>
    <w:rPr>
      <w:rFonts w:ascii="Times New Roman" w:hAnsi="Times New Roman" w:eastAsia="Times New Roman" w:cs="Times New Roman"/>
      <w:sz w:val="24"/>
      <w:szCs w:val="24"/>
      <w:lang w:val="en-US" w:eastAsia="zh-CN" w:bidi="ar-SA"/>
    </w:rPr>
  </w:style>
  <w:style w:type="paragraph" w:customStyle="1" w:styleId="161">
    <w:name w:val="Char Char Char Char3"/>
    <w:basedOn w:val="1"/>
    <w:qFormat/>
    <w:uiPriority w:val="0"/>
    <w:rPr>
      <w:rFonts w:ascii="Tahoma" w:hAnsi="Tahoma"/>
      <w:sz w:val="24"/>
      <w:szCs w:val="20"/>
    </w:rPr>
  </w:style>
  <w:style w:type="paragraph" w:customStyle="1" w:styleId="162">
    <w:name w:val="Char23"/>
    <w:basedOn w:val="1"/>
    <w:qFormat/>
    <w:uiPriority w:val="0"/>
    <w:rPr>
      <w:rFonts w:ascii="Tahoma" w:hAnsi="Tahoma" w:cs="仿宋_GB2312"/>
      <w:sz w:val="24"/>
      <w:szCs w:val="20"/>
    </w:rPr>
  </w:style>
  <w:style w:type="paragraph" w:customStyle="1" w:styleId="163">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64">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65">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66">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67">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68">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69">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0">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1">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72">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73">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4">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6"/>
      <w:szCs w:val="16"/>
    </w:rPr>
  </w:style>
  <w:style w:type="paragraph" w:customStyle="1" w:styleId="175">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16"/>
      <w:szCs w:val="16"/>
    </w:rPr>
  </w:style>
  <w:style w:type="paragraph" w:customStyle="1" w:styleId="176">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77">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78">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79">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80">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4"/>
      <w:szCs w:val="24"/>
    </w:rPr>
  </w:style>
  <w:style w:type="paragraph" w:customStyle="1" w:styleId="181">
    <w:name w:val="xl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82">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83">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84">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4"/>
      <w:szCs w:val="24"/>
    </w:rPr>
  </w:style>
  <w:style w:type="paragraph" w:customStyle="1" w:styleId="185">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FF0000"/>
      <w:kern w:val="0"/>
      <w:sz w:val="24"/>
      <w:szCs w:val="24"/>
    </w:rPr>
  </w:style>
  <w:style w:type="paragraph" w:customStyle="1" w:styleId="186">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FF0000"/>
      <w:kern w:val="0"/>
      <w:sz w:val="24"/>
      <w:szCs w:val="24"/>
    </w:rPr>
  </w:style>
  <w:style w:type="paragraph" w:customStyle="1" w:styleId="187">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0"/>
      <w:szCs w:val="20"/>
    </w:rPr>
  </w:style>
  <w:style w:type="paragraph" w:customStyle="1" w:styleId="188">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FF0000"/>
      <w:kern w:val="0"/>
      <w:sz w:val="20"/>
      <w:szCs w:val="20"/>
    </w:rPr>
  </w:style>
  <w:style w:type="paragraph" w:customStyle="1" w:styleId="189">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FF0000"/>
      <w:kern w:val="0"/>
      <w:sz w:val="20"/>
      <w:szCs w:val="20"/>
    </w:rPr>
  </w:style>
  <w:style w:type="paragraph" w:customStyle="1" w:styleId="190">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0"/>
      <w:szCs w:val="20"/>
    </w:rPr>
  </w:style>
  <w:style w:type="paragraph" w:customStyle="1" w:styleId="191">
    <w:name w:val="xl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FF0000"/>
      <w:kern w:val="0"/>
      <w:sz w:val="20"/>
      <w:szCs w:val="20"/>
    </w:rPr>
  </w:style>
  <w:style w:type="paragraph" w:customStyle="1" w:styleId="192">
    <w:name w:val="xl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4"/>
      <w:szCs w:val="24"/>
    </w:rPr>
  </w:style>
  <w:style w:type="paragraph" w:customStyle="1" w:styleId="193">
    <w:name w:val="Char Char Char Char4"/>
    <w:basedOn w:val="1"/>
    <w:qFormat/>
    <w:uiPriority w:val="0"/>
    <w:rPr>
      <w:rFonts w:ascii="Tahoma" w:hAnsi="Tahoma"/>
      <w:sz w:val="24"/>
      <w:szCs w:val="20"/>
    </w:rPr>
  </w:style>
  <w:style w:type="paragraph" w:customStyle="1" w:styleId="194">
    <w:name w:val="Char24"/>
    <w:basedOn w:val="1"/>
    <w:qFormat/>
    <w:uiPriority w:val="0"/>
    <w:rPr>
      <w:rFonts w:ascii="Tahoma" w:hAnsi="Tahoma" w:cs="仿宋_GB2312"/>
      <w:sz w:val="24"/>
      <w:szCs w:val="20"/>
    </w:rPr>
  </w:style>
  <w:style w:type="paragraph" w:customStyle="1" w:styleId="195">
    <w:name w:val="null3"/>
    <w:qFormat/>
    <w:uiPriority w:val="0"/>
    <w:rPr>
      <w:rFonts w:asciiTheme="minorHAnsi" w:hAnsiTheme="minorHAnsi" w:eastAsiaTheme="minorEastAsia" w:cstheme="minorBidi"/>
      <w:lang w:val="en-US" w:eastAsia="zh-CN" w:bidi="ar-SA"/>
    </w:rPr>
  </w:style>
  <w:style w:type="paragraph" w:customStyle="1" w:styleId="196">
    <w:name w:val="_Style 1"/>
    <w:basedOn w:val="1"/>
    <w:autoRedefine/>
    <w:qFormat/>
    <w:uiPriority w:val="34"/>
    <w:pPr>
      <w:widowControl w:val="0"/>
      <w:kinsoku/>
      <w:autoSpaceDE/>
      <w:autoSpaceDN/>
      <w:adjustRightInd/>
      <w:snapToGrid/>
      <w:ind w:firstLine="420" w:firstLineChars="200"/>
      <w:jc w:val="both"/>
      <w:textAlignment w:val="auto"/>
    </w:pPr>
    <w:rPr>
      <w:rFonts w:ascii="Calibri" w:hAnsi="Calibri" w:eastAsia="宋体" w:cs="Times New Roman"/>
      <w:snapToGrid/>
      <w:color w:val="auto"/>
      <w:kern w:val="2"/>
      <w:szCs w:val="22"/>
      <w:lang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13</Pages>
  <Words>6074</Words>
  <Characters>6165</Characters>
  <Lines>1</Lines>
  <Paragraphs>1</Paragraphs>
  <TotalTime>0</TotalTime>
  <ScaleCrop>false</ScaleCrop>
  <LinksUpToDate>false</LinksUpToDate>
  <CharactersWithSpaces>6192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2020-08-13T10:13:00Z</dcterms:created>
  <dc:creator>赵璧</dc:creator>
  <cp:lastModifiedBy>Administrator</cp:lastModifiedBy>
  <cp:lastPrinted>2020-03-23T07:37:00Z</cp:lastPrinted>
  <dcterms:modified xsi:type="dcterms:W3CDTF">2026-06-02T04:02:41Z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eyJoZGlkIjoiYmVmNzk2ZTcyMGRhOWY0OTg3YjliNjUxZDI2YzJmMGQiLCJ1c2VySWQiOiIzNzU0NTgxMTcifQ==</vt:lpwstr>
  </property>
  <property fmtid="{D5CDD505-2E9C-101B-9397-08002B2CF9AE}" pid="4" name="ICV">
    <vt:lpwstr>2BA460DA08684D8B8886009D305EAEA7_12</vt:lpwstr>
  </property>
</Properties>
</file>