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636" w:rsidRDefault="002F7B98">
      <w:pPr>
        <w:pStyle w:val="2"/>
        <w:spacing w:after="120" w:line="520" w:lineRule="exact"/>
        <w:rPr>
          <w:rFonts w:ascii="宋体" w:eastAsia="宋体" w:hAnsi="宋体" w:hint="eastAsia"/>
          <w:sz w:val="44"/>
          <w:szCs w:val="44"/>
        </w:rPr>
      </w:pPr>
      <w:bookmarkStart w:id="0" w:name="_Toc84668326"/>
      <w:bookmarkStart w:id="1" w:name="_Toc27307_WPSOffice_Level1"/>
      <w:bookmarkStart w:id="2" w:name="_Toc1563"/>
      <w:r>
        <w:rPr>
          <w:rFonts w:ascii="宋体" w:eastAsia="宋体" w:hAnsi="宋体"/>
          <w:sz w:val="44"/>
          <w:szCs w:val="44"/>
        </w:rPr>
        <w:tab/>
      </w:r>
      <w:r>
        <w:rPr>
          <w:rFonts w:ascii="宋体" w:eastAsia="宋体" w:hAnsi="宋体" w:hint="eastAsia"/>
          <w:sz w:val="44"/>
          <w:szCs w:val="44"/>
        </w:rPr>
        <w:t xml:space="preserve"> 采购需求</w:t>
      </w:r>
      <w:bookmarkEnd w:id="0"/>
      <w:bookmarkEnd w:id="1"/>
      <w:bookmarkEnd w:id="2"/>
    </w:p>
    <w:p w:rsidR="000672FD" w:rsidRPr="00142FA2" w:rsidRDefault="000672FD" w:rsidP="000672FD">
      <w:pPr>
        <w:spacing w:line="400" w:lineRule="exact"/>
        <w:rPr>
          <w:rFonts w:ascii="宋体" w:hAnsi="宋体" w:cs="宋体"/>
          <w:b/>
          <w:bCs/>
          <w:color w:val="FF0000"/>
          <w:sz w:val="28"/>
          <w:szCs w:val="28"/>
        </w:rPr>
      </w:pPr>
      <w:r>
        <w:rPr>
          <w:rFonts w:ascii="宋体" w:hAnsi="宋体" w:cs="宋体"/>
          <w:b/>
          <w:bCs/>
          <w:color w:val="FF0000"/>
          <w:sz w:val="28"/>
          <w:szCs w:val="28"/>
        </w:rPr>
        <w:t>一、</w:t>
      </w:r>
      <w:r w:rsidRPr="00142FA2">
        <w:rPr>
          <w:rFonts w:ascii="宋体" w:hAnsi="宋体" w:cs="宋体"/>
          <w:b/>
          <w:bCs/>
          <w:color w:val="FF0000"/>
          <w:sz w:val="28"/>
          <w:szCs w:val="28"/>
        </w:rPr>
        <w:t>建设内容</w:t>
      </w:r>
    </w:p>
    <w:p w:rsidR="000672FD" w:rsidRPr="00142FA2" w:rsidRDefault="000672FD" w:rsidP="000672FD">
      <w:pPr>
        <w:spacing w:line="400" w:lineRule="exact"/>
        <w:ind w:firstLineChars="98" w:firstLine="236"/>
        <w:rPr>
          <w:rFonts w:ascii="宋体" w:hAnsi="宋体" w:cs="宋体"/>
          <w:b/>
          <w:bCs/>
          <w:sz w:val="24"/>
          <w:szCs w:val="24"/>
        </w:rPr>
      </w:pPr>
      <w:r w:rsidRPr="00142FA2">
        <w:rPr>
          <w:rFonts w:ascii="宋体" w:hAnsi="宋体" w:cs="宋体" w:hint="eastAsia"/>
          <w:b/>
          <w:bCs/>
          <w:sz w:val="24"/>
          <w:szCs w:val="24"/>
        </w:rPr>
        <w:t>1.链路要求：</w:t>
      </w:r>
    </w:p>
    <w:p w:rsidR="000672FD" w:rsidRPr="00AE2C9F" w:rsidRDefault="000672FD" w:rsidP="000672FD">
      <w:pPr>
        <w:spacing w:line="400" w:lineRule="exact"/>
        <w:ind w:firstLineChars="50" w:firstLine="105"/>
        <w:rPr>
          <w:rFonts w:asciiTheme="minorEastAsia" w:eastAsiaTheme="minorEastAsia" w:hAnsiTheme="minorEastAsia"/>
        </w:rPr>
      </w:pPr>
      <w:r w:rsidRPr="00AE2C9F">
        <w:rPr>
          <w:rFonts w:asciiTheme="minorEastAsia" w:eastAsiaTheme="minorEastAsia" w:hAnsiTheme="minorEastAsia" w:hint="eastAsia"/>
        </w:rPr>
        <w:t>（1）</w:t>
      </w:r>
      <w:r w:rsidRPr="00AE2C9F">
        <w:rPr>
          <w:rFonts w:asciiTheme="minorEastAsia" w:eastAsiaTheme="minorEastAsia" w:hAnsiTheme="minorEastAsia"/>
        </w:rPr>
        <w:t>互联网总出口链路至少</w:t>
      </w:r>
      <w:r w:rsidRPr="00AE2C9F">
        <w:rPr>
          <w:rFonts w:asciiTheme="minorEastAsia" w:eastAsiaTheme="minorEastAsia" w:hAnsiTheme="minorEastAsia" w:hint="eastAsia"/>
        </w:rPr>
        <w:t>2</w:t>
      </w:r>
      <w:r w:rsidRPr="00AE2C9F">
        <w:rPr>
          <w:rFonts w:asciiTheme="minorEastAsia" w:eastAsiaTheme="minorEastAsia" w:hAnsiTheme="minorEastAsia"/>
        </w:rPr>
        <w:t xml:space="preserve"> 条，</w:t>
      </w:r>
      <w:r w:rsidRPr="00AE2C9F">
        <w:rPr>
          <w:rFonts w:asciiTheme="minorEastAsia" w:eastAsiaTheme="minorEastAsia" w:hAnsiTheme="minorEastAsia" w:hint="eastAsia"/>
        </w:rPr>
        <w:t>每条带宽不小于3G</w:t>
      </w:r>
      <w:r w:rsidRPr="00AE2C9F">
        <w:rPr>
          <w:rFonts w:asciiTheme="minorEastAsia" w:eastAsiaTheme="minorEastAsia" w:hAnsiTheme="minorEastAsia"/>
        </w:rPr>
        <w:t>；</w:t>
      </w:r>
    </w:p>
    <w:p w:rsidR="000672FD" w:rsidRPr="00AE2C9F" w:rsidRDefault="000672FD" w:rsidP="000672FD">
      <w:pPr>
        <w:spacing w:line="400" w:lineRule="exact"/>
        <w:ind w:firstLineChars="50" w:firstLine="105"/>
        <w:rPr>
          <w:rFonts w:asciiTheme="minorEastAsia" w:eastAsiaTheme="minorEastAsia" w:hAnsiTheme="minorEastAsia"/>
        </w:rPr>
      </w:pPr>
      <w:r w:rsidRPr="00AE2C9F">
        <w:rPr>
          <w:rFonts w:asciiTheme="minorEastAsia" w:eastAsiaTheme="minorEastAsia" w:hAnsiTheme="minorEastAsia" w:hint="eastAsia"/>
        </w:rPr>
        <w:t>（2）各校链路建设：不论学校规模大小，全部采用MPLS_VPN</w:t>
      </w:r>
      <w:r w:rsidRPr="00AE2C9F">
        <w:rPr>
          <w:rFonts w:asciiTheme="minorEastAsia" w:eastAsiaTheme="minorEastAsia" w:hAnsiTheme="minorEastAsia" w:cs="仿宋_GB2312" w:hint="eastAsia"/>
        </w:rPr>
        <w:t>专线</w:t>
      </w:r>
      <w:r w:rsidRPr="00AE2C9F">
        <w:rPr>
          <w:rFonts w:asciiTheme="minorEastAsia" w:eastAsiaTheme="minorEastAsia" w:hAnsiTheme="minorEastAsia" w:hint="eastAsia"/>
        </w:rPr>
        <w:t>或专线传输。具体名单如下：</w:t>
      </w:r>
    </w:p>
    <w:tbl>
      <w:tblPr>
        <w:tblW w:w="9286" w:type="dxa"/>
        <w:tblInd w:w="-473" w:type="dxa"/>
        <w:tblLayout w:type="fixed"/>
        <w:tblLook w:val="04A0"/>
      </w:tblPr>
      <w:tblGrid>
        <w:gridCol w:w="895"/>
        <w:gridCol w:w="3379"/>
        <w:gridCol w:w="1515"/>
        <w:gridCol w:w="1522"/>
        <w:gridCol w:w="1975"/>
      </w:tblGrid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b/>
                <w:bCs/>
              </w:rPr>
            </w:pPr>
            <w:r w:rsidRPr="00142FA2">
              <w:rPr>
                <w:rFonts w:asciiTheme="minorEastAsia" w:eastAsiaTheme="minorEastAsia" w:hAnsiTheme="minorEastAsia" w:cs="仿宋_GB2312" w:hint="eastAsia"/>
                <w:b/>
                <w:bCs/>
              </w:rPr>
              <w:t>序号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b/>
                <w:bCs/>
              </w:rPr>
            </w:pPr>
            <w:r w:rsidRPr="00142FA2">
              <w:rPr>
                <w:rFonts w:asciiTheme="minorEastAsia" w:eastAsiaTheme="minorEastAsia" w:hAnsiTheme="minorEastAsia" w:cs="仿宋_GB2312" w:hint="eastAsia"/>
                <w:b/>
                <w:bCs/>
              </w:rPr>
              <w:t>学校名称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b/>
                <w:bCs/>
              </w:rPr>
            </w:pPr>
            <w:r w:rsidRPr="00142FA2">
              <w:rPr>
                <w:rFonts w:asciiTheme="minorEastAsia" w:eastAsiaTheme="minorEastAsia" w:hAnsiTheme="minorEastAsia" w:cs="仿宋_GB2312" w:hint="eastAsia"/>
                <w:b/>
                <w:bCs/>
              </w:rPr>
              <w:t>学校类型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b/>
                <w:bCs/>
              </w:rPr>
            </w:pPr>
            <w:r w:rsidRPr="00142FA2">
              <w:rPr>
                <w:rFonts w:asciiTheme="minorEastAsia" w:eastAsiaTheme="minorEastAsia" w:hAnsiTheme="minorEastAsia" w:cs="仿宋_GB2312" w:hint="eastAsia"/>
                <w:b/>
                <w:bCs/>
              </w:rPr>
              <w:t>接入带宽（兆）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b/>
                <w:bCs/>
              </w:rPr>
            </w:pPr>
            <w:r w:rsidRPr="00142FA2">
              <w:rPr>
                <w:rFonts w:asciiTheme="minorEastAsia" w:eastAsiaTheme="minorEastAsia" w:hAnsiTheme="minorEastAsia" w:cs="仿宋_GB2312" w:hint="eastAsia"/>
                <w:b/>
                <w:bCs/>
              </w:rPr>
              <w:t>接入模式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江西省万载中学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万载县第二中学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万载县第三中学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万载县第四中学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万载外国语学校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万载县凤凰小学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万载县龙湖实验学校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万载县职业技术学校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万载康乐实验学校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万载县株潭镇丰林小学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万载县特殊教育学校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万载县教师进修学校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万载县第一小学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万载县第二小学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万载县第三小学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万载县第四小学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万载县第五小学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万载县荷花小学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20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21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22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23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万载县白良初级中学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24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万载县罗城初级中学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25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万载县岭东初级中学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26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27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万载县高村初级中学(</w:t>
            </w:r>
            <w:r>
              <w:rPr>
                <w:rFonts w:asciiTheme="minorEastAsia" w:eastAsiaTheme="minorEastAsia" w:hAnsiTheme="minorEastAsia" w:cs="仿宋_GB2312" w:hint="eastAsia"/>
              </w:rPr>
              <w:t>西坑</w:t>
            </w:r>
            <w:r w:rsidRPr="00142FA2">
              <w:rPr>
                <w:rFonts w:asciiTheme="minorEastAsia" w:eastAsiaTheme="minorEastAsia" w:hAnsiTheme="minorEastAsia" w:cs="仿宋_GB2312" w:hint="eastAsia"/>
              </w:rPr>
              <w:t>分校)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lastRenderedPageBreak/>
              <w:t>28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万载县马步初级中学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29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万载县茭湖初级中学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30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万载县白水初级中学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31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万载县仙源初级中学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32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万载县双桥初级中学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33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万载县高城乡初级中学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34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万载县赤兴初级中学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35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万载县三兴初中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36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万载新世纪学校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37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万载县赣西外国语学校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38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万载县城南中学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39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万载县中等专业学校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A类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40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万载县白良镇中心小学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41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万载县白良镇锦江小学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42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万载县白良镇坑口小学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43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万载县白良镇良福小学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44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万载县白良镇廖杭小学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45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万载县白良镇歧里小学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46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万载县白水乡中心小学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47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万载县白水乡老山小学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48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万载县白水乡永新小学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49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万载县白水乡罗桥教学点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万载县白水乡大庄小学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万载县赤兴中心小学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万载县赤兴乡花桥小学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万载县赤兴乡书堂联合小学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万载县赤兴乡新华小学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万载县赤兴乡皂下小学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万载县康乐街道中心小学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万载县鹅峰实验学校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万载县高城镇中心小学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万载县高城镇里山小学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60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万载县高城镇联胜小学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lastRenderedPageBreak/>
              <w:t>61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万载县高城镇南庙小学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62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万载县高城镇复胜小学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63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万载县高城镇团结小学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64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万载县高城镇奇丰小学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65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万载县高城镇桥西小学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66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万载县高城镇大坪小学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67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68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万载县高村镇白泉小学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69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万载县高村镇大坳小学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70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万载县高村镇黎源小学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71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万载县高村镇梅洞小学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72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万载县高村镇歧源联合小学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73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万载县高村镇上村小学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74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万载县高村镇西坑联合小学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75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万载县高村镇新联小学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76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万载县高村镇新井联合小学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77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万载县高村镇新竹小学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78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万载县高村镇严田小学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79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80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万载县黄茅镇福和希望小学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81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万载县汇丰第三希望小学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82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万载县黄茅镇光明小学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83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万载县黄茅镇红星小学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84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万载县黄茅镇黄茅小学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85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万载县黄茅镇军屯小学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86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万载县黄茅镇路下小学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87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万载县黄茅镇南江小学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88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万载县黄茅镇南岭小学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89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万载县黄茅镇前进小学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90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万载县黄茅镇三星小学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91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万载县黄茅镇水源小学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92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万载县黄茅镇王布小学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93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万载县黄茅镇兴源小学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lastRenderedPageBreak/>
              <w:t>94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万载县黄茅镇永安小学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95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万载县黄茅镇源头小学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96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万载县黄茅镇中罗小学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97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万载县茭湖乡中心小学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98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万载县茭湖乡槽头小学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99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万载县茭湖乡东江小学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万载县茭湖乡西沅小学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万载县岭东乡中心小学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万载县岭东乡兰田小学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万载县岭东乡小关小学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万载县罗城镇中心小学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万载县罗城镇横坑小学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万载县罗城镇麻田第二小学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万载县罗城镇小浒小学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万载县罗城镇黎明小学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万载县罗城镇南垣小学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110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万载县罗城镇藏溪小学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111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万载县罗城镇卢洲小学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112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万载县马步乡中心小学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113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万载县马步乡新民小学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114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万载县马步乡黄村小学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115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万载县马步乡带塘小学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116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万载县马步乡银田小学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117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万载县马步乡洞口小学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118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万载县马步乡泉塘小学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119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万载县马步乡宝石小学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120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万载县马步乡寨下小学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121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万载县三兴镇中心小学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122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万载县三兴镇漕源小学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123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万载县三兴镇杭桥小学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124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万载县三兴镇红旗小学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125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万载县三兴镇花塘小学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126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万载县三兴镇闹坪小学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lastRenderedPageBreak/>
              <w:t>127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万载县三兴镇沙潭小学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128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万载县三兴镇万岁村新武小学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129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万载县三兴镇万岁小学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130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万载县双桥镇中心小学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131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万载县双桥镇柏树小学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132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万载县双桥镇昌田小学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133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万载县双桥镇黄源小学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134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万载县双桥镇清城小学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135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万载县双桥镇尚庄小学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136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万载县双桥镇龙田小学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137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万载县双桥镇绍江小学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138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万载县双桥镇山溪小学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139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万载县潭埠镇中心小学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140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万载县潭埠镇天扬小学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141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万载县潭埠镇塅源小学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142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万载县潭埠街小学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143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万载县潭埠镇陂田小学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144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万载县潭埠镇濠田小学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145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万载县潭埠镇晨兴希望小学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146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万载县潭埠镇茵果小学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147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万载县潭埠镇排江小学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148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万载县潭埠镇昌集小学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149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万载县潭埠镇芳林学校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150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万载县潭埠镇新田教学点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151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万载县仙源乡中心小学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152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万载县仙源乡高岭村小学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153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万载县仙源乡双溪小学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154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万载县仙源乡新市小学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155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万载县仙源乡株木小学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156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万载县株潭镇中心小学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传输专线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157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万载县株潭镇上坊小学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158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万载县株潭镇同胜小学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159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万载县株潭镇车陂小学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lastRenderedPageBreak/>
              <w:t>160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万载县株潭镇石塘小学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161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万载县株潭镇石岭小学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162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万载县株潭镇长和小学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163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万载县株潭镇枣木小学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164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万载县株潭镇获富小学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165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万载县株潭镇后槎小学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166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万载县株潭镇杨源小学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167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万载县株潭镇株山小学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168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万载县株潭镇红星小学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169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万载县株潭镇亭下小学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170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万载县株潭镇模山小学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171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172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万载县凤凰御景小区幼儿园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173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万载县城北佳园小区幼儿园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174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万载县新源小区幼儿园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175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万载县龙湖佳园小区幼儿园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176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万载县光明幼儿园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177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万载县和谐佳园小区幼儿园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178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万载县龙湖小区幼儿园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179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万载县政府小区幼儿园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180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万载县江工小区幼儿园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181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万载县大北关幼儿园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182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万载县康乐幼儿园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183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黄茅镇中心幼儿园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184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黄茅镇中心幼儿园（第二校区）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185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株潭镇中心幼儿园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186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潭埠镇中心幼儿园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187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潭埠镇中心幼儿园（第二校区）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C类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188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双桥镇中心幼儿园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189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白水乡中心幼儿园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190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岭东乡中心幼儿园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191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高城镇中心幼儿园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192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仙源乡中心幼儿园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lastRenderedPageBreak/>
              <w:t>193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赤兴乡中心幼儿园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194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白良镇中心幼儿园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195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三兴镇中心幼儿园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196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罗城镇中心幼儿园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197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茭湖乡中心幼儿园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198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高村镇中心幼儿园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199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鹅峰乡中心幼儿园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  <w:tr w:rsidR="000672FD" w:rsidRPr="00142FA2" w:rsidTr="005E1868">
        <w:trPr>
          <w:trHeight w:val="454"/>
        </w:trPr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200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马步乡中心幼儿园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B类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500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672FD" w:rsidRPr="00142FA2" w:rsidRDefault="000672FD" w:rsidP="005E1868">
            <w:pPr>
              <w:spacing w:line="280" w:lineRule="exact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42FA2">
              <w:rPr>
                <w:rFonts w:asciiTheme="minorEastAsia" w:eastAsiaTheme="minorEastAsia" w:hAnsiTheme="minorEastAsia" w:cs="仿宋_GB2312" w:hint="eastAsia"/>
              </w:rPr>
              <w:t>MPLS_VPN专线</w:t>
            </w:r>
          </w:p>
        </w:tc>
      </w:tr>
    </w:tbl>
    <w:p w:rsidR="000672FD" w:rsidRPr="000851F9" w:rsidRDefault="000672FD" w:rsidP="000672FD">
      <w:pPr>
        <w:pStyle w:val="a8"/>
        <w:spacing w:beforeAutospacing="0" w:afterAutospacing="0" w:line="560" w:lineRule="exact"/>
        <w:ind w:leftChars="200" w:left="420"/>
        <w:rPr>
          <w:rFonts w:asciiTheme="minorEastAsia" w:eastAsiaTheme="minorEastAsia" w:hAnsiTheme="minorEastAsia" w:cs="仿宋_GB2312"/>
          <w:b/>
          <w:bCs/>
          <w:color w:val="FF0000"/>
          <w:sz w:val="21"/>
        </w:rPr>
      </w:pPr>
      <w:r w:rsidRPr="000851F9">
        <w:rPr>
          <w:rFonts w:asciiTheme="minorEastAsia" w:eastAsiaTheme="minorEastAsia" w:hAnsiTheme="minorEastAsia" w:cs="仿宋_GB2312" w:hint="eastAsia"/>
          <w:b/>
          <w:bCs/>
          <w:color w:val="FF0000"/>
          <w:sz w:val="21"/>
        </w:rPr>
        <w:t>说明:此次清单</w:t>
      </w:r>
      <w:r w:rsidRPr="00BA77FC">
        <w:rPr>
          <w:rFonts w:asciiTheme="minorEastAsia" w:eastAsiaTheme="minorEastAsia" w:hAnsiTheme="minorEastAsia" w:cs="仿宋_GB2312" w:hint="eastAsia"/>
          <w:b/>
          <w:bCs/>
          <w:color w:val="FF0000"/>
          <w:sz w:val="21"/>
        </w:rPr>
        <w:t>含万载县所有公民</w:t>
      </w:r>
      <w:r w:rsidRPr="000851F9">
        <w:rPr>
          <w:rFonts w:asciiTheme="minorEastAsia" w:eastAsiaTheme="minorEastAsia" w:hAnsiTheme="minorEastAsia" w:cs="仿宋_GB2312" w:hint="eastAsia"/>
          <w:b/>
          <w:bCs/>
          <w:color w:val="FF0000"/>
          <w:sz w:val="21"/>
        </w:rPr>
        <w:t>办学校，若有遗漏，以实际学校数为准。</w:t>
      </w:r>
    </w:p>
    <w:p w:rsidR="000672FD" w:rsidRDefault="000672FD" w:rsidP="000672FD">
      <w:pPr>
        <w:spacing w:line="420" w:lineRule="exact"/>
        <w:rPr>
          <w:rFonts w:ascii="宋体" w:eastAsiaTheme="minorEastAsia" w:hAnsi="宋体" w:cs="宋体"/>
          <w:b/>
          <w:bCs/>
        </w:rPr>
      </w:pPr>
    </w:p>
    <w:p w:rsidR="000672FD" w:rsidRPr="000851F9" w:rsidRDefault="000672FD" w:rsidP="000672FD">
      <w:pPr>
        <w:spacing w:line="420" w:lineRule="exact"/>
        <w:rPr>
          <w:rFonts w:ascii="宋体" w:hAnsi="宋体" w:cs="宋体"/>
          <w:b/>
          <w:bCs/>
        </w:rPr>
      </w:pPr>
      <w:r w:rsidRPr="000851F9">
        <w:rPr>
          <w:rFonts w:ascii="宋体" w:hAnsi="宋体" w:cs="宋体" w:hint="eastAsia"/>
          <w:b/>
          <w:bCs/>
        </w:rPr>
        <w:t>2.运维要求：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0" w:firstLine="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（1）教育城域网核心设备及学校侧网络设备运维服务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300" w:firstLine="63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该项目数据中心包含城域网出口链路负载均衡、防火墙、上网行为管理、核心交换机等设备，学校侧设备包含交换机等设备。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250" w:firstLine="525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服务方提供：1、7*24小时技术支持；2、故障设备4小时内更换；3、每月1次深度巡检；4、每季度1次性能评估；5、每年1次全面评估。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0" w:firstLine="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（2）教育城域网核心设备的托管服务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250" w:firstLine="525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核心设备托管机房环境要求：服务提供方需在提供符合国家标准的机房环境，用于放置教育城域网网络设备。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0" w:firstLine="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(3)设备运维托管清单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100" w:firstLine="21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核心设备：2台H3CS10512核心交换机、2台H3C F5020出口网关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100" w:firstLine="21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安全设备：2台迪普FW1000防火墙、2台迪普AD3000负载均衡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100" w:firstLine="21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认证设备：1套迪普DPX8000-A3实名认证系统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100" w:firstLine="21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管理平台：1套H3C IMC智能管理平台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100" w:firstLine="21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安全平台：1套深信服SIPV3.0安全态势感知平台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100" w:firstLine="21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学校设备：49台学校出口网关、49台学校核心交换机、数百台接入交换机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100" w:firstLine="21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无线设备：2台锐捷RG-WS6816无线控制器、3695个AP（包括面板AP、吸顶AP、高密AP）</w:t>
      </w:r>
      <w:r>
        <w:rPr>
          <w:rFonts w:ascii="宋体" w:hAnsi="宋体" w:hint="eastAsia"/>
          <w:szCs w:val="21"/>
        </w:rPr>
        <w:t>。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100" w:firstLine="210"/>
        <w:jc w:val="left"/>
        <w:rPr>
          <w:rFonts w:ascii="宋体" w:hAnsi="宋体"/>
          <w:szCs w:val="21"/>
        </w:rPr>
      </w:pPr>
      <w:r w:rsidRPr="000851F9">
        <w:rPr>
          <w:rFonts w:ascii="宋体" w:hAnsi="宋体" w:hint="eastAsia"/>
          <w:szCs w:val="21"/>
        </w:rPr>
        <w:t>光模块：万兆光模块50个、千兆光模块502个</w:t>
      </w:r>
    </w:p>
    <w:p w:rsidR="000672FD" w:rsidRPr="000851F9" w:rsidRDefault="000672FD" w:rsidP="000672FD">
      <w:pPr>
        <w:pStyle w:val="20"/>
        <w:spacing w:after="0" w:line="400" w:lineRule="exact"/>
        <w:ind w:leftChars="0" w:left="0" w:firstLineChars="0" w:firstLine="0"/>
        <w:jc w:val="left"/>
        <w:rPr>
          <w:rFonts w:ascii="宋体" w:hAnsi="宋体"/>
          <w:color w:val="FF0000"/>
          <w:szCs w:val="21"/>
        </w:rPr>
      </w:pPr>
      <w:r w:rsidRPr="000851F9">
        <w:rPr>
          <w:rFonts w:ascii="宋体" w:hAnsi="宋体" w:hint="eastAsia"/>
          <w:b/>
          <w:color w:val="FF0000"/>
          <w:szCs w:val="21"/>
        </w:rPr>
        <w:t>特别说明：</w:t>
      </w:r>
      <w:r w:rsidRPr="000851F9">
        <w:rPr>
          <w:rFonts w:ascii="宋体" w:hAnsi="宋体" w:hint="eastAsia"/>
          <w:color w:val="FF0000"/>
          <w:szCs w:val="21"/>
        </w:rPr>
        <w:t>具体清单详见</w:t>
      </w:r>
      <w:bookmarkStart w:id="3" w:name="OLE_LINK1"/>
      <w:r>
        <w:rPr>
          <w:rFonts w:ascii="宋体" w:hAnsi="宋体" w:hint="eastAsia"/>
          <w:color w:val="FF0000"/>
          <w:szCs w:val="21"/>
        </w:rPr>
        <w:t>2019年</w:t>
      </w:r>
      <w:r w:rsidRPr="009D521E">
        <w:rPr>
          <w:rFonts w:ascii="宋体" w:hAnsi="宋体" w:hint="eastAsia"/>
          <w:color w:val="FF0000"/>
          <w:szCs w:val="21"/>
        </w:rPr>
        <w:t>万载县教育城域网购买服务采购项目</w:t>
      </w:r>
      <w:r w:rsidRPr="000851F9">
        <w:rPr>
          <w:rFonts w:ascii="宋体" w:hAnsi="宋体" w:hint="eastAsia"/>
          <w:color w:val="FF0000"/>
          <w:szCs w:val="21"/>
        </w:rPr>
        <w:t>招标采购清单</w:t>
      </w:r>
      <w:bookmarkEnd w:id="3"/>
      <w:r w:rsidRPr="000851F9">
        <w:rPr>
          <w:rFonts w:ascii="宋体" w:hAnsi="宋体" w:hint="eastAsia"/>
          <w:color w:val="FF0000"/>
          <w:szCs w:val="21"/>
        </w:rPr>
        <w:t>（详见附件）。</w:t>
      </w:r>
    </w:p>
    <w:p w:rsidR="000672FD" w:rsidRPr="00A45077" w:rsidRDefault="000672FD" w:rsidP="000672FD">
      <w:pPr>
        <w:spacing w:before="78" w:line="219" w:lineRule="auto"/>
        <w:rPr>
          <w:rFonts w:ascii="宋体" w:hAnsi="宋体" w:cs="宋体"/>
          <w:b/>
          <w:color w:val="FF0000"/>
          <w:sz w:val="28"/>
          <w:szCs w:val="28"/>
        </w:rPr>
      </w:pPr>
      <w:r>
        <w:rPr>
          <w:rFonts w:ascii="宋体" w:hAnsi="宋体" w:cs="宋体"/>
          <w:b/>
          <w:color w:val="FF0000"/>
          <w:sz w:val="28"/>
          <w:szCs w:val="28"/>
        </w:rPr>
        <w:t>二、</w:t>
      </w:r>
      <w:r w:rsidRPr="00A45077">
        <w:rPr>
          <w:rFonts w:ascii="宋体" w:hAnsi="宋体" w:cs="宋体"/>
          <w:b/>
          <w:color w:val="FF0000"/>
          <w:sz w:val="28"/>
          <w:szCs w:val="28"/>
        </w:rPr>
        <w:t xml:space="preserve"> </w:t>
      </w:r>
      <w:r w:rsidRPr="00A45077">
        <w:rPr>
          <w:rFonts w:ascii="宋体" w:hAnsi="宋体" w:cs="宋体" w:hint="eastAsia"/>
          <w:b/>
          <w:color w:val="FF0000"/>
          <w:sz w:val="28"/>
          <w:szCs w:val="28"/>
        </w:rPr>
        <w:t>服务</w:t>
      </w:r>
      <w:r w:rsidRPr="00A45077">
        <w:rPr>
          <w:rFonts w:ascii="宋体" w:hAnsi="宋体" w:cs="宋体"/>
          <w:b/>
          <w:color w:val="FF0000"/>
          <w:sz w:val="28"/>
          <w:szCs w:val="28"/>
        </w:rPr>
        <w:t>内容</w:t>
      </w:r>
    </w:p>
    <w:tbl>
      <w:tblPr>
        <w:tblW w:w="8755" w:type="dxa"/>
        <w:tblLayout w:type="fixed"/>
        <w:tblLook w:val="04A0"/>
      </w:tblPr>
      <w:tblGrid>
        <w:gridCol w:w="840"/>
        <w:gridCol w:w="4569"/>
        <w:gridCol w:w="795"/>
        <w:gridCol w:w="992"/>
        <w:gridCol w:w="1559"/>
      </w:tblGrid>
      <w:tr w:rsidR="000672FD" w:rsidRPr="001D4F9C" w:rsidTr="005E1868">
        <w:trPr>
          <w:trHeight w:val="510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序号</w:t>
            </w:r>
          </w:p>
        </w:tc>
        <w:tc>
          <w:tcPr>
            <w:tcW w:w="4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产品名称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数量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单位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备注</w:t>
            </w:r>
          </w:p>
        </w:tc>
      </w:tr>
      <w:tr w:rsidR="000672FD" w:rsidRPr="001D4F9C" w:rsidTr="005E1868">
        <w:trPr>
          <w:trHeight w:val="510"/>
        </w:trPr>
        <w:tc>
          <w:tcPr>
            <w:tcW w:w="87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一、城域网链路服务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 xml:space="preserve">1 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互联网出口宽带费用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服务期3年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 xml:space="preserve">2 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到市教育城域网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服务期3年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lastRenderedPageBreak/>
              <w:t xml:space="preserve">3 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到教育局光纤链路租赁运维费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服务期3年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 xml:space="preserve">4 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到县局城域网网络中心骨干节点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服务期3年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 xml:space="preserve">5 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各学校光纤链路租赁运维费（城区学校及乡镇中学）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/>
              </w:rPr>
              <w:t>2</w:t>
            </w:r>
            <w:r w:rsidRPr="001D4F9C">
              <w:rPr>
                <w:rFonts w:asciiTheme="minorEastAsia" w:eastAsiaTheme="minorEastAsia" w:hAnsiTheme="minorEastAsia" w:cs="仿宋_GB2312" w:hint="eastAsia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服务期3年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 xml:space="preserve">6 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各学校光纤链路租赁运维费（城区学校及乡镇中学）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/>
              </w:rPr>
              <w:t>3</w:t>
            </w:r>
            <w:r w:rsidRPr="001D4F9C">
              <w:rPr>
                <w:rFonts w:asciiTheme="minorEastAsia" w:eastAsiaTheme="minorEastAsia" w:hAnsiTheme="minorEastAsia" w:cs="仿宋_GB2312" w:hint="eastAsia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服务期3年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 xml:space="preserve">7 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各学校和教育局光纤链路租赁运维费（城区幼儿园和乡镇中心小学及乡镇中心幼儿园）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 xml:space="preserve">28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服务期3年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/>
              </w:rPr>
              <w:t>8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各学校和教育局光纤链路租赁运维费（村小及乡镇幼儿园分园）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textAlignment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 xml:space="preserve">118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服务期3年</w:t>
            </w:r>
          </w:p>
        </w:tc>
      </w:tr>
      <w:tr w:rsidR="000672FD" w:rsidRPr="001D4F9C" w:rsidTr="005E1868">
        <w:trPr>
          <w:trHeight w:val="510"/>
        </w:trPr>
        <w:tc>
          <w:tcPr>
            <w:tcW w:w="87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二、机柜托管服务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机房托管设备维护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年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7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三、城域网备品备件服务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城域网防火墙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/>
              </w:rPr>
              <w:t>2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城域网核心交换机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/>
              </w:rPr>
              <w:t>3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万兆模块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块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7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四、学校端的备品备件服务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学校核心交换机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2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高密AP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3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面板AP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4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24口交换机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5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24口POE交换机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6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学校综合安全网关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7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五、全网城域网维保服务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维保服务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年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详见维保清单</w:t>
            </w:r>
          </w:p>
        </w:tc>
      </w:tr>
      <w:tr w:rsidR="000672FD" w:rsidRPr="001D4F9C" w:rsidTr="005E1868">
        <w:trPr>
          <w:trHeight w:val="510"/>
        </w:trPr>
        <w:tc>
          <w:tcPr>
            <w:tcW w:w="87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六、IPV6改造服务及流量分析服务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IPV6双栈安全系统及改造实施服务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2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技术支持服务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3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互联网流量分析与管控系统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套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4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互联网流量分析平台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年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t>5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日志审计系统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BA77F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75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七、等保测评服务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1D4F9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1D4F9C">
              <w:rPr>
                <w:rFonts w:asciiTheme="minorEastAsia" w:eastAsiaTheme="minorEastAsia" w:hAnsiTheme="minorEastAsia" w:cs="仿宋_GB2312" w:hint="eastAsia"/>
              </w:rPr>
              <w:lastRenderedPageBreak/>
              <w:t>1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网络安全二级等保测评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BA77F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  <w:tr w:rsidR="000672FD" w:rsidRPr="001D4F9C" w:rsidTr="005E1868">
        <w:trPr>
          <w:trHeight w:val="510"/>
        </w:trPr>
        <w:tc>
          <w:tcPr>
            <w:tcW w:w="87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BA77F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八、校园安防设备割接、供网</w:t>
            </w:r>
          </w:p>
        </w:tc>
      </w:tr>
      <w:tr w:rsidR="000672FD" w:rsidRPr="001D4F9C" w:rsidTr="005E1868">
        <w:trPr>
          <w:trHeight w:val="51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1</w:t>
            </w:r>
          </w:p>
        </w:tc>
        <w:tc>
          <w:tcPr>
            <w:tcW w:w="4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做好校园安防网络设备设施割接对接工作，提供校园安防平台及前端设备网络保障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BA77FC" w:rsidRDefault="000672FD" w:rsidP="005E1868">
            <w:pPr>
              <w:jc w:val="center"/>
              <w:rPr>
                <w:rFonts w:asciiTheme="minorEastAsia" w:eastAsiaTheme="minorEastAsia" w:hAnsiTheme="minorEastAsia" w:cs="仿宋_GB2312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年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rPr>
                <w:rFonts w:asciiTheme="minorEastAsia" w:eastAsiaTheme="minorEastAsia" w:hAnsiTheme="minorEastAsia" w:cs="仿宋_GB2312"/>
              </w:rPr>
            </w:pPr>
          </w:p>
        </w:tc>
      </w:tr>
    </w:tbl>
    <w:p w:rsidR="000672FD" w:rsidRPr="00143BD8" w:rsidRDefault="000672FD" w:rsidP="000672FD">
      <w:pPr>
        <w:spacing w:before="78" w:line="219" w:lineRule="auto"/>
        <w:rPr>
          <w:rFonts w:ascii="宋体" w:hAnsi="宋体" w:cs="宋体"/>
          <w:b/>
          <w:color w:val="FF0000"/>
          <w:sz w:val="28"/>
          <w:szCs w:val="28"/>
        </w:rPr>
      </w:pPr>
      <w:r>
        <w:rPr>
          <w:rFonts w:ascii="宋体" w:hAnsi="宋体" w:cs="宋体" w:hint="eastAsia"/>
          <w:b/>
          <w:color w:val="FF0000"/>
          <w:sz w:val="28"/>
          <w:szCs w:val="28"/>
        </w:rPr>
        <w:t>三、</w:t>
      </w:r>
      <w:r w:rsidRPr="00A45077">
        <w:rPr>
          <w:rFonts w:ascii="宋体" w:hAnsi="宋体" w:cs="宋体" w:hint="eastAsia"/>
          <w:b/>
          <w:color w:val="FF0000"/>
          <w:sz w:val="28"/>
          <w:szCs w:val="28"/>
        </w:rPr>
        <w:t>服务需求</w:t>
      </w:r>
    </w:p>
    <w:tbl>
      <w:tblPr>
        <w:tblW w:w="9277" w:type="dxa"/>
        <w:jc w:val="center"/>
        <w:tblInd w:w="1125" w:type="dxa"/>
        <w:tblLayout w:type="fixed"/>
        <w:tblLook w:val="04A0"/>
      </w:tblPr>
      <w:tblGrid>
        <w:gridCol w:w="756"/>
        <w:gridCol w:w="1701"/>
        <w:gridCol w:w="4589"/>
        <w:gridCol w:w="720"/>
        <w:gridCol w:w="768"/>
        <w:gridCol w:w="743"/>
      </w:tblGrid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/>
                <w:color w:val="000000" w:themeColor="text1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/>
                <w:color w:val="000000" w:themeColor="text1"/>
              </w:rPr>
              <w:t>产品名称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/>
                <w:color w:val="000000" w:themeColor="text1"/>
              </w:rPr>
              <w:t>技术参数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/>
                <w:color w:val="000000" w:themeColor="text1"/>
              </w:rPr>
              <w:t>单位</w:t>
            </w:r>
          </w:p>
        </w:tc>
        <w:tc>
          <w:tcPr>
            <w:tcW w:w="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/>
                <w:color w:val="000000" w:themeColor="text1"/>
              </w:rPr>
              <w:t>数量</w:t>
            </w:r>
          </w:p>
        </w:tc>
        <w:tc>
          <w:tcPr>
            <w:tcW w:w="7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/>
                <w:color w:val="000000" w:themeColor="text1"/>
              </w:rPr>
              <w:t>备注</w:t>
            </w: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92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bCs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Cs/>
                <w:color w:val="000000" w:themeColor="text1"/>
              </w:rPr>
              <w:t>一、城域网链路服务</w:t>
            </w: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 xml:space="preserve">1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互联网出口宽带费用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服务期3年，每条带宽3G的互联网专线互联到互联网，实现全县所有学校实现统一互联网出口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条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2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 xml:space="preserve">2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到市教育城域网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服务期3年，采用1000M传输专线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条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 xml:space="preserve">3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到教育局光纤链路租赁运维费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服务期3年，采用100M传输专线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条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 xml:space="preserve">4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到县局城域网网络中心骨干节点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服务期3年，每条采用1000M    MPLS_VPN专线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条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2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 xml:space="preserve">5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各学校光纤链路租赁运维费（城区学校及乡镇中学）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服务期3年，每条采用1000M   MPLS_VPN专线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条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/>
                <w:color w:val="000000" w:themeColor="text1"/>
              </w:rPr>
              <w:t>2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 xml:space="preserve">0 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/>
                <w:color w:val="000000" w:themeColor="text1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各学校光纤链路租赁运维费（城区学校及乡镇中学）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服务期3年，每条采用1000M   传输专线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条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/>
                <w:color w:val="000000" w:themeColor="text1"/>
              </w:rPr>
              <w:t>3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5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/>
                <w:color w:val="000000" w:themeColor="text1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各学校和教育局光纤链路租赁运维费（城区幼儿园和乡镇中心小学及乡镇中心幼儿园）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服务期3年，每条采用500M   MPLS_VPN专线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条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 xml:space="preserve">28 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/>
                <w:color w:val="000000" w:themeColor="text1"/>
              </w:rPr>
              <w:t>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各学校和教育局光纤链路租赁运维费（村小及乡镇幼儿园分园）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服务期3年，每条采用100M   MPLS_VPN专线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条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 xml:space="preserve">118 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92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bCs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Cs/>
                <w:color w:val="000000" w:themeColor="text1"/>
              </w:rPr>
              <w:t>二、机柜托管服务</w:t>
            </w: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机房托管设备维护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设备保管费（含电费）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年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3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92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bCs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Cs/>
                <w:color w:val="000000" w:themeColor="text1"/>
              </w:rPr>
              <w:t>三、城域网备品备件服务</w:t>
            </w: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城域网防火墙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1、配置千兆电口≥16个；配置万兆光口≥10个；配置扩展槽≥2个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2、实配整机吞吐≥40Gbps，最大并发连接≥800万；每秒新建连接≥36万；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3、支持自动扫描用户网内资产，自动识别资产端口和协议启用情况，结合用户资产信息生成推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荐的安全防护策略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4、支持策略仿真展示，提供独立的策略环境进行仿真创建；支持对网络安全策略的全生命周期变更信息进行完整追溯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5、支持静态地址、DHCP、PPPoE等网络连接类型；支持静态路由、子接口、安全域、NAT等基础网络功能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6、支持对欺骗攻击、注入攻击、跨站请求伪造、跨站脚本攻击、代码执行、释放重利用等多种类别的威胁进行检测和防御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7、支持扩展防病毒功能，病毒库特征超过1000万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8、IPS规则数量≥15000条，可针对具体的规则条目设置启用和禁用；要求系统自带IPS入侵检测预定义模板，用户可设置新的签名过滤器，来自定义新的IPS入侵检测防御模板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9、支持SYN、UDP、ICMP等洪水型DoS/DDoS攻击防护；支持TearDrop、Smurf、LAND、Winnuke、Fraggle等基于数据包的攻击防护；支持带源路由选项IP报文控制功能、支持带路由选项IP报文控制功能；支持ARP欺骗防御功能，支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持自定义设置网关MAC广播间隔时间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10、支持整体呈现内对内、内对外、外对内的攻击统计，图示化呈现攻击的方向和区域；可选级别、刷新频率、周期、攻击类型；TOP攻击源、被攻击主机、新增攻击源、新增攻击端口、攻击趋势图等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11、支持系统日志、安全日志（攻击防护日志）、操作日志（登录、策略变更等）等不同分类日志的留存，可查询和导出日志；支持根据源地址、目的地址、源端口、目的端口、日志类型、严重性、动作等条件进行日志查询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12、支持策略仿真展示，提供独立的策略环境进行仿真创建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13、支持对网络安全策略的全生命周期变更信息进行完整追溯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14、配置冗余电源，配置1TB日志硬盘，病毒库升级功能、入侵防御特征库升级功能、URL特征库升级功能、应用识别特征库升级功能、威胁情报特征库升级功能≥3年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台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城域网核心交换机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1、交换容量≥1904Tbps，包转发速率≥460000Mpps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2、交换网板与主控引擎硬件槽位分离，独立主控引擎插槽≥2个，独立业务插槽≥8个，独立交换网板插槽≥4个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3、采用正交CLOS交换架构，交换网板与线卡成垂直90°正交连接且与主控引擎、业务板硬件分离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4、交换机具备防攻击核心功能，具备ARP协议防护机制；支持对已通过802.1X/WEB认证的用户精准执行ACL过滤策略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5、支持全维度硬件状态监控功能，自动将故障光模块隔离；支持系统功能按组件化拆分部署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6、支持硬件层级双boot，采用两个FLASH芯片存储boot软件（系统引导程序），实现硬件级boot冗余备份，避免因FLASH芯片故障导致交换机无法启动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7、N:1虚拟化：可将多台物理设备虚拟化为1台逻辑设备，虚拟组内设备具备统一的二层及三层转发表项，并可实现跨设备链路聚合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8、支持网络基础保护及交换机防攻击功能，可限制ARP报文，隔离攻击主机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9、支持802.1X与WEB认证，可同时开启且与ACL、防ARP欺骗功能无冲突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10、支持静RIP、RIPng、OSPFv2、OSPFv3、BGP、BGP4+、ISIS、ISISv6，支持等价路由、策略路由。支持GR for OSPF/IS-IS/BGP，支持手动隧道，自动隧道，ISATAP，GRE隧道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11、支持硬件状态监控及光口保护功能，可识别光模块故障并隔离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12、采用组件化操作系统，支持组件在线升级及轻量级日志系统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13、支持整机10万Web认证用户同时在线。支持整机10万802.1x认证用户同时在线。整机认证速率达到1000个/秒；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14、配置要求：配置主控≥2，配置独立交换网板≥2，1600W电源≥2个，配置独立风扇框≥2个(每个风扇框不少于3个风扇)，千兆电口≥24，配置千兆光口≥8，配置万兆光口≥60，配置10G虚拟化电缆≥1根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台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万兆模块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万兆LC接口模块（1310nm），10km，单模，适用于SFP+接口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块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10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92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bCs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Cs/>
                <w:color w:val="000000" w:themeColor="text1"/>
              </w:rPr>
              <w:t>四、学校端的备品备件服务</w:t>
            </w: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学校核心交换机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1、主控引擎与业务板卡完全物理分离,采用全分布式转发处理架构，独立主控引擎插槽≥2个，独立业务插槽数≥3个；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2、交换容量≥300Tbps，包转发性能≥51200Mpps;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3、主控引擎支持集成硬件监控功能，能集中监控板卡、风扇、电源、环境。无需单独配置硬件监控板卡;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4、支持1:N虚拟化和N:1虚拟化，且支持设备先“多虚一”再“一虚多”的功能联动，彻底实现资源池化 ;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5、支持端口浪涌抗扰度≥6KV;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6、支持IPv6静态路由、RIPng、OSPF v3、BGP4+ 等路由协议，支持手动隧道，自动隧道，ISATAP ;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7、支持IPv6过渡技术，IPv4/IPv6双栈、6over4隧道、4 over6隧道;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8、支持SDN和SDN Ready功能，符合OpenFlow 1.3协议标准 ;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9、采用模块化操作系统，支持多进程备份及不中断业务升级特性;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10、支持CPU保护机制，能够针对发往CPU处理的各种报文进行流量控制和优先级处理，保护交换机在各种环境下稳定工作;</w:t>
            </w:r>
          </w:p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11、支持对哑终端入网是收集MAC地址做策略绑定，识别出哑终端资产及位置</w:t>
            </w:r>
          </w:p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12、支持设备数据流自定义，并定位出具体的位置，支持静态IP认证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13、本次配置国产主控引擎≥2个，电源≥2个，千兆电口≥24个，千兆光口≥48个，万兆光口≥8个，要求非主控引擎的接口。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台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高密AP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1、2.4G、5G频段均支持802.11be标准，采用三射频设计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2、整机支持8条空间流，整机最大无线速率≥6.45Gbps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3、配置5G电口≥1个，配置10G光口≥1个；至少1个千兆电接口支持对外供电，可扩展物联网模块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4、支持内置蓝牙5.3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5、支持实现AP虚拟化功能，实现一台AP虚拟为多台AP，分别受不同AC设备独立管理，互不影响。不同虚拟AP之间数据隔离，虚拟AP在AC上不占用AP License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6、支持SSID隐藏，每个SSID可配置单独的认证方式、加密机制，VLAN属性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7、支持边缘智能感知，支持终端智能识别技术，可识别终端类型并上报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8、支持多级天线技术实现抗干扰能力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9、支持基于终端数或流量的智能负载均衡，支持基于STA/SSID/AP的限速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10、支持PSK认证、Web认证、微信认证、二维码访客认证、短信认证、无感知认证等认证方式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11、支持1档天线调节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12、兼容现有城域网无线控制器统一管理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台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5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面板AP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1、支持双路双频802.11ax，整机最大接入速率≥2.975Gbps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2、整机空间流≥4条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3、上联千兆电口≥1个，支持POE供电，下联千兆电口≥4个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4、支持实现AP虚拟化功能，实现一台AP虚拟为多台AP，分别受不同AC设备独立管理，互不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影响。不同虚拟 AP之间数据隔离，虚拟AP在AC上不占用AP License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5、支持SSID隐藏，每个SSID可配置单独的认证方式、加密机制，VLAN属性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6、支持对无线终端负载均衡，支持本地数据转发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7、支持PSK认证、Web认证、微信认证、二维码访客认证、短信认证、无感知认证等认证方式；支持WEP（64/128位）、WPA（TKIP）、WPA-PSK、WPA2（AES）、WPA3等数据加密方式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8、支持非法AP检测及反制。支持数据帧过滤功能，支持白名单、静态黑名单、动态黑名单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9、支持无线用户二层隔离、基于SSID的无线用户隔离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10、支持基于SSID、射频卡的用户数限制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11、兼容现有城域网无线控制器统一管理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台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5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24口交换机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1、交换容量≥670Gbps，包转发率≥170Mpps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2、配置千兆电口≥24个，2.5G SFP光口≥4个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3、产品端口浪涌抗扰度≥10KV，即具备10KV的防雷能力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4、采用静音无风扇节能设计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5、支持静态路由、RIP/RIPng、OSPFv2/OSPFv3等三层路由协议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6、支持专门针对CPU保护机制功能，可将送CPU的报文，如ARP报文的速率进行限制，使CPU的使用率降低到10%以内，保障CPU安全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7、支持专门基础网络保护机制，能够限制用户向网络中发送数据包的速率，对有攻击行为的用户进行隔离，保证设备和整网的安全稳定运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8、支持虚拟化功能，可将多台物理设备虚拟化为一台逻辑设备统一管理，并且链路故障的收敛时间≤30ms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9、支持地图化设备位置管理，实现设备实际位置展示，保障设备位置信息的可靠性和实时性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10、支持拓扑点击链路查看ODF组成，覆盖ODF全生命周期数据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11、支持SNMP、CLI(Telnet/Console)、RMON、SSH、Syslog、NTP/SNTP、FTP、TFTP、Web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台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2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24口POE交换机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1、交换容量≥670Gbps，包转发率≥170Mpps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2、配置千兆电口≥24个，2.5G SFP光口≥4个；支持PoE/PoE+远程供电，370W PoE供电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3、产品端口浪涌抗扰度≥10KV，即具备10KV的防雷能力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4、固化风扇≥2个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5、支持静态路由、RIP/RIPng、OSPFv2/OSPFv3等三层路由协议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6、支持专门针对CPU保护机制功能，可将送CPU的报文，如ARP报文的速率进行限制，使CPU的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使用率降低到10%以内，保障CPU安全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7、支持专门基础网络保护机制，能够限制用户向网络中发送数据包的速率，对有攻击行为的用户进行隔离，保证设备和整网的安全稳定运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8、支持虚拟化功能，可将多台物理设备虚拟化为一台逻辑设备统一管理，并且链路故障的收敛时间≤30ms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9、支持地图化设备位置管理，实现设备实际位置展示，保障设备位置信息的可靠性和实时性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10、支持拓扑点击链路查看ODF组成，覆盖ODF全生命周期数据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11、支持SNMP、CLI(Telnet/Console)、RMON、SSH、Syslog、NTP/SNTP、FTP、TFTP、Web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台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2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学校综合安全网关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1、吞吐量≥3Gbps，配置内存≥4GB，配置硬盘容量≥1T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2、配置千兆电口≥8个；配置千兆光口≥2个；配置万兆光口≥4个；扩展槽≥2个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3、支持关键应用监控，包括对预置应用和自定义应用的监控；支持关键角色监控，支持对单IP、IP网段的监控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4、支持呈现关键应用网络体验质量、关键角色用网质量、基础服务运行质量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5、支持通过模板配置流控策略，支持办公模板，其他模板等方式配置流控策略；用户可以修订接口带宽，应用分类，支持自定义方式配置流控策略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6、支持自定义情报，导入自定义情报的条目不少于70000条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7、能够精确识别网络应用，包括但不限于HTTP协议、IP网络电话、网络游戏软件、网络购物、P2P应用软件、互联网金融、即时通讯、远程控制等，具备完善的应用库，应用数量≥6500种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8、支持显示策略来源、首次创建时间、源安全区域、源地址、目的安全区域、目的地址、服务、应用、首次匹配时间、命中次数统计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9、支持SYN、UDP、ICMP等洪水型DoS/DDoS攻击防护；支持TearDrop、Smurf、LAND、Winnuke、Fraggle等基于数据包的攻击防护；支持带源路由选项IP报文控制功能；支持ARP欺骗防御功能，支持自定义设置网关MAC广播间隔时间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10、支持对欺骗攻击、注入攻击、跨站请求伪造、跨站脚本攻击、代码执行、释放重利用等多种类别的威胁进行检测和防御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11、支持基于带宽、源地址、优先级、权重、会话、带宽+会话等多种负载分担方式，其中必须支持基于会话、带宽+会话的负载分担技术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12、免费升级APP、URL授权/5年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台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92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bCs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Cs/>
                <w:color w:val="000000" w:themeColor="text1"/>
              </w:rPr>
              <w:lastRenderedPageBreak/>
              <w:t>五、全网城域网维保服务</w:t>
            </w: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维保服务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6A3AD0" w:rsidRDefault="000672FD" w:rsidP="005E1868">
            <w:pPr>
              <w:spacing w:line="320" w:lineRule="exact"/>
              <w:rPr>
                <w:rFonts w:ascii="宋体" w:eastAsiaTheme="minorEastAsia" w:hAnsi="宋体"/>
                <w:color w:val="FF0000"/>
              </w:rPr>
            </w:pPr>
            <w:r w:rsidRPr="000851F9">
              <w:rPr>
                <w:rFonts w:ascii="宋体" w:hAnsi="宋体" w:hint="eastAsia"/>
                <w:color w:val="FF0000"/>
              </w:rPr>
              <w:t>具体清单详见</w:t>
            </w:r>
            <w:r>
              <w:rPr>
                <w:rFonts w:ascii="宋体" w:hAnsi="宋体" w:hint="eastAsia"/>
                <w:color w:val="FF0000"/>
              </w:rPr>
              <w:t>2019年</w:t>
            </w:r>
            <w:r w:rsidRPr="009D521E">
              <w:rPr>
                <w:rFonts w:ascii="宋体" w:eastAsiaTheme="minorEastAsia" w:hAnsi="宋体" w:hint="eastAsia"/>
                <w:color w:val="FF0000"/>
              </w:rPr>
              <w:t>万载县教育城域网购买服务采购项目</w:t>
            </w:r>
            <w:r w:rsidRPr="000851F9">
              <w:rPr>
                <w:rFonts w:ascii="宋体" w:hAnsi="宋体" w:hint="eastAsia"/>
                <w:color w:val="FF0000"/>
              </w:rPr>
              <w:t>招标采购清单（详见附件）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年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3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92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bCs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Cs/>
                <w:color w:val="000000" w:themeColor="text1"/>
              </w:rPr>
              <w:t>六、IPV6改造服务及流量分析服务</w:t>
            </w: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IPV6双栈安全系统及改造实施服务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1. 标准机架设备，高度≥2U，X86架构,冗余电源；</w:t>
            </w:r>
          </w:p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2. 实网带宽 3GB 内置600G*2+16T*6,内存64GB；</w:t>
            </w:r>
          </w:p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3. 本次配置：≥3个千兆电口≥2个万兆光口≥2VGA口≥≥5USB口≥3个网卡拓展槽；</w:t>
            </w:r>
          </w:p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4.支持设置分析颗粒度，1秒、10秒、1分钟、5分钟、10分钟、1小时、1天；</w:t>
            </w:r>
          </w:p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5. 在集控平台中添加服务器，以进行集中管控，设置项包括地址、端口、服务器名、账号、密码、是否保存密码、是否数据压缩；</w:t>
            </w:r>
          </w:p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6. 支持基于物理地址维度进行数据链路层故障解析，包括ARP格式违规、ARP 请求风暴、ARP 扫描、ARP太多无请求应答故障诊断解析；</w:t>
            </w:r>
          </w:p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7. 支持基于物理会话维度进行数据链路层故障解析，包括ARP格式违规、ARP 请求风暴、ARP 扫描、ARP太多无请求应答故障诊断解析；</w:t>
            </w:r>
          </w:p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8. 对选中的对应的数据报文进行在线解码分析；支持中英文双语协议解码功能；支持流追踪功能；提供针对TCP会话的时序图分析功能，能够图形化的显示TCP会话中的数据交互传输过程，能够图形化显示数据传输中的时间间隔；</w:t>
            </w:r>
          </w:p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9. 三年原厂质保服务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项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技术支持服务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完成单位IPv6/IPv4的双栈网络的平滑过渡，确保无缝接入IPv6网络。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项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互联网流量分析与管控系统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1. 标准机架设备，高度≥2U，多核架构设计，双电源冗余，非X86架构；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2.  支持实网带宽5G 内置存储≥2T 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3. 本次配置：≥12个千兆电口（3对bypass），≥12个千兆光口，≥4个万兆光口，≥2个管理MGT口，≥2TB存储，≥2USB口，≥4个扩展槽，≥8GB Flash，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4. 支持路由模式、透明（网桥）模式、混合模式，支持镜像接口，部署模式切换无需重启设备；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5. 基于P2P行为和迅雷行为的应用智能识别技术，应用特征数≥7300，移动应用≥2000，规格总数≥12000；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6. 支持HTTPS解密功能，支持页面及命令行配置解密策略、支持终端类型检测和控制，以及显示终端趋势；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7. 支持WEB Portal认证功能，支持本地认证、Radius认证、LDAP认证 和LDAP用户同步，支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持对接IMC、SAM等常见AAA服务器，支持配置强制重新认证间隔，支持配置认证通过后重定向URL，要求本机自身支持短信认证功能，支持二维码认证；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8. 支持HTTP、SOCKS4/SOCKS5两种代理方式，支持配置代理端口，支持基于原地址和目的地址设置代理策略；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9.支持识别并管控网络中的各类不良及异常行为，其中涵盖私自翻墙访问境外网络、网络游戏、以及非法网站访问等违规操作。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10.支持全面收集各单位互联网会话信息，并依据要求进行数据过滤，对收集的日志进行范式化规整，使规整后的日志对接上送至监管部门，满足监管部门对员工异常上网行为分析的数据支持，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11.满足管理部门对网络安全的分析研判支持，满足90天日志存储要求。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12.原厂三年维保服务, 配置≥3年应用识别/URL过滤特征库升级授权；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套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互联网流量分析平台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1.为单位提供技术支持，帮助客户梳理网络拓扑，对单位IP进行梳理，落实好网络管理。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2.协助客户溯源“翻墙”行为，锁定翻墙行为人。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3.定期为客户生成防翻墙分析报表，展示翻墙总量趋势图、翻墙拦截趋势图、翻墙应用分布图、翻墙用户分析包括用户名、所属用户组、源IP、终端类型、翻墙应用TOP、代理服务器归属地TOP、统计次数的说明等信息，形成防翻墙报告。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4.定期更新翻墙软件，VPN通道库，确保能够及时有效识别各种翻墙行为。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年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3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日志审计系统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1. 标准1U标准机架设备，双电源，不低于32G SSD系统盘不低于6TB硬盘，不低于6GE，不低于2SFP，不低于2USB，不低于1扩展槽；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2.日志处理速率不低于2500EPS，日志审计授权不低于30节点；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3. 支持定制任务进行日志数据采集扩展，包括文本格式、目录下文本和数据库格式日志采集，支持编辑正则表达式和SQL语句进行日志采集，支持设置自定义任务时间；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4. 支持SNMP Trap、Syslog、ODBC\JDBC、文件\文件夹、WMI、FTP、SFTP、SMB、NetBIOS、OPSEC等多种方式完成日志收集功能；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5. 支持对主流安全设备、网络设备、服务器、终端、数据库、中间件、大数据组件、应用系统等设备系统进行日志采集，包括交换机和路由器、虚拟化及云计算平台、蜜罐系统、终端管理系统、防火墙、VPN、防病毒网关、入侵检测系统、入侵防御系统、WAF、内容过滤网关、负载均衡设备、数据库设备、Windows/Linux操作系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统、隔离交换设备等设备组件系统等；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6. 支持关联分析的结果进行告警重定义功能，能够对规则触发的告警时间和关联后事件的任意字段进行重定义，包括修订告警级别和告警类型等；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7. 支持基于日志查询任务模式的日志导出功能、支持日志数据的存储压缩加密，同时保存原始日志和范式化后的日志；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8. 支持基于规则的关联分析引擎，能够提供逻辑关联、统计关联的关联分析能力，关联规则支持规则嵌套和引用，通过多规则联合，可精确识别复杂安全事件和场景；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9. 支持首页展示日志采集总量、日志采集趋势、最新24小时活跃日志源TOP10、最近24小时告警TOP10、最近24小时告警等级分布、高频日志分类；并且告警列表、告警等级分布、高频日志分类支持下钻；</w:t>
            </w: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br/>
              <w:t>10.包含原厂三年维保服务。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lastRenderedPageBreak/>
              <w:t>台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92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481395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bCs/>
                <w:color w:val="000000" w:themeColor="text1"/>
              </w:rPr>
            </w:pPr>
            <w:r w:rsidRPr="00481395">
              <w:rPr>
                <w:rFonts w:asciiTheme="minorEastAsia" w:eastAsiaTheme="minorEastAsia" w:hAnsiTheme="minorEastAsia" w:cs="仿宋_GB2312" w:hint="eastAsia"/>
                <w:bCs/>
                <w:color w:val="000000" w:themeColor="text1"/>
              </w:rPr>
              <w:lastRenderedPageBreak/>
              <w:t>七、等保测评服务</w:t>
            </w: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网络安全二级等保测评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遵照“GB/T 28448-2019”、“GB/T 28449-2018”、“GB/T22239-2019”等技术标准，从安全物理环境、安全通信网络、安全区域边界、计算和设备安全、安全管理中心、安全管理制度、安全管理机构、安全人员管理、安全建设管理、安全运维管理等10个层面进行二级等保测评，获取全国等级保护测评机构先进单位的等保测评机构从安全控制间、层面间、区域间和系统结构间的综合分析进行深入剖析，根据分析出的安全隐患和薄弱环节，找出信息系统与国家技术标准要求之间的差距，并指导整改提升。</w:t>
            </w:r>
          </w:p>
          <w:p w:rsidR="000672FD" w:rsidRPr="00BA77FC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交付成果：《等级测评报告》。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BA77FC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次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92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八、校园安防设备割接、供网</w:t>
            </w:r>
          </w:p>
        </w:tc>
      </w:tr>
      <w:tr w:rsidR="000672FD" w:rsidRPr="00481395" w:rsidTr="005E1868">
        <w:trPr>
          <w:trHeight w:val="510"/>
          <w:jc w:val="center"/>
        </w:trPr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校园安防设备割接、供网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FF0000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</w:rPr>
              <w:t>做好校园安防网络设备设施（见附件《校园安防项目中标商品清单》）割接（割接费用由中标供应商承担）对接工作，提供校园安防平台及前端设备网络保障（不含校园安防设备运维费用）。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2FD" w:rsidRPr="00BA77FC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年</w:t>
            </w:r>
          </w:p>
        </w:tc>
        <w:tc>
          <w:tcPr>
            <w:tcW w:w="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spacing w:line="32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  <w:r w:rsidRPr="00BA77FC">
              <w:rPr>
                <w:rFonts w:asciiTheme="minorEastAsia" w:eastAsiaTheme="minorEastAsia" w:hAnsiTheme="minorEastAsia" w:cs="仿宋_GB2312" w:hint="eastAsia"/>
                <w:color w:val="000000" w:themeColor="text1"/>
              </w:rPr>
              <w:t>3</w:t>
            </w:r>
          </w:p>
        </w:tc>
        <w:tc>
          <w:tcPr>
            <w:tcW w:w="7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72FD" w:rsidRPr="00BA77FC" w:rsidRDefault="000672FD" w:rsidP="005E1868">
            <w:pPr>
              <w:spacing w:line="320" w:lineRule="exact"/>
              <w:rPr>
                <w:rFonts w:asciiTheme="minorEastAsia" w:eastAsiaTheme="minorEastAsia" w:hAnsiTheme="minorEastAsia" w:cs="仿宋_GB2312"/>
                <w:color w:val="000000" w:themeColor="text1"/>
              </w:rPr>
            </w:pPr>
          </w:p>
        </w:tc>
      </w:tr>
    </w:tbl>
    <w:p w:rsidR="000672FD" w:rsidRPr="000672FD" w:rsidRDefault="000672FD" w:rsidP="000672FD"/>
    <w:sectPr w:rsidR="000672FD" w:rsidRPr="000672FD" w:rsidSect="00210636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365B" w:rsidRDefault="006D365B" w:rsidP="00211246">
      <w:r>
        <w:separator/>
      </w:r>
    </w:p>
  </w:endnote>
  <w:endnote w:type="continuationSeparator" w:id="1">
    <w:p w:rsidR="006D365B" w:rsidRDefault="006D365B" w:rsidP="002112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365B" w:rsidRDefault="006D365B" w:rsidP="00211246">
      <w:r>
        <w:separator/>
      </w:r>
    </w:p>
  </w:footnote>
  <w:footnote w:type="continuationSeparator" w:id="1">
    <w:p w:rsidR="006D365B" w:rsidRDefault="006D365B" w:rsidP="002112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34D6F68"/>
    <w:multiLevelType w:val="singleLevel"/>
    <w:tmpl w:val="834D6F68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ABFF6203"/>
    <w:multiLevelType w:val="singleLevel"/>
    <w:tmpl w:val="ABFF6203"/>
    <w:lvl w:ilvl="0">
      <w:start w:val="3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DB0BD9D0"/>
    <w:multiLevelType w:val="singleLevel"/>
    <w:tmpl w:val="DB0BD9D0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DDFEFC9D"/>
    <w:multiLevelType w:val="singleLevel"/>
    <w:tmpl w:val="DDFEFC9D"/>
    <w:lvl w:ilvl="0">
      <w:start w:val="3"/>
      <w:numFmt w:val="decimal"/>
      <w:suff w:val="nothing"/>
      <w:lvlText w:val="%1）"/>
      <w:lvlJc w:val="left"/>
    </w:lvl>
  </w:abstractNum>
  <w:abstractNum w:abstractNumId="4">
    <w:nsid w:val="E18CB6F5"/>
    <w:multiLevelType w:val="singleLevel"/>
    <w:tmpl w:val="E18CB6F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5">
    <w:nsid w:val="E7B0A701"/>
    <w:multiLevelType w:val="singleLevel"/>
    <w:tmpl w:val="E7B0A701"/>
    <w:lvl w:ilvl="0">
      <w:start w:val="6"/>
      <w:numFmt w:val="chineseCounting"/>
      <w:suff w:val="nothing"/>
      <w:lvlText w:val="%1、"/>
      <w:lvlJc w:val="left"/>
      <w:rPr>
        <w:rFonts w:hint="eastAsia"/>
        <w:b/>
        <w:bCs/>
      </w:rPr>
    </w:lvl>
  </w:abstractNum>
  <w:abstractNum w:abstractNumId="6">
    <w:nsid w:val="EA36093F"/>
    <w:multiLevelType w:val="singleLevel"/>
    <w:tmpl w:val="EA36093F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7">
    <w:nsid w:val="F5B6CA56"/>
    <w:multiLevelType w:val="multilevel"/>
    <w:tmpl w:val="F5B6CA56"/>
    <w:lvl w:ilvl="0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FDDC488C"/>
    <w:multiLevelType w:val="singleLevel"/>
    <w:tmpl w:val="FDDC488C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9">
    <w:nsid w:val="FEFEFC22"/>
    <w:multiLevelType w:val="singleLevel"/>
    <w:tmpl w:val="FEFEFC22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0">
    <w:nsid w:val="023A115F"/>
    <w:multiLevelType w:val="singleLevel"/>
    <w:tmpl w:val="023A115F"/>
    <w:lvl w:ilvl="0">
      <w:start w:val="1"/>
      <w:numFmt w:val="decimal"/>
      <w:lvlText w:val="%1."/>
      <w:lvlJc w:val="left"/>
      <w:pPr>
        <w:ind w:left="420" w:hanging="420"/>
      </w:pPr>
    </w:lvl>
  </w:abstractNum>
  <w:abstractNum w:abstractNumId="11">
    <w:nsid w:val="1EA32655"/>
    <w:multiLevelType w:val="singleLevel"/>
    <w:tmpl w:val="1EA32655"/>
    <w:lvl w:ilvl="0">
      <w:start w:val="1"/>
      <w:numFmt w:val="decimal"/>
      <w:suff w:val="nothing"/>
      <w:lvlText w:val="%1、"/>
      <w:lvlJc w:val="left"/>
    </w:lvl>
  </w:abstractNum>
  <w:abstractNum w:abstractNumId="12">
    <w:nsid w:val="1F2C179E"/>
    <w:multiLevelType w:val="multilevel"/>
    <w:tmpl w:val="1F2C179E"/>
    <w:lvl w:ilvl="0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3">
    <w:nsid w:val="44376F24"/>
    <w:multiLevelType w:val="singleLevel"/>
    <w:tmpl w:val="44376F24"/>
    <w:lvl w:ilvl="0">
      <w:start w:val="6"/>
      <w:numFmt w:val="chineseCounting"/>
      <w:suff w:val="space"/>
      <w:lvlText w:val="第%1章"/>
      <w:lvlJc w:val="left"/>
      <w:rPr>
        <w:rFonts w:hint="eastAsia"/>
      </w:rPr>
    </w:lvl>
  </w:abstractNum>
  <w:abstractNum w:abstractNumId="14">
    <w:nsid w:val="4FFDDFE7"/>
    <w:multiLevelType w:val="singleLevel"/>
    <w:tmpl w:val="4FFDDFE7"/>
    <w:lvl w:ilvl="0">
      <w:start w:val="1"/>
      <w:numFmt w:val="decimal"/>
      <w:lvlText w:val="%1."/>
      <w:lvlJc w:val="left"/>
      <w:pPr>
        <w:ind w:left="420" w:hanging="420"/>
      </w:pPr>
    </w:lvl>
  </w:abstractNum>
  <w:abstractNum w:abstractNumId="15">
    <w:nsid w:val="5EAF8579"/>
    <w:multiLevelType w:val="multilevel"/>
    <w:tmpl w:val="5EAF8579"/>
    <w:lvl w:ilvl="0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60F73129"/>
    <w:multiLevelType w:val="singleLevel"/>
    <w:tmpl w:val="60F73129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7">
    <w:nsid w:val="74AF2EA3"/>
    <w:multiLevelType w:val="singleLevel"/>
    <w:tmpl w:val="74AF2EA3"/>
    <w:lvl w:ilvl="0">
      <w:start w:val="1"/>
      <w:numFmt w:val="decimal"/>
      <w:lvlText w:val="%1."/>
      <w:lvlJc w:val="left"/>
      <w:pPr>
        <w:ind w:left="420" w:hanging="420"/>
      </w:pPr>
    </w:lvl>
  </w:abstractNum>
  <w:num w:numId="1">
    <w:abstractNumId w:val="2"/>
  </w:num>
  <w:num w:numId="2">
    <w:abstractNumId w:val="11"/>
  </w:num>
  <w:num w:numId="3">
    <w:abstractNumId w:val="0"/>
  </w:num>
  <w:num w:numId="4">
    <w:abstractNumId w:val="12"/>
  </w:num>
  <w:num w:numId="5">
    <w:abstractNumId w:val="15"/>
  </w:num>
  <w:num w:numId="6">
    <w:abstractNumId w:val="7"/>
  </w:num>
  <w:num w:numId="7">
    <w:abstractNumId w:val="10"/>
  </w:num>
  <w:num w:numId="8">
    <w:abstractNumId w:val="14"/>
  </w:num>
  <w:num w:numId="9">
    <w:abstractNumId w:val="17"/>
  </w:num>
  <w:num w:numId="10">
    <w:abstractNumId w:val="8"/>
  </w:num>
  <w:num w:numId="11">
    <w:abstractNumId w:val="16"/>
  </w:num>
  <w:num w:numId="12">
    <w:abstractNumId w:val="5"/>
  </w:num>
  <w:num w:numId="13">
    <w:abstractNumId w:val="6"/>
  </w:num>
  <w:num w:numId="14">
    <w:abstractNumId w:val="13"/>
  </w:num>
  <w:num w:numId="15">
    <w:abstractNumId w:val="4"/>
  </w:num>
  <w:num w:numId="16">
    <w:abstractNumId w:val="9"/>
  </w:num>
  <w:num w:numId="17">
    <w:abstractNumId w:val="3"/>
  </w:num>
  <w:num w:numId="1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46C2A"/>
    <w:rsid w:val="000672FD"/>
    <w:rsid w:val="00085FA9"/>
    <w:rsid w:val="00144772"/>
    <w:rsid w:val="001B46E1"/>
    <w:rsid w:val="00210636"/>
    <w:rsid w:val="00211246"/>
    <w:rsid w:val="00281722"/>
    <w:rsid w:val="002F7B98"/>
    <w:rsid w:val="0039047C"/>
    <w:rsid w:val="004C01BD"/>
    <w:rsid w:val="00524052"/>
    <w:rsid w:val="005637EB"/>
    <w:rsid w:val="005A0174"/>
    <w:rsid w:val="006C2A15"/>
    <w:rsid w:val="006D365B"/>
    <w:rsid w:val="00706244"/>
    <w:rsid w:val="00745A6F"/>
    <w:rsid w:val="00856D30"/>
    <w:rsid w:val="008D1A18"/>
    <w:rsid w:val="00986398"/>
    <w:rsid w:val="009F1457"/>
    <w:rsid w:val="00A60863"/>
    <w:rsid w:val="00A674D0"/>
    <w:rsid w:val="00A91AA8"/>
    <w:rsid w:val="00A93BAF"/>
    <w:rsid w:val="00BC6F5F"/>
    <w:rsid w:val="00C226FD"/>
    <w:rsid w:val="00C46C2A"/>
    <w:rsid w:val="00E46689"/>
    <w:rsid w:val="00FA0319"/>
    <w:rsid w:val="26D6095F"/>
    <w:rsid w:val="2CC279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qFormat="1"/>
    <w:lsdException w:name="header" w:uiPriority="0" w:qFormat="1"/>
    <w:lsdException w:name="footer" w:uiPriority="0" w:qFormat="1"/>
    <w:lsdException w:name="caption" w:uiPriority="35" w:qFormat="1"/>
    <w:lsdException w:name="annotation reference" w:uiPriority="0" w:qFormat="1"/>
    <w:lsdException w:name="Title" w:semiHidden="0" w:uiPriority="10" w:unhideWhenUsed="0" w:qFormat="1"/>
    <w:lsdException w:name="Default Paragraph Font" w:uiPriority="1" w:qFormat="1"/>
    <w:lsdException w:name="Body Text" w:uiPriority="0" w:qFormat="1"/>
    <w:lsdException w:name="Body Text Indent" w:uiPriority="0" w:qFormat="1"/>
    <w:lsdException w:name="Subtitle" w:semiHidden="0" w:uiPriority="0" w:unhideWhenUsed="0" w:qFormat="1"/>
    <w:lsdException w:name="Body Text First Indent" w:uiPriority="0" w:qFormat="1"/>
    <w:lsdException w:name="Body Text First Indent 2" w:semiHidden="0" w:uiPriority="0" w:qFormat="1"/>
    <w:lsdException w:name="Hyperlink" w:uiPriority="0" w:qFormat="1"/>
    <w:lsdException w:name="Strong" w:semiHidden="0" w:uiPriority="0" w:unhideWhenUsed="0" w:qFormat="1"/>
    <w:lsdException w:name="Emphasis" w:semiHidden="0" w:uiPriority="0" w:unhideWhenUsed="0" w:qFormat="1"/>
    <w:lsdException w:name="Plain Text" w:semiHidden="0" w:uiPriority="0" w:unhideWhenUsed="0" w:qFormat="1"/>
    <w:lsdException w:name="Normal (Web)" w:semiHidden="0" w:uiPriority="0" w:unhideWhenUsed="0" w:qFormat="1"/>
    <w:lsdException w:name="Normal Table" w:qFormat="1"/>
    <w:lsdException w:name="Balloon Text" w:uiPriority="0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636"/>
    <w:pPr>
      <w:widowControl w:val="0"/>
      <w:jc w:val="both"/>
    </w:pPr>
    <w:rPr>
      <w:rFonts w:ascii="Times New Roman" w:eastAsia="宋体" w:hAnsi="Times New Roman" w:cs="Times New Roman"/>
      <w:color w:val="000000"/>
      <w:sz w:val="21"/>
    </w:rPr>
  </w:style>
  <w:style w:type="paragraph" w:styleId="1">
    <w:name w:val="heading 1"/>
    <w:basedOn w:val="a"/>
    <w:next w:val="a"/>
    <w:link w:val="1Char"/>
    <w:qFormat/>
    <w:rsid w:val="000672FD"/>
    <w:pPr>
      <w:keepNext/>
      <w:keepLines/>
      <w:kinsoku w:val="0"/>
      <w:autoSpaceDE w:val="0"/>
      <w:autoSpaceDN w:val="0"/>
      <w:adjustRightInd w:val="0"/>
      <w:snapToGrid w:val="0"/>
      <w:spacing w:before="340" w:after="330" w:line="578" w:lineRule="auto"/>
      <w:textAlignment w:val="baseline"/>
      <w:outlineLvl w:val="0"/>
    </w:pPr>
    <w:rPr>
      <w:b/>
      <w:bCs/>
      <w:snapToGrid w:val="0"/>
      <w:kern w:val="44"/>
      <w:sz w:val="44"/>
      <w:szCs w:val="24"/>
      <w:lang w:eastAsia="en-US"/>
    </w:rPr>
  </w:style>
  <w:style w:type="paragraph" w:styleId="2">
    <w:name w:val="heading 2"/>
    <w:basedOn w:val="a"/>
    <w:next w:val="a"/>
    <w:link w:val="2Char"/>
    <w:qFormat/>
    <w:rsid w:val="00210636"/>
    <w:pPr>
      <w:autoSpaceDE w:val="0"/>
      <w:autoSpaceDN w:val="0"/>
      <w:spacing w:before="120" w:line="300" w:lineRule="auto"/>
      <w:jc w:val="center"/>
      <w:outlineLvl w:val="1"/>
    </w:pPr>
    <w:rPr>
      <w:rFonts w:ascii="Arial" w:eastAsia="黑体"/>
      <w:b/>
      <w:sz w:val="30"/>
    </w:rPr>
  </w:style>
  <w:style w:type="paragraph" w:styleId="4">
    <w:name w:val="heading 4"/>
    <w:basedOn w:val="a"/>
    <w:next w:val="a"/>
    <w:link w:val="4Char"/>
    <w:semiHidden/>
    <w:unhideWhenUsed/>
    <w:qFormat/>
    <w:rsid w:val="000672FD"/>
    <w:pPr>
      <w:keepNext/>
      <w:keepLines/>
      <w:widowControl/>
      <w:kinsoku w:val="0"/>
      <w:autoSpaceDE w:val="0"/>
      <w:autoSpaceDN w:val="0"/>
      <w:adjustRightInd w:val="0"/>
      <w:snapToGrid w:val="0"/>
      <w:spacing w:line="372" w:lineRule="auto"/>
      <w:jc w:val="left"/>
      <w:textAlignment w:val="baseline"/>
      <w:outlineLvl w:val="3"/>
    </w:pPr>
    <w:rPr>
      <w:rFonts w:ascii="Arial" w:eastAsia="黑体" w:hAnsi="Arial" w:cs="Arial"/>
      <w:b/>
      <w:snapToGrid w:val="0"/>
      <w:sz w:val="28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nhideWhenUsed/>
    <w:qFormat/>
    <w:rsid w:val="00210636"/>
    <w:pPr>
      <w:spacing w:after="120"/>
    </w:pPr>
  </w:style>
  <w:style w:type="paragraph" w:styleId="a4">
    <w:name w:val="Body Text Indent"/>
    <w:basedOn w:val="a"/>
    <w:link w:val="Char0"/>
    <w:unhideWhenUsed/>
    <w:qFormat/>
    <w:rsid w:val="00210636"/>
    <w:pPr>
      <w:spacing w:after="120"/>
      <w:ind w:leftChars="200" w:left="420"/>
    </w:pPr>
  </w:style>
  <w:style w:type="paragraph" w:styleId="a5">
    <w:name w:val="Plain Text"/>
    <w:basedOn w:val="a"/>
    <w:next w:val="a"/>
    <w:link w:val="Char1"/>
    <w:autoRedefine/>
    <w:qFormat/>
    <w:rsid w:val="00210636"/>
  </w:style>
  <w:style w:type="paragraph" w:styleId="a6">
    <w:name w:val="footer"/>
    <w:basedOn w:val="a"/>
    <w:link w:val="Char2"/>
    <w:unhideWhenUsed/>
    <w:qFormat/>
    <w:rsid w:val="002106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color w:val="auto"/>
      <w:kern w:val="2"/>
      <w:sz w:val="18"/>
      <w:szCs w:val="18"/>
    </w:rPr>
  </w:style>
  <w:style w:type="paragraph" w:styleId="a7">
    <w:name w:val="header"/>
    <w:basedOn w:val="a"/>
    <w:link w:val="Char3"/>
    <w:unhideWhenUsed/>
    <w:qFormat/>
    <w:rsid w:val="002106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color w:val="auto"/>
      <w:kern w:val="2"/>
      <w:sz w:val="18"/>
      <w:szCs w:val="18"/>
    </w:rPr>
  </w:style>
  <w:style w:type="paragraph" w:styleId="a8">
    <w:name w:val="Normal (Web)"/>
    <w:basedOn w:val="a"/>
    <w:link w:val="Char4"/>
    <w:qFormat/>
    <w:rsid w:val="00210636"/>
    <w:pPr>
      <w:spacing w:before="100" w:beforeAutospacing="1" w:after="100" w:afterAutospacing="1"/>
    </w:pPr>
    <w:rPr>
      <w:rFonts w:ascii="宋体" w:hAnsi="宋体" w:cs="宋体"/>
      <w:sz w:val="24"/>
    </w:rPr>
  </w:style>
  <w:style w:type="paragraph" w:styleId="a9">
    <w:name w:val="Body Text First Indent"/>
    <w:basedOn w:val="a3"/>
    <w:link w:val="Char5"/>
    <w:unhideWhenUsed/>
    <w:qFormat/>
    <w:rsid w:val="00210636"/>
    <w:pPr>
      <w:ind w:firstLineChars="100" w:firstLine="420"/>
    </w:pPr>
  </w:style>
  <w:style w:type="paragraph" w:styleId="20">
    <w:name w:val="Body Text First Indent 2"/>
    <w:basedOn w:val="a4"/>
    <w:link w:val="2Char1"/>
    <w:autoRedefine/>
    <w:unhideWhenUsed/>
    <w:qFormat/>
    <w:rsid w:val="00210636"/>
    <w:pPr>
      <w:ind w:firstLineChars="200" w:firstLine="420"/>
    </w:pPr>
  </w:style>
  <w:style w:type="table" w:styleId="aa">
    <w:name w:val="Table Grid"/>
    <w:basedOn w:val="a1"/>
    <w:qFormat/>
    <w:rsid w:val="0021063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3">
    <w:name w:val="页眉 Char"/>
    <w:basedOn w:val="a0"/>
    <w:link w:val="a7"/>
    <w:qFormat/>
    <w:rsid w:val="00210636"/>
    <w:rPr>
      <w:sz w:val="18"/>
      <w:szCs w:val="18"/>
    </w:rPr>
  </w:style>
  <w:style w:type="character" w:customStyle="1" w:styleId="Char2">
    <w:name w:val="页脚 Char"/>
    <w:basedOn w:val="a0"/>
    <w:link w:val="a6"/>
    <w:qFormat/>
    <w:rsid w:val="00210636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qFormat/>
    <w:rsid w:val="00210636"/>
    <w:rPr>
      <w:rFonts w:ascii="Arial" w:eastAsia="黑体" w:hAnsi="Times New Roman" w:cs="Times New Roman"/>
      <w:b/>
      <w:color w:val="000000"/>
      <w:kern w:val="0"/>
      <w:sz w:val="30"/>
      <w:szCs w:val="20"/>
    </w:rPr>
  </w:style>
  <w:style w:type="character" w:customStyle="1" w:styleId="Char6">
    <w:name w:val="纯文本 Char"/>
    <w:basedOn w:val="a0"/>
    <w:link w:val="a5"/>
    <w:qFormat/>
    <w:rsid w:val="00210636"/>
    <w:rPr>
      <w:rFonts w:ascii="宋体" w:eastAsia="宋体" w:hAnsi="Courier New" w:cs="Courier New"/>
      <w:color w:val="000000"/>
      <w:kern w:val="0"/>
      <w:szCs w:val="21"/>
    </w:rPr>
  </w:style>
  <w:style w:type="character" w:customStyle="1" w:styleId="Char0">
    <w:name w:val="正文文本缩进 Char"/>
    <w:basedOn w:val="a0"/>
    <w:link w:val="a4"/>
    <w:uiPriority w:val="99"/>
    <w:qFormat/>
    <w:rsid w:val="00210636"/>
    <w:rPr>
      <w:rFonts w:ascii="Times New Roman" w:eastAsia="宋体" w:hAnsi="Times New Roman" w:cs="Times New Roman"/>
      <w:color w:val="000000"/>
      <w:kern w:val="0"/>
      <w:szCs w:val="20"/>
    </w:rPr>
  </w:style>
  <w:style w:type="character" w:customStyle="1" w:styleId="2Char0">
    <w:name w:val="正文首行缩进 2 Char"/>
    <w:basedOn w:val="Char0"/>
    <w:link w:val="20"/>
    <w:qFormat/>
    <w:rsid w:val="00210636"/>
  </w:style>
  <w:style w:type="character" w:customStyle="1" w:styleId="Char1">
    <w:name w:val="纯文本 Char1"/>
    <w:link w:val="a5"/>
    <w:autoRedefine/>
    <w:qFormat/>
    <w:rsid w:val="00210636"/>
    <w:rPr>
      <w:rFonts w:ascii="Times New Roman" w:eastAsia="宋体" w:hAnsi="Times New Roman" w:cs="Times New Roman"/>
      <w:color w:val="000000"/>
      <w:kern w:val="0"/>
      <w:szCs w:val="20"/>
    </w:rPr>
  </w:style>
  <w:style w:type="character" w:customStyle="1" w:styleId="2Char1">
    <w:name w:val="正文首行缩进 2 Char1"/>
    <w:basedOn w:val="a0"/>
    <w:link w:val="20"/>
    <w:autoRedefine/>
    <w:uiPriority w:val="99"/>
    <w:qFormat/>
    <w:rsid w:val="00210636"/>
    <w:rPr>
      <w:rFonts w:ascii="Times New Roman" w:eastAsia="宋体" w:hAnsi="Times New Roman" w:cs="Times New Roman"/>
      <w:color w:val="000000"/>
      <w:kern w:val="0"/>
      <w:szCs w:val="20"/>
    </w:rPr>
  </w:style>
  <w:style w:type="paragraph" w:styleId="ab">
    <w:name w:val="List Paragraph"/>
    <w:basedOn w:val="a"/>
    <w:uiPriority w:val="99"/>
    <w:qFormat/>
    <w:rsid w:val="00210636"/>
    <w:pPr>
      <w:ind w:firstLineChars="200" w:firstLine="420"/>
    </w:pPr>
  </w:style>
  <w:style w:type="character" w:customStyle="1" w:styleId="Char">
    <w:name w:val="正文文本 Char"/>
    <w:basedOn w:val="a0"/>
    <w:link w:val="a3"/>
    <w:qFormat/>
    <w:rsid w:val="00210636"/>
    <w:rPr>
      <w:rFonts w:ascii="Times New Roman" w:eastAsia="宋体" w:hAnsi="Times New Roman" w:cs="Times New Roman"/>
      <w:color w:val="000000"/>
      <w:kern w:val="0"/>
      <w:szCs w:val="20"/>
    </w:rPr>
  </w:style>
  <w:style w:type="character" w:customStyle="1" w:styleId="Char5">
    <w:name w:val="正文首行缩进 Char"/>
    <w:basedOn w:val="Char"/>
    <w:link w:val="a9"/>
    <w:uiPriority w:val="99"/>
    <w:semiHidden/>
    <w:qFormat/>
    <w:rsid w:val="00210636"/>
  </w:style>
  <w:style w:type="paragraph" w:customStyle="1" w:styleId="10">
    <w:name w:val="列出段落1"/>
    <w:basedOn w:val="a"/>
    <w:link w:val="ac"/>
    <w:qFormat/>
    <w:rsid w:val="00211246"/>
    <w:pPr>
      <w:widowControl/>
      <w:kinsoku w:val="0"/>
      <w:autoSpaceDE w:val="0"/>
      <w:autoSpaceDN w:val="0"/>
      <w:adjustRightInd w:val="0"/>
      <w:snapToGrid w:val="0"/>
      <w:ind w:firstLineChars="200" w:firstLine="420"/>
      <w:jc w:val="left"/>
      <w:textAlignment w:val="baseline"/>
    </w:pPr>
    <w:rPr>
      <w:rFonts w:ascii="Arial" w:eastAsia="Arial" w:hAnsi="Arial" w:cs="Arial"/>
      <w:snapToGrid w:val="0"/>
      <w:szCs w:val="21"/>
      <w:lang w:eastAsia="en-US"/>
    </w:rPr>
  </w:style>
  <w:style w:type="character" w:customStyle="1" w:styleId="ac">
    <w:name w:val="列表段落 字符"/>
    <w:basedOn w:val="a0"/>
    <w:link w:val="10"/>
    <w:qFormat/>
    <w:rsid w:val="00211246"/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character" w:customStyle="1" w:styleId="1Char">
    <w:name w:val="标题 1 Char"/>
    <w:basedOn w:val="a0"/>
    <w:link w:val="1"/>
    <w:rsid w:val="000672FD"/>
    <w:rPr>
      <w:rFonts w:ascii="Times New Roman" w:eastAsia="宋体" w:hAnsi="Times New Roman" w:cs="Times New Roman"/>
      <w:b/>
      <w:bCs/>
      <w:snapToGrid w:val="0"/>
      <w:color w:val="000000"/>
      <w:kern w:val="44"/>
      <w:sz w:val="44"/>
      <w:szCs w:val="24"/>
      <w:lang w:eastAsia="en-US"/>
    </w:rPr>
  </w:style>
  <w:style w:type="character" w:customStyle="1" w:styleId="4Char">
    <w:name w:val="标题 4 Char"/>
    <w:basedOn w:val="a0"/>
    <w:link w:val="4"/>
    <w:semiHidden/>
    <w:qFormat/>
    <w:rsid w:val="000672FD"/>
    <w:rPr>
      <w:rFonts w:ascii="Arial" w:eastAsia="黑体" w:hAnsi="Arial" w:cs="Arial"/>
      <w:b/>
      <w:snapToGrid w:val="0"/>
      <w:color w:val="000000"/>
      <w:sz w:val="28"/>
      <w:szCs w:val="21"/>
      <w:lang w:eastAsia="en-US"/>
    </w:rPr>
  </w:style>
  <w:style w:type="paragraph" w:styleId="ad">
    <w:name w:val="annotation text"/>
    <w:basedOn w:val="a"/>
    <w:link w:val="Char7"/>
    <w:qFormat/>
    <w:rsid w:val="000672FD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Arial" w:eastAsia="Arial" w:hAnsi="Arial" w:cs="Arial"/>
      <w:snapToGrid w:val="0"/>
      <w:szCs w:val="21"/>
      <w:lang w:eastAsia="en-US"/>
    </w:rPr>
  </w:style>
  <w:style w:type="character" w:customStyle="1" w:styleId="Char7">
    <w:name w:val="批注文字 Char"/>
    <w:basedOn w:val="a0"/>
    <w:link w:val="ad"/>
    <w:rsid w:val="000672FD"/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paragraph" w:styleId="ae">
    <w:name w:val="Balloon Text"/>
    <w:basedOn w:val="a"/>
    <w:link w:val="Char8"/>
    <w:qFormat/>
    <w:rsid w:val="000672FD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Arial" w:eastAsia="Arial" w:hAnsi="Arial" w:cs="Arial"/>
      <w:snapToGrid w:val="0"/>
      <w:sz w:val="18"/>
      <w:szCs w:val="18"/>
      <w:lang w:eastAsia="en-US"/>
    </w:rPr>
  </w:style>
  <w:style w:type="character" w:customStyle="1" w:styleId="Char8">
    <w:name w:val="批注框文本 Char"/>
    <w:basedOn w:val="a0"/>
    <w:link w:val="ae"/>
    <w:qFormat/>
    <w:rsid w:val="000672FD"/>
    <w:rPr>
      <w:rFonts w:ascii="Arial" w:eastAsia="Arial" w:hAnsi="Arial" w:cs="Arial"/>
      <w:snapToGrid w:val="0"/>
      <w:color w:val="000000"/>
      <w:sz w:val="18"/>
      <w:szCs w:val="18"/>
      <w:lang w:eastAsia="en-US"/>
    </w:rPr>
  </w:style>
  <w:style w:type="paragraph" w:styleId="af">
    <w:name w:val="Subtitle"/>
    <w:basedOn w:val="a"/>
    <w:next w:val="a"/>
    <w:link w:val="Char9"/>
    <w:qFormat/>
    <w:rsid w:val="000672FD"/>
    <w:pPr>
      <w:widowControl/>
      <w:kinsoku w:val="0"/>
      <w:autoSpaceDE w:val="0"/>
      <w:autoSpaceDN w:val="0"/>
      <w:adjustRightInd w:val="0"/>
      <w:snapToGrid w:val="0"/>
      <w:spacing w:before="240" w:after="60" w:line="312" w:lineRule="auto"/>
      <w:jc w:val="center"/>
      <w:textAlignment w:val="baseline"/>
      <w:outlineLvl w:val="1"/>
    </w:pPr>
    <w:rPr>
      <w:rFonts w:ascii="Cambria" w:eastAsia="Arial" w:hAnsi="Cambria" w:cs="Arial"/>
      <w:b/>
      <w:bCs/>
      <w:snapToGrid w:val="0"/>
      <w:kern w:val="28"/>
      <w:sz w:val="32"/>
      <w:szCs w:val="32"/>
      <w:lang w:eastAsia="en-US"/>
    </w:rPr>
  </w:style>
  <w:style w:type="character" w:customStyle="1" w:styleId="Char9">
    <w:name w:val="副标题 Char"/>
    <w:basedOn w:val="a0"/>
    <w:link w:val="af"/>
    <w:rsid w:val="000672FD"/>
    <w:rPr>
      <w:rFonts w:ascii="Cambria" w:eastAsia="Arial" w:hAnsi="Cambria" w:cs="Arial"/>
      <w:b/>
      <w:bCs/>
      <w:snapToGrid w:val="0"/>
      <w:color w:val="000000"/>
      <w:kern w:val="28"/>
      <w:sz w:val="32"/>
      <w:szCs w:val="32"/>
      <w:lang w:eastAsia="en-US"/>
    </w:rPr>
  </w:style>
  <w:style w:type="character" w:styleId="af0">
    <w:name w:val="Strong"/>
    <w:basedOn w:val="a0"/>
    <w:qFormat/>
    <w:rsid w:val="000672FD"/>
    <w:rPr>
      <w:b/>
    </w:rPr>
  </w:style>
  <w:style w:type="character" w:styleId="af1">
    <w:name w:val="Emphasis"/>
    <w:qFormat/>
    <w:rsid w:val="000672FD"/>
  </w:style>
  <w:style w:type="character" w:styleId="af2">
    <w:name w:val="Hyperlink"/>
    <w:basedOn w:val="a0"/>
    <w:qFormat/>
    <w:rsid w:val="000672FD"/>
    <w:rPr>
      <w:color w:val="0000FF"/>
      <w:u w:val="single"/>
    </w:rPr>
  </w:style>
  <w:style w:type="character" w:styleId="af3">
    <w:name w:val="annotation reference"/>
    <w:unhideWhenUsed/>
    <w:qFormat/>
    <w:rsid w:val="000672FD"/>
    <w:rPr>
      <w:sz w:val="21"/>
      <w:szCs w:val="21"/>
    </w:rPr>
  </w:style>
  <w:style w:type="paragraph" w:customStyle="1" w:styleId="11">
    <w:name w:val="正文缩进1"/>
    <w:basedOn w:val="a"/>
    <w:qFormat/>
    <w:rsid w:val="000672FD"/>
    <w:pPr>
      <w:widowControl/>
      <w:kinsoku w:val="0"/>
      <w:autoSpaceDE w:val="0"/>
      <w:autoSpaceDN w:val="0"/>
      <w:adjustRightInd w:val="0"/>
      <w:snapToGrid w:val="0"/>
      <w:ind w:firstLineChars="200" w:firstLine="420"/>
      <w:jc w:val="left"/>
      <w:textAlignment w:val="baseline"/>
    </w:pPr>
    <w:rPr>
      <w:rFonts w:ascii="Arial" w:eastAsia="Arial" w:hAnsi="Arial" w:cs="Arial"/>
      <w:snapToGrid w:val="0"/>
      <w:szCs w:val="21"/>
      <w:lang w:eastAsia="en-US"/>
    </w:rPr>
  </w:style>
  <w:style w:type="table" w:customStyle="1" w:styleId="TableNormal">
    <w:name w:val="Table Normal"/>
    <w:semiHidden/>
    <w:unhideWhenUsed/>
    <w:qFormat/>
    <w:rsid w:val="000672FD"/>
    <w:rPr>
      <w:rFonts w:ascii="Times New Roman" w:eastAsia="宋体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sid w:val="000672FD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Arial" w:eastAsia="Arial" w:hAnsi="Arial" w:cs="Arial"/>
      <w:snapToGrid w:val="0"/>
      <w:szCs w:val="21"/>
      <w:lang w:eastAsia="en-US"/>
    </w:rPr>
  </w:style>
  <w:style w:type="paragraph" w:customStyle="1" w:styleId="Heading21">
    <w:name w:val="Heading #2|1"/>
    <w:basedOn w:val="a"/>
    <w:qFormat/>
    <w:rsid w:val="000672FD"/>
    <w:pPr>
      <w:kinsoku w:val="0"/>
      <w:autoSpaceDE w:val="0"/>
      <w:autoSpaceDN w:val="0"/>
      <w:adjustRightInd w:val="0"/>
      <w:snapToGrid w:val="0"/>
      <w:spacing w:after="580" w:line="634" w:lineRule="exact"/>
      <w:jc w:val="center"/>
      <w:textAlignment w:val="baseline"/>
      <w:outlineLvl w:val="1"/>
    </w:pPr>
    <w:rPr>
      <w:rFonts w:ascii="宋体" w:hAnsi="宋体" w:cs="宋体"/>
      <w:snapToGrid w:val="0"/>
      <w:sz w:val="44"/>
      <w:szCs w:val="44"/>
      <w:lang w:val="zh-TW" w:eastAsia="zh-TW" w:bidi="zh-TW"/>
    </w:rPr>
  </w:style>
  <w:style w:type="paragraph" w:customStyle="1" w:styleId="Bodytext1">
    <w:name w:val="Body text|1"/>
    <w:basedOn w:val="a"/>
    <w:qFormat/>
    <w:rsid w:val="000672FD"/>
    <w:pPr>
      <w:kinsoku w:val="0"/>
      <w:autoSpaceDE w:val="0"/>
      <w:autoSpaceDN w:val="0"/>
      <w:adjustRightInd w:val="0"/>
      <w:snapToGrid w:val="0"/>
      <w:spacing w:line="432" w:lineRule="auto"/>
      <w:ind w:firstLine="400"/>
      <w:jc w:val="left"/>
      <w:textAlignment w:val="baseline"/>
    </w:pPr>
    <w:rPr>
      <w:rFonts w:ascii="宋体" w:hAnsi="宋体" w:cs="宋体"/>
      <w:snapToGrid w:val="0"/>
      <w:sz w:val="30"/>
      <w:szCs w:val="30"/>
      <w:lang w:val="zh-TW" w:eastAsia="zh-TW" w:bidi="zh-TW"/>
    </w:rPr>
  </w:style>
  <w:style w:type="paragraph" w:customStyle="1" w:styleId="Bodytext2">
    <w:name w:val="Body text|2"/>
    <w:basedOn w:val="a"/>
    <w:qFormat/>
    <w:rsid w:val="000672FD"/>
    <w:pPr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宋体" w:hAnsi="宋体" w:cs="宋体"/>
      <w:snapToGrid w:val="0"/>
      <w:sz w:val="26"/>
      <w:szCs w:val="26"/>
      <w:lang w:val="zh-TW" w:eastAsia="zh-TW" w:bidi="zh-TW"/>
    </w:rPr>
  </w:style>
  <w:style w:type="paragraph" w:customStyle="1" w:styleId="01">
    <w:name w:val="正文_0_1"/>
    <w:qFormat/>
    <w:rsid w:val="000672FD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paragraph" w:customStyle="1" w:styleId="12">
    <w:name w:val="样式1"/>
    <w:basedOn w:val="1"/>
    <w:qFormat/>
    <w:rsid w:val="000672FD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font31">
    <w:name w:val="font31"/>
    <w:qFormat/>
    <w:rsid w:val="000672FD"/>
    <w:rPr>
      <w:rFonts w:ascii="宋体" w:eastAsia="宋体" w:hAnsi="宋体" w:cs="宋体" w:hint="eastAsia"/>
      <w:color w:val="000000"/>
      <w:sz w:val="21"/>
      <w:szCs w:val="21"/>
      <w:u w:val="none"/>
    </w:rPr>
  </w:style>
  <w:style w:type="paragraph" w:customStyle="1" w:styleId="Default">
    <w:name w:val="Default"/>
    <w:qFormat/>
    <w:rsid w:val="000672FD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color w:val="000000"/>
      <w:sz w:val="24"/>
      <w:szCs w:val="24"/>
    </w:rPr>
  </w:style>
  <w:style w:type="character" w:customStyle="1" w:styleId="Char4">
    <w:name w:val="普通(网站) Char"/>
    <w:link w:val="a8"/>
    <w:qFormat/>
    <w:rsid w:val="000672FD"/>
    <w:rPr>
      <w:rFonts w:ascii="宋体" w:eastAsia="宋体" w:hAnsi="宋体" w:cs="宋体"/>
      <w:color w:val="000000"/>
      <w:sz w:val="24"/>
    </w:rPr>
  </w:style>
  <w:style w:type="paragraph" w:styleId="TOC">
    <w:name w:val="TOC Heading"/>
    <w:basedOn w:val="1"/>
    <w:next w:val="a"/>
    <w:uiPriority w:val="39"/>
    <w:semiHidden/>
    <w:unhideWhenUsed/>
    <w:qFormat/>
    <w:rsid w:val="000672FD"/>
    <w:pPr>
      <w:widowControl/>
      <w:kinsoku/>
      <w:autoSpaceDE/>
      <w:autoSpaceDN/>
      <w:adjustRightInd/>
      <w:snapToGrid/>
      <w:spacing w:before="480" w:after="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snapToGrid/>
      <w:color w:val="365F91" w:themeColor="accent1" w:themeShade="BF"/>
      <w:kern w:val="0"/>
      <w:sz w:val="28"/>
      <w:szCs w:val="28"/>
      <w:lang w:eastAsia="zh-CN"/>
    </w:rPr>
  </w:style>
  <w:style w:type="paragraph" w:styleId="21">
    <w:name w:val="toc 2"/>
    <w:basedOn w:val="a"/>
    <w:next w:val="a"/>
    <w:autoRedefine/>
    <w:uiPriority w:val="39"/>
    <w:unhideWhenUsed/>
    <w:qFormat/>
    <w:rsid w:val="000672FD"/>
    <w:pPr>
      <w:widowControl/>
      <w:spacing w:after="100" w:line="276" w:lineRule="auto"/>
      <w:ind w:left="220"/>
      <w:jc w:val="left"/>
    </w:pPr>
    <w:rPr>
      <w:rFonts w:asciiTheme="minorHAnsi" w:eastAsiaTheme="minorEastAsia" w:hAnsiTheme="minorHAnsi" w:cstheme="minorBidi"/>
      <w:color w:val="auto"/>
      <w:sz w:val="22"/>
      <w:szCs w:val="22"/>
    </w:rPr>
  </w:style>
  <w:style w:type="paragraph" w:styleId="13">
    <w:name w:val="toc 1"/>
    <w:basedOn w:val="a"/>
    <w:next w:val="a"/>
    <w:autoRedefine/>
    <w:uiPriority w:val="39"/>
    <w:unhideWhenUsed/>
    <w:qFormat/>
    <w:rsid w:val="000672FD"/>
    <w:pPr>
      <w:widowControl/>
      <w:spacing w:after="100" w:line="276" w:lineRule="auto"/>
      <w:jc w:val="left"/>
    </w:pPr>
    <w:rPr>
      <w:rFonts w:asciiTheme="minorHAnsi" w:eastAsiaTheme="minorEastAsia" w:hAnsiTheme="minorHAnsi" w:cstheme="minorBidi"/>
      <w:color w:val="auto"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qFormat/>
    <w:rsid w:val="000672FD"/>
    <w:pPr>
      <w:widowControl/>
      <w:spacing w:after="100" w:line="276" w:lineRule="auto"/>
      <w:ind w:left="440"/>
      <w:jc w:val="left"/>
    </w:pPr>
    <w:rPr>
      <w:rFonts w:asciiTheme="minorHAnsi" w:eastAsiaTheme="minorEastAsia" w:hAnsiTheme="minorHAnsi" w:cstheme="minorBidi"/>
      <w:color w:val="auto"/>
      <w:sz w:val="22"/>
      <w:szCs w:val="22"/>
    </w:rPr>
  </w:style>
  <w:style w:type="character" w:customStyle="1" w:styleId="font41">
    <w:name w:val="font41"/>
    <w:basedOn w:val="a0"/>
    <w:qFormat/>
    <w:rsid w:val="000672FD"/>
    <w:rPr>
      <w:rFonts w:ascii="宋体" w:eastAsia="宋体" w:hAnsi="宋体" w:cs="宋体" w:hint="eastAsia"/>
      <w:b/>
      <w:bCs/>
      <w:color w:val="000000"/>
      <w:sz w:val="20"/>
      <w:szCs w:val="20"/>
      <w:u w:val="none"/>
    </w:rPr>
  </w:style>
  <w:style w:type="paragraph" w:customStyle="1" w:styleId="WPSOffice1">
    <w:name w:val="WPSOffice手动目录 1"/>
    <w:qFormat/>
    <w:rsid w:val="000672FD"/>
    <w:rPr>
      <w:rFonts w:ascii="Times New Roman" w:eastAsia="宋体" w:hAnsi="Times New Roman" w:cs="Times New Roman"/>
    </w:rPr>
  </w:style>
  <w:style w:type="character" w:customStyle="1" w:styleId="font21">
    <w:name w:val="font21"/>
    <w:basedOn w:val="a0"/>
    <w:rsid w:val="000672FD"/>
    <w:rPr>
      <w:rFonts w:ascii="宋体" w:eastAsia="宋体" w:hAnsi="宋体" w:cs="宋体"/>
      <w:color w:val="000000"/>
      <w:sz w:val="24"/>
      <w:szCs w:val="24"/>
      <w:u w:val="none"/>
    </w:rPr>
  </w:style>
  <w:style w:type="paragraph" w:customStyle="1" w:styleId="AONormal">
    <w:name w:val="AONormal"/>
    <w:qFormat/>
    <w:rsid w:val="000672FD"/>
    <w:pPr>
      <w:autoSpaceDE w:val="0"/>
      <w:autoSpaceDN w:val="0"/>
      <w:adjustRightInd w:val="0"/>
      <w:spacing w:line="400" w:lineRule="exact"/>
      <w:ind w:firstLineChars="200" w:firstLine="440"/>
    </w:pPr>
    <w:rPr>
      <w:rFonts w:ascii="华文楷体" w:eastAsia="华文楷体" w:hAnsi="华文楷体" w:cs="华文楷体"/>
      <w:sz w:val="22"/>
      <w:szCs w:val="21"/>
    </w:rPr>
  </w:style>
  <w:style w:type="paragraph" w:customStyle="1" w:styleId="TableParagraph">
    <w:name w:val="Table Paragraph"/>
    <w:basedOn w:val="a"/>
    <w:uiPriority w:val="1"/>
    <w:qFormat/>
    <w:rsid w:val="000672FD"/>
    <w:pPr>
      <w:jc w:val="left"/>
    </w:pPr>
    <w:rPr>
      <w:rFonts w:ascii="Calibri" w:eastAsia="Calibri" w:hAnsi="Calibri"/>
      <w:color w:val="auto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2401</Words>
  <Characters>13692</Characters>
  <Application>Microsoft Office Word</Application>
  <DocSecurity>0</DocSecurity>
  <Lines>114</Lines>
  <Paragraphs>32</Paragraphs>
  <ScaleCrop>false</ScaleCrop>
  <Company>Microsoft</Company>
  <LinksUpToDate>false</LinksUpToDate>
  <CharactersWithSpaces>16061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微软用户</cp:lastModifiedBy>
  <cp:revision>12</cp:revision>
  <dcterms:created xsi:type="dcterms:W3CDTF">2024-01-19T08:19:00Z</dcterms:created>
  <dcterms:modified xsi:type="dcterms:W3CDTF">2026-06-02T03:10:00Z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eyJoZGlkIjoiMDhhNDQwMmEyOWFiZTMyZmJiMDIxZmRlYTVjMzQ4NzYiLCJ1c2VySWQiOiIyNTkxMTQ5NjIifQ==</vt:lpwstr>
  </property>
  <property fmtid="{D5CDD505-2E9C-101B-9397-08002B2CF9AE}" pid="3" name="KSOProductBuildVer">
    <vt:lpwstr>2052-12.1.0.19770</vt:lpwstr>
  </property>
  <property fmtid="{D5CDD505-2E9C-101B-9397-08002B2CF9AE}" pid="4" name="ICV">
    <vt:lpwstr>955F78887DA948A789673A78CB758F01_12</vt:lpwstr>
  </property>
</Properties>
</file>