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5D187">
      <w:pPr>
        <w:pageBreakBefore w:val="0"/>
        <w:widowControl w:val="0"/>
        <w:wordWrap/>
        <w:overflowPunct/>
        <w:topLinePunct w:val="0"/>
        <w:bidi w:val="0"/>
        <w:spacing w:before="63" w:line="224" w:lineRule="auto"/>
        <w:jc w:val="center"/>
        <w:rPr>
          <w:rFonts w:hint="default" w:ascii="宋体" w:hAnsi="宋体" w:eastAsia="宋体" w:cs="宋体"/>
          <w:color w:val="auto"/>
          <w:sz w:val="31"/>
          <w:szCs w:val="31"/>
          <w:highlight w:val="none"/>
          <w:lang w:val="en-US"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表及采购要求</w:t>
      </w:r>
    </w:p>
    <w:p w14:paraId="60864A4C">
      <w:pPr>
        <w:pageBreakBefore w:val="0"/>
        <w:widowControl w:val="0"/>
        <w:wordWrap/>
        <w:overflowPunct/>
        <w:topLinePunct w:val="0"/>
        <w:bidi w:val="0"/>
        <w:spacing w:before="78" w:line="220" w:lineRule="auto"/>
        <w:jc w:val="both"/>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0" w:name="_Toc24723"/>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采购需求表</w:t>
      </w:r>
      <w:bookmarkEnd w:id="0"/>
    </w:p>
    <w:tbl>
      <w:tblPr>
        <w:tblStyle w:val="5"/>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76"/>
      </w:tblGrid>
      <w:tr w14:paraId="18C5B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12" w:space="0"/>
              <w:left w:val="single" w:color="auto" w:sz="12" w:space="0"/>
              <w:tl2br w:val="single" w:color="auto" w:sz="4" w:space="0"/>
            </w:tcBorders>
          </w:tcPr>
          <w:p w14:paraId="7B99F368">
            <w:pPr>
              <w:spacing w:line="360" w:lineRule="auto"/>
              <w:ind w:firstLine="465"/>
              <w:rPr>
                <w:rFonts w:asciiTheme="minorEastAsia" w:hAnsiTheme="minorEastAsia" w:eastAsiaTheme="minorEastAsia" w:cstheme="minorEastAsia"/>
                <w:color w:val="auto"/>
                <w:sz w:val="24"/>
                <w:highlight w:val="none"/>
              </w:rPr>
            </w:pPr>
          </w:p>
          <w:p w14:paraId="581292D7">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3170248D">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76" w:type="dxa"/>
            <w:tcBorders>
              <w:top w:val="single" w:color="auto" w:sz="12" w:space="0"/>
              <w:right w:val="single" w:color="auto" w:sz="12" w:space="0"/>
            </w:tcBorders>
            <w:vAlign w:val="center"/>
          </w:tcPr>
          <w:p w14:paraId="325F09EE">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邀请”</w:t>
            </w:r>
          </w:p>
        </w:tc>
      </w:tr>
      <w:tr w14:paraId="1F0D4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1B4EDBD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76" w:type="dxa"/>
            <w:tcBorders>
              <w:right w:val="single" w:color="auto" w:sz="12" w:space="0"/>
            </w:tcBorders>
            <w:vAlign w:val="center"/>
          </w:tcPr>
          <w:p w14:paraId="0C40E377">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063F7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25301210">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76" w:type="dxa"/>
            <w:tcBorders>
              <w:right w:val="single" w:color="auto" w:sz="12" w:space="0"/>
            </w:tcBorders>
            <w:vAlign w:val="center"/>
          </w:tcPr>
          <w:p w14:paraId="542989CE">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7B34C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6BB0BF5B">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76" w:type="dxa"/>
            <w:tcBorders>
              <w:right w:val="single" w:color="auto" w:sz="12" w:space="0"/>
            </w:tcBorders>
            <w:vAlign w:val="center"/>
          </w:tcPr>
          <w:p w14:paraId="6CF485DC">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049B4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12" w:space="0"/>
            </w:tcBorders>
            <w:vAlign w:val="center"/>
          </w:tcPr>
          <w:p w14:paraId="711140F8">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76" w:type="dxa"/>
            <w:tcBorders>
              <w:right w:val="single" w:color="auto" w:sz="12" w:space="0"/>
            </w:tcBorders>
            <w:vAlign w:val="center"/>
          </w:tcPr>
          <w:p w14:paraId="456D97B2">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报价包含</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文件所约定的范围内全部内容价格体现的“交钥匙工程”。</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5F1D233A">
      <w:pPr>
        <w:jc w:val="center"/>
        <w:rPr>
          <w:rFonts w:hint="eastAsia" w:asciiTheme="minorEastAsia" w:hAnsiTheme="minorEastAsia" w:eastAsiaTheme="minorEastAsia" w:cstheme="minorEastAsia"/>
          <w:color w:val="auto"/>
          <w:spacing w:val="-6"/>
          <w:sz w:val="52"/>
          <w:highlight w:val="none"/>
          <w:lang w:eastAsia="zh-CN"/>
        </w:rPr>
      </w:pPr>
    </w:p>
    <w:p w14:paraId="68BF4118">
      <w:pPr>
        <w:pStyle w:val="3"/>
        <w:rPr>
          <w:rFonts w:hint="eastAsia"/>
          <w:color w:val="auto"/>
          <w:highlight w:val="none"/>
          <w:lang w:eastAsia="zh-CN"/>
        </w:rPr>
      </w:pPr>
    </w:p>
    <w:p w14:paraId="12A30934">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4166A94E">
      <w:pPr>
        <w:pageBreakBefore w:val="0"/>
        <w:widowControl w:val="0"/>
        <w:wordWrap/>
        <w:overflowPunct/>
        <w:topLinePunct w:val="0"/>
        <w:bidi w:val="0"/>
        <w:spacing w:before="78" w:after="0" w:afterLines="100" w:afterAutospacing="0" w:line="220" w:lineRule="auto"/>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1" w:name="_Toc507597381"/>
      <w:bookmarkStart w:id="2" w:name="_Toc28194"/>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二、采购要求</w:t>
      </w:r>
      <w:bookmarkEnd w:id="1"/>
      <w:bookmarkEnd w:id="2"/>
    </w:p>
    <w:p w14:paraId="13CE2050">
      <w:pPr>
        <w:adjustRightInd w:val="0"/>
        <w:spacing w:line="360" w:lineRule="auto"/>
        <w:jc w:val="both"/>
        <w:rPr>
          <w:color w:val="auto"/>
          <w:sz w:val="24"/>
          <w:szCs w:val="24"/>
          <w:highlight w:val="none"/>
        </w:rPr>
      </w:pPr>
      <w:r>
        <w:rPr>
          <w:rFonts w:hint="eastAsia"/>
          <w:color w:val="auto"/>
          <w:sz w:val="24"/>
          <w:szCs w:val="24"/>
          <w:highlight w:val="none"/>
        </w:rPr>
        <w:t>（一）技术规格（工程需求）</w:t>
      </w:r>
    </w:p>
    <w:p w14:paraId="3BF3F18B">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1、工程概况</w:t>
      </w:r>
    </w:p>
    <w:p w14:paraId="14439E14">
      <w:pPr>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 xml:space="preserve">本项目位于章贡区赞贤路1号6、7、8层，建筑面积约2500平方米，现有条件无法满足日常办公需求，需重新规划办公区、会议室等功能区域，提高空间利用率。 </w:t>
      </w:r>
      <w:r>
        <w:rPr>
          <w:rFonts w:hint="eastAsia" w:ascii="宋体" w:hAnsi="宋体"/>
          <w:color w:val="auto"/>
          <w:sz w:val="24"/>
          <w:szCs w:val="24"/>
          <w:highlight w:val="none"/>
        </w:rPr>
        <w:t>改造范围为</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7、8楼，对三层楼的老化电路等基础设施进行修缮更新，</w:t>
      </w:r>
      <w:r>
        <w:rPr>
          <w:rFonts w:hint="eastAsia" w:ascii="宋体" w:hAnsi="宋体"/>
          <w:color w:val="auto"/>
          <w:sz w:val="24"/>
          <w:szCs w:val="24"/>
          <w:highlight w:val="none"/>
          <w:lang w:val="en-US" w:eastAsia="zh-CN"/>
        </w:rPr>
        <w:t>改造范围包含拆除工程、装饰装修、水电改造、暖通工程等。6楼进行简单刷墙、增设两个房门等简单改造，主要改造7、8楼。</w:t>
      </w:r>
      <w:r>
        <w:rPr>
          <w:rFonts w:hint="eastAsia" w:ascii="宋体" w:hAnsi="宋体"/>
          <w:color w:val="auto"/>
          <w:sz w:val="24"/>
          <w:szCs w:val="24"/>
          <w:highlight w:val="none"/>
        </w:rPr>
        <w:t>施工现场、交通运输情况及自然地理条件由投标人自行现场勘察。</w:t>
      </w:r>
    </w:p>
    <w:p w14:paraId="4B8C7FAC">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2、工作内容</w:t>
      </w:r>
    </w:p>
    <w:p w14:paraId="70669A2B">
      <w:pPr>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rPr>
        <w:t>2.1、合同签订后</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0日历天内完成本采购项目</w:t>
      </w:r>
      <w:r>
        <w:rPr>
          <w:rFonts w:hint="eastAsia" w:ascii="宋体" w:hAnsi="宋体"/>
          <w:color w:val="auto"/>
          <w:sz w:val="24"/>
          <w:szCs w:val="24"/>
          <w:highlight w:val="none"/>
          <w:lang w:val="en-US" w:eastAsia="zh-CN"/>
        </w:rPr>
        <w:t>工程量</w:t>
      </w:r>
      <w:r>
        <w:rPr>
          <w:rFonts w:hint="eastAsia" w:ascii="宋体" w:hAnsi="宋体"/>
          <w:color w:val="auto"/>
          <w:sz w:val="24"/>
          <w:szCs w:val="24"/>
          <w:highlight w:val="none"/>
        </w:rPr>
        <w:t>清单内及施工图纸包含的所有工作内容。</w:t>
      </w:r>
    </w:p>
    <w:p w14:paraId="6161E3EB">
      <w:pPr>
        <w:widowControl/>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2</w:t>
      </w:r>
      <w:r>
        <w:rPr>
          <w:rFonts w:hint="eastAsia" w:ascii="宋体" w:hAnsi="宋体"/>
          <w:color w:val="auto"/>
          <w:sz w:val="24"/>
          <w:szCs w:val="24"/>
          <w:highlight w:val="none"/>
        </w:rPr>
        <w:t>、响应报价不能超过清单单价和总价</w:t>
      </w:r>
      <w:r>
        <w:rPr>
          <w:rFonts w:hint="eastAsia" w:ascii="宋体" w:hAnsi="宋体" w:eastAsia="宋体"/>
          <w:color w:val="auto"/>
          <w:sz w:val="24"/>
          <w:szCs w:val="24"/>
          <w:highlight w:val="none"/>
          <w:lang w:eastAsia="zh-CN"/>
        </w:rPr>
        <w:t>，</w:t>
      </w:r>
      <w:r>
        <w:rPr>
          <w:rFonts w:hint="eastAsia" w:hAnsi="宋体"/>
          <w:b/>
          <w:bCs w:val="0"/>
          <w:color w:val="auto"/>
          <w:sz w:val="24"/>
          <w:szCs w:val="24"/>
          <w:highlight w:val="none"/>
        </w:rPr>
        <w:t>否则视为无效响应</w:t>
      </w:r>
      <w:r>
        <w:rPr>
          <w:rFonts w:hint="eastAsia"/>
          <w:color w:val="auto"/>
          <w:sz w:val="24"/>
          <w:szCs w:val="24"/>
          <w:highlight w:val="none"/>
        </w:rPr>
        <w:t>。</w:t>
      </w:r>
    </w:p>
    <w:p w14:paraId="54ECEFF9">
      <w:pPr>
        <w:widowControl/>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209F6FA9">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1250C520">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eastAsia="宋体"/>
          <w:color w:val="auto"/>
          <w:sz w:val="24"/>
          <w:szCs w:val="24"/>
          <w:highlight w:val="none"/>
          <w:lang w:val="en-US" w:eastAsia="zh-CN"/>
        </w:rPr>
        <w:t>5</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5DBBDC40">
      <w:pPr>
        <w:spacing w:line="360" w:lineRule="auto"/>
        <w:jc w:val="both"/>
        <w:rPr>
          <w:rFonts w:hAnsi="宋体"/>
          <w:color w:val="auto"/>
          <w:sz w:val="24"/>
          <w:szCs w:val="24"/>
          <w:highlight w:val="none"/>
        </w:rPr>
      </w:pPr>
      <w:r>
        <w:rPr>
          <w:rFonts w:hint="eastAsia" w:ascii="宋体" w:hAnsi="宋体"/>
          <w:color w:val="auto"/>
          <w:sz w:val="24"/>
          <w:szCs w:val="24"/>
          <w:highlight w:val="none"/>
        </w:rPr>
        <w:t>2.6、</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14:paraId="57ED9D4F">
      <w:pPr>
        <w:spacing w:line="360" w:lineRule="auto"/>
        <w:jc w:val="both"/>
        <w:rPr>
          <w:rFonts w:hAnsi="宋体"/>
          <w:color w:val="auto"/>
          <w:sz w:val="24"/>
          <w:szCs w:val="24"/>
          <w:highlight w:val="none"/>
        </w:rPr>
      </w:pPr>
      <w:r>
        <w:rPr>
          <w:rFonts w:hint="eastAsia" w:ascii="宋体" w:hAnsi="宋体"/>
          <w:color w:val="auto"/>
          <w:sz w:val="24"/>
          <w:szCs w:val="24"/>
          <w:highlight w:val="none"/>
        </w:rPr>
        <w:t>（</w:t>
      </w:r>
      <w:r>
        <w:rPr>
          <w:rFonts w:hint="eastAsia" w:ascii="宋体" w:hAnsi="宋体"/>
          <w:color w:val="auto"/>
          <w:sz w:val="24"/>
          <w:szCs w:val="24"/>
          <w:highlight w:val="none"/>
          <w:lang w:val="en-US" w:eastAsia="zh-CN"/>
        </w:rPr>
        <w:t>1</w:t>
      </w:r>
      <w:r>
        <w:rPr>
          <w:rFonts w:hint="eastAsia" w:ascii="宋体" w:hAnsi="宋体"/>
          <w:color w:val="auto"/>
          <w:sz w:val="24"/>
          <w:szCs w:val="24"/>
          <w:highlight w:val="none"/>
        </w:rPr>
        <w:t>）</w:t>
      </w:r>
      <w:r>
        <w:rPr>
          <w:color w:val="auto"/>
          <w:sz w:val="24"/>
          <w:szCs w:val="24"/>
          <w:highlight w:val="none"/>
        </w:rPr>
        <w:t>施工组织部署</w:t>
      </w:r>
    </w:p>
    <w:p w14:paraId="1BE580A7">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14:paraId="45138DB1">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14:paraId="7707E2BD">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14:paraId="0282C8B9">
      <w:pPr>
        <w:spacing w:line="360" w:lineRule="auto"/>
        <w:jc w:val="both"/>
        <w:rPr>
          <w:rFonts w:hint="eastAsia" w:hAnsi="宋体"/>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14:paraId="4D526723">
      <w:pPr>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2.7、相关标准</w:t>
      </w:r>
    </w:p>
    <w:p w14:paraId="7E4BE52D">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执行标准：需遵循《建筑装饰装修工程质量验收标准》。</w:t>
      </w:r>
    </w:p>
    <w:p w14:paraId="3E7351B0">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环保要求：甲醛、苯释放量符合《建筑工程室内环境污染控制标准》GB 50325），完工后需提供第三方空气质量检测报告。</w:t>
      </w:r>
    </w:p>
    <w:p w14:paraId="72377C7D">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rPr>
        <w:t>主要材料参数：</w:t>
      </w:r>
      <w:r>
        <w:rPr>
          <w:rFonts w:hint="eastAsia" w:ascii="宋体" w:hAnsi="宋体"/>
          <w:color w:val="auto"/>
          <w:sz w:val="24"/>
          <w:szCs w:val="24"/>
          <w:highlight w:val="none"/>
          <w:lang w:val="en-US" w:eastAsia="zh-CN"/>
        </w:rPr>
        <w:t>须</w:t>
      </w:r>
      <w:r>
        <w:rPr>
          <w:rFonts w:hint="eastAsia" w:ascii="宋体" w:hAnsi="宋体"/>
          <w:color w:val="auto"/>
          <w:sz w:val="24"/>
          <w:szCs w:val="24"/>
          <w:highlight w:val="none"/>
        </w:rPr>
        <w:t>符合</w:t>
      </w:r>
      <w:r>
        <w:rPr>
          <w:rFonts w:hint="eastAsia" w:ascii="宋体" w:hAnsi="宋体"/>
          <w:color w:val="auto"/>
          <w:sz w:val="24"/>
          <w:szCs w:val="24"/>
          <w:highlight w:val="none"/>
          <w:lang w:val="en-US" w:eastAsia="zh-CN"/>
        </w:rPr>
        <w:t>采购文件要求，并符合</w:t>
      </w:r>
      <w:r>
        <w:rPr>
          <w:rFonts w:hint="eastAsia" w:ascii="宋体" w:hAnsi="宋体"/>
          <w:color w:val="auto"/>
          <w:sz w:val="24"/>
          <w:szCs w:val="24"/>
          <w:highlight w:val="none"/>
        </w:rPr>
        <w:t>‌国家标准、行业标准</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在材料进场前须得到采购人认可</w:t>
      </w:r>
      <w:r>
        <w:rPr>
          <w:rFonts w:hint="eastAsia" w:ascii="宋体" w:hAnsi="宋体"/>
          <w:color w:val="auto"/>
          <w:sz w:val="24"/>
          <w:szCs w:val="24"/>
          <w:highlight w:val="none"/>
          <w:lang w:eastAsia="zh-CN"/>
        </w:rPr>
        <w:t>。</w:t>
      </w:r>
    </w:p>
    <w:p w14:paraId="4418EE85">
      <w:pPr>
        <w:spacing w:line="24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rPr>
        <w:t>施工工艺要求：</w:t>
      </w:r>
      <w:r>
        <w:rPr>
          <w:rFonts w:hint="eastAsia" w:ascii="宋体" w:hAnsi="宋体"/>
          <w:color w:val="auto"/>
          <w:sz w:val="24"/>
          <w:szCs w:val="24"/>
          <w:highlight w:val="none"/>
          <w:lang w:val="en-US" w:eastAsia="zh-CN"/>
        </w:rPr>
        <w:t>符合</w:t>
      </w:r>
      <w:r>
        <w:rPr>
          <w:rFonts w:hint="eastAsia" w:ascii="宋体" w:hAnsi="宋体"/>
          <w:color w:val="auto"/>
          <w:sz w:val="24"/>
          <w:szCs w:val="24"/>
          <w:highlight w:val="none"/>
        </w:rPr>
        <w:t>‌国家标准、行业标准</w:t>
      </w:r>
      <w:r>
        <w:rPr>
          <w:rFonts w:hint="eastAsia" w:ascii="宋体" w:hAnsi="宋体"/>
          <w:color w:val="auto"/>
          <w:sz w:val="24"/>
          <w:szCs w:val="24"/>
          <w:highlight w:val="none"/>
          <w:lang w:eastAsia="zh-CN"/>
        </w:rPr>
        <w:t>。</w:t>
      </w:r>
    </w:p>
    <w:p w14:paraId="06F3D337">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3、质量标准</w:t>
      </w:r>
    </w:p>
    <w:p w14:paraId="238BA134">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（1）本工程的工程质量必须达到国家施工验收规范合格标准。</w:t>
      </w:r>
    </w:p>
    <w:p w14:paraId="4C892BCD">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（2）供应商应按国家施工验收规范和质量评定标准及设计图纸、施工说明书、</w:t>
      </w:r>
    </w:p>
    <w:p w14:paraId="3AC585B1">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设计变更等技术文件为依据施工。</w:t>
      </w:r>
    </w:p>
    <w:p w14:paraId="51C0F25F">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（3）供应商自报的工程质量标准为合同约定条件，但供应商自报的工程质量标</w:t>
      </w:r>
    </w:p>
    <w:p w14:paraId="07D1E340">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准不得低于采购人对质量的要求确保合格。</w:t>
      </w:r>
    </w:p>
    <w:p w14:paraId="08034747">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如工程质量达不到约定合格条件的部分，一经发现，供应商无条件限期返工，直至达到合同约定条件，并由供应商承担返工费用。返工费后仍达不到约定条件，采购人有权拒付工程款并终止合同，所造成的工程直接与间接损失由供应商承担。并按合同总价款的 3%违约金由供应商支付给采购人，工期计入合同总工期。</w:t>
      </w:r>
    </w:p>
    <w:p w14:paraId="67377CE4">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 xml:space="preserve">（5）供应商采购的主要材料须符合磋商文件的要求，并经采购人验收后才能进场，坚决杜绝不合格材料进入施工现场，否则，采购人有权制止使用并追究供应商的违约责任。 </w:t>
      </w:r>
    </w:p>
    <w:p w14:paraId="5A3D4141">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（6）因采购人原因达不到质量等级约定条件，由采购人承担返工的经济支出，工期相应顺延。</w:t>
      </w:r>
    </w:p>
    <w:p w14:paraId="17FB89C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工程安全要求：</w:t>
      </w:r>
    </w:p>
    <w:p w14:paraId="5C75A502">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（1）供应商必须严格按照有关法律、法规以及当地监管部门有关规定的要求，做好安全防护和文明施工的相关工作。供应商在履行本合同的过程中所造成的一切安全生产事故均由其负全部责任，与采购人无关。</w:t>
      </w:r>
    </w:p>
    <w:p w14:paraId="6010FD45">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成交供应商应按合同约定履行安全职责，严格执行国家、地方政府有关施工安全管理方面的法律、法规及规章制度，同事严格执行采购人制订的本项目安全生产管理方面的规章制度、安全检查程序及施工安全管理要求，以及监理人有关安全工作的指示。</w:t>
      </w:r>
    </w:p>
    <w:p w14:paraId="566F7F26">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（3）严格执行《中华人民共和国安全生产法》、《中华人民共和国建筑法》、《建设工程安全生产管理条例》、《安全生产许可条件》等法律和法规的规定。</w:t>
      </w:r>
    </w:p>
    <w:p w14:paraId="03D520DD">
      <w:pPr>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（4）文明施工：文明施工根据文明施工标准化工地要求和安全文明施工规范，实现达标工地。</w:t>
      </w:r>
    </w:p>
    <w:p w14:paraId="1235E3CE">
      <w:pPr>
        <w:adjustRightInd w:val="0"/>
        <w:spacing w:line="360" w:lineRule="auto"/>
        <w:jc w:val="both"/>
        <w:rPr>
          <w:color w:val="auto"/>
          <w:sz w:val="24"/>
          <w:szCs w:val="24"/>
          <w:highlight w:val="none"/>
        </w:rPr>
      </w:pPr>
      <w:r>
        <w:rPr>
          <w:rFonts w:hint="eastAsia"/>
          <w:color w:val="auto"/>
          <w:sz w:val="24"/>
          <w:szCs w:val="24"/>
          <w:highlight w:val="none"/>
        </w:rPr>
        <w:t>（二）商务条款</w:t>
      </w:r>
    </w:p>
    <w:p w14:paraId="6C5185AA">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lang w:val="en-US" w:eastAsia="zh-CN"/>
        </w:rPr>
      </w:pPr>
      <w:r>
        <w:rPr>
          <w:rFonts w:hint="eastAsia" w:ascii="宋体" w:hAnsi="宋体"/>
          <w:color w:val="auto"/>
          <w:sz w:val="24"/>
          <w:szCs w:val="24"/>
          <w:highlight w:val="none"/>
        </w:rPr>
        <w:t>1、</w:t>
      </w:r>
      <w:r>
        <w:rPr>
          <w:rFonts w:hint="eastAsia" w:ascii="宋体" w:hAnsi="宋体"/>
          <w:color w:val="auto"/>
          <w:sz w:val="24"/>
          <w:szCs w:val="24"/>
          <w:highlight w:val="none"/>
          <w:lang w:val="en-US" w:eastAsia="zh-CN"/>
        </w:rPr>
        <w:t>付款方式：合同签订后支付合同总价的30%，合同项目施工进度达50%时支付合同总价的50%，项目完工后经采购人验收合格后支付合同总价的20%。</w:t>
      </w:r>
    </w:p>
    <w:p w14:paraId="0E2273AC">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24</w:t>
      </w:r>
      <w:r>
        <w:rPr>
          <w:rFonts w:hint="eastAsia" w:ascii="宋体" w:hAnsi="宋体"/>
          <w:color w:val="auto"/>
          <w:sz w:val="24"/>
          <w:szCs w:val="24"/>
          <w:highlight w:val="none"/>
        </w:rPr>
        <w:t>个月</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工程质量保修期按国家规定执行</w:t>
      </w:r>
      <w:r>
        <w:rPr>
          <w:rFonts w:hint="eastAsia" w:ascii="宋体" w:hAnsi="宋体" w:eastAsia="宋体"/>
          <w:color w:val="auto"/>
          <w:sz w:val="24"/>
          <w:szCs w:val="24"/>
          <w:highlight w:val="none"/>
          <w:lang w:eastAsia="zh-CN"/>
        </w:rPr>
        <w:t>。</w:t>
      </w:r>
    </w:p>
    <w:p w14:paraId="7542B599">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3、工期：合同签订后</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0日历天内完成本采购项目</w:t>
      </w:r>
      <w:r>
        <w:rPr>
          <w:rFonts w:hint="eastAsia" w:ascii="宋体" w:hAnsi="宋体"/>
          <w:color w:val="auto"/>
          <w:sz w:val="24"/>
          <w:szCs w:val="24"/>
          <w:highlight w:val="none"/>
          <w:lang w:val="en-US" w:eastAsia="zh-CN"/>
        </w:rPr>
        <w:t>工程量</w:t>
      </w:r>
      <w:r>
        <w:rPr>
          <w:rFonts w:hint="eastAsia" w:ascii="宋体" w:hAnsi="宋体"/>
          <w:color w:val="auto"/>
          <w:sz w:val="24"/>
          <w:szCs w:val="24"/>
          <w:highlight w:val="none"/>
        </w:rPr>
        <w:t>清单内及施工图纸包含的所有工作内容。</w:t>
      </w:r>
    </w:p>
    <w:p w14:paraId="5C4ED860">
      <w:pPr>
        <w:adjustRightInd w:val="0"/>
        <w:spacing w:line="360" w:lineRule="auto"/>
        <w:jc w:val="both"/>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val="en-US" w:eastAsia="zh-CN"/>
        </w:rPr>
        <w:t>采购人指定地点。</w:t>
      </w:r>
    </w:p>
    <w:p w14:paraId="3FE78780">
      <w:pPr>
        <w:adjustRightInd w:val="0"/>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5、工程质量标准：合格</w:t>
      </w:r>
    </w:p>
    <w:p w14:paraId="54CBAAD7">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6、补充条款</w:t>
      </w:r>
    </w:p>
    <w:p w14:paraId="5808073B">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1.对工地现场管理混乱、不严格履行施工合司、出现目标失控的成交供应商，采购人将</w:t>
      </w:r>
    </w:p>
    <w:p w14:paraId="16E2191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书面报告建筑行业主管部门。</w:t>
      </w:r>
    </w:p>
    <w:p w14:paraId="2D454906">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2.成交供应商不得拖欠农民工工资，当发生农民工工作纠纷时(非采购人原因)，施工单</w:t>
      </w:r>
    </w:p>
    <w:p w14:paraId="61417FE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位应积极应对，及时处理。当纠纷干扰到采购人时，采购人可对成交供应商进行处罚，每干扰次处罚人民币50000元，从工程款中扣除。</w:t>
      </w:r>
    </w:p>
    <w:p w14:paraId="26C3E698">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3.由于成交供应商施工工艺、施工方案等原因造成材料、人工、机械、管理、措施等的</w:t>
      </w:r>
    </w:p>
    <w:p w14:paraId="0F2DF34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增加，合同价格不予调整。</w:t>
      </w:r>
    </w:p>
    <w:p w14:paraId="3923952C">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4.成交供应商要做好施工现场及人员管理，非采购人的原因发生的工程事故、人生伤亡</w:t>
      </w:r>
    </w:p>
    <w:p w14:paraId="78F373C9">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事故等均由成交供应商承担责任。</w:t>
      </w:r>
    </w:p>
    <w:p w14:paraId="524904E6">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7、验收</w:t>
      </w:r>
    </w:p>
    <w:p w14:paraId="45BC329E">
      <w:pPr>
        <w:adjustRightInd w:val="0"/>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1 工程竣工后，成交供应商以书面形式向采购人申请验收，采购人在收到验收申请后的七个工作日内，组织相关专业人员对工程进行验收。验收合格，双方在验收报告上签字；无论验收是否合格，验收所产生的费用均由成交供应商支付。</w:t>
      </w:r>
    </w:p>
    <w:p w14:paraId="1E2FBDE7">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 成交供应商须为项目验收提供必需的设备、工具及其他便利条件。验收结果须整改的，成交供应商必须在采购人规定的时间内进行整改，直至整个工程通过验收；</w:t>
      </w:r>
    </w:p>
    <w:p w14:paraId="0EACE88E">
      <w:pPr>
        <w:adjustRightInd w:val="0"/>
        <w:spacing w:line="360" w:lineRule="auto"/>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3 交付验收标准：必须符合国家有关技术规范和质量标准、环保标准或行业标准，验收不合格、存在质量问题，成交供应商必须返工，产生的一切经济损失由成交供应商承担。</w:t>
      </w:r>
    </w:p>
    <w:p w14:paraId="23DDBB61">
      <w:pPr>
        <w:widowControl/>
        <w:spacing w:line="360" w:lineRule="auto"/>
        <w:jc w:val="both"/>
        <w:rPr>
          <w:b/>
          <w:color w:val="auto"/>
          <w:sz w:val="24"/>
          <w:szCs w:val="24"/>
          <w:highlight w:val="none"/>
        </w:rPr>
      </w:pPr>
      <w:r>
        <w:rPr>
          <w:rFonts w:hint="eastAsia"/>
          <w:b/>
          <w:color w:val="auto"/>
          <w:sz w:val="24"/>
          <w:szCs w:val="24"/>
          <w:highlight w:val="none"/>
        </w:rPr>
        <w:t>（三）其他要求</w:t>
      </w:r>
    </w:p>
    <w:p w14:paraId="6D8BDA85">
      <w:pPr>
        <w:spacing w:line="360" w:lineRule="auto"/>
        <w:jc w:val="both"/>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200B5104">
      <w:pPr>
        <w:widowControl/>
        <w:spacing w:line="360" w:lineRule="auto"/>
        <w:jc w:val="both"/>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p>
    <w:p w14:paraId="64BB972F">
      <w:pPr>
        <w:widowControl/>
        <w:spacing w:line="360" w:lineRule="auto"/>
        <w:jc w:val="both"/>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14:paraId="1D0903DB">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14:paraId="237121B1">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5</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14:paraId="09A5B253">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AE099">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3D68C0F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D8209D"/>
    <w:rsid w:val="69D820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2"/>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2026-06-16T02:28:00Z</dcterms:created>
  <dc:creator>WPS_1736134644</dc:creator>
  <cp:lastModifiedBy>WPS_1736134644</cp:lastModifiedBy>
  <dcterms:modified xsi:type="dcterms:W3CDTF">2026-06-16T02:28:40Z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A78741525BDD4F5BA461785CE432BF85_11</vt:lpwstr>
  </property>
  <property fmtid="{D5CDD505-2E9C-101B-9397-08002B2CF9AE}" pid="4" name="KSOTemplateDocerSaveRecord">
    <vt:lpwstr>eyJoZGlkIjoiZDUzN2ZkMmEzZTAyYjlhZWQ5NTYyMWNiN2IyMDg1MzUiLCJ1c2VySWQiOiIxNjcwNjU0OTYxIn0=</vt:lpwstr>
  </property>
</Properties>
</file>