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wordWrap/>
        <w:overflowPunct/>
        <w:topLinePunct w:val="0"/>
        <w:bidi w:val="0"/>
        <w:spacing w:before="63" w:line="224" w:lineRule="auto"/>
        <w:jc w:val="center"/>
        <w:rPr>
          <w:color w:val="auto"/>
          <w:spacing w:val="0"/>
          <w:w w:val="100"/>
          <w:position w:val="0"/>
          <w:highlight w:val="none"/>
          <w:lang w:eastAsia="zh-CN"/>
        </w:rPr>
      </w:pPr>
      <w:r>
        <w:rPr>
          <w:rFonts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货物需求表及采购需求</w:t>
      </w:r>
    </w:p>
    <w:p>
      <w:pPr>
        <w:pageBreakBefore w:val="0"/>
        <w:widowControl w:val="0"/>
        <w:wordWrap/>
        <w:overflowPunct/>
        <w:topLinePunct w:val="0"/>
        <w:bidi w:val="0"/>
        <w:spacing w:before="78" w:line="220" w:lineRule="auto"/>
        <w:outlineLvl w:val="1"/>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pPr>
    </w:p>
    <w:p>
      <w:pPr>
        <w:pageBreakBefore w:val="0"/>
        <w:widowControl w:val="0"/>
        <w:wordWrap/>
        <w:overflowPunct/>
        <w:topLinePunct w:val="0"/>
        <w:bidi w:val="0"/>
        <w:spacing w:before="78" w:line="220" w:lineRule="auto"/>
        <w:outlineLvl w:val="1"/>
        <w:rPr>
          <w:color w:val="auto"/>
          <w:spacing w:val="0"/>
          <w:w w:val="100"/>
          <w:position w:val="0"/>
          <w:highlight w:val="none"/>
        </w:rPr>
      </w:pPr>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货物</w:t>
      </w:r>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需求表</w:t>
      </w:r>
    </w:p>
    <w:tbl>
      <w:tblPr>
        <w:tblStyle w:val="7"/>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292" w:hRule="atLeast"/>
        </w:trPr>
        <w:tc>
          <w:tcPr>
            <w:tcW w:w="1737" w:type="dxa"/>
            <w:tcBorders>
              <w:right w:val="nil"/>
            </w:tcBorders>
          </w:tcPr>
          <w:p>
            <w:pPr>
              <w:pageBreakBefore w:val="0"/>
              <w:widowControl w:val="0"/>
              <w:wordWrap/>
              <w:overflowPunct/>
              <w:topLinePunct w:val="0"/>
              <w:bidi w:val="0"/>
              <w:spacing w:before="183" w:line="223" w:lineRule="auto"/>
              <w:ind w:left="1091"/>
              <w:rPr>
                <w:rFonts w:ascii="宋体" w:hAnsi="宋体" w:eastAsia="宋体" w:cs="宋体"/>
                <w:color w:val="auto"/>
                <w:spacing w:val="0"/>
                <w:w w:val="100"/>
                <w:position w:val="0"/>
                <w:sz w:val="24"/>
                <w:szCs w:val="24"/>
                <w:highlight w:val="none"/>
              </w:rPr>
            </w:pPr>
            <w:bookmarkStart w:id="3" w:name="_GoBack"/>
            <w:r>
              <w:rPr>
                <w:color w:val="auto"/>
                <w:spacing w:val="0"/>
                <w:w w:val="100"/>
                <w:position w:val="0"/>
                <w:highlight w:val="none"/>
              </w:rPr>
              <w:drawing>
                <wp:anchor distT="0" distB="0" distL="0" distR="0" simplePos="0" relativeHeight="251679744" behindDoc="1" locked="0" layoutInCell="1" allowOverlap="1">
                  <wp:simplePos x="0" y="0"/>
                  <wp:positionH relativeFrom="column">
                    <wp:posOffset>16510</wp:posOffset>
                  </wp:positionH>
                  <wp:positionV relativeFrom="paragraph">
                    <wp:posOffset>10160</wp:posOffset>
                  </wp:positionV>
                  <wp:extent cx="1767840" cy="1456690"/>
                  <wp:effectExtent l="0" t="0" r="381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767840" cy="1456690"/>
                          </a:xfrm>
                          <a:prstGeom prst="rect">
                            <a:avLst/>
                          </a:prstGeom>
                        </pic:spPr>
                      </pic:pic>
                    </a:graphicData>
                  </a:graphic>
                </wp:anchor>
              </w:drawing>
            </w:r>
            <w:bookmarkEnd w:id="3"/>
            <w:r>
              <w:rPr>
                <w:rFonts w:ascii="宋体" w:hAnsi="宋体" w:eastAsia="宋体" w:cs="宋体"/>
                <w:color w:val="auto"/>
                <w:spacing w:val="0"/>
                <w:w w:val="100"/>
                <w:position w:val="0"/>
                <w:sz w:val="24"/>
                <w:szCs w:val="24"/>
                <w:highlight w:val="none"/>
              </w:rPr>
              <w:t>名</w:t>
            </w:r>
          </w:p>
          <w:p>
            <w:pPr>
              <w:pStyle w:val="8"/>
              <w:pageBreakBefore w:val="0"/>
              <w:widowControl w:val="0"/>
              <w:wordWrap/>
              <w:overflowPunct/>
              <w:topLinePunct w:val="0"/>
              <w:bidi w:val="0"/>
              <w:spacing w:line="245" w:lineRule="auto"/>
              <w:rPr>
                <w:color w:val="auto"/>
                <w:spacing w:val="0"/>
                <w:w w:val="100"/>
                <w:position w:val="0"/>
                <w:highlight w:val="none"/>
              </w:rPr>
            </w:pPr>
          </w:p>
          <w:p>
            <w:pPr>
              <w:pStyle w:val="8"/>
              <w:pageBreakBefore w:val="0"/>
              <w:widowControl w:val="0"/>
              <w:wordWrap/>
              <w:overflowPunct/>
              <w:topLinePunct w:val="0"/>
              <w:bidi w:val="0"/>
              <w:spacing w:line="246" w:lineRule="auto"/>
              <w:rPr>
                <w:color w:val="auto"/>
                <w:spacing w:val="0"/>
                <w:w w:val="100"/>
                <w:position w:val="0"/>
                <w:highlight w:val="none"/>
              </w:rPr>
            </w:pPr>
          </w:p>
          <w:p>
            <w:pPr>
              <w:pageBreakBefore w:val="0"/>
              <w:widowControl w:val="0"/>
              <w:wordWrap/>
              <w:overflowPunct/>
              <w:topLinePunct w:val="0"/>
              <w:bidi w:val="0"/>
              <w:spacing w:before="78" w:line="219" w:lineRule="auto"/>
              <w:ind w:left="48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内</w:t>
            </w:r>
          </w:p>
          <w:p>
            <w:pPr>
              <w:pStyle w:val="8"/>
              <w:pageBreakBefore w:val="0"/>
              <w:widowControl w:val="0"/>
              <w:wordWrap/>
              <w:overflowPunct/>
              <w:topLinePunct w:val="0"/>
              <w:bidi w:val="0"/>
              <w:spacing w:line="338" w:lineRule="auto"/>
              <w:rPr>
                <w:color w:val="auto"/>
                <w:spacing w:val="0"/>
                <w:w w:val="100"/>
                <w:position w:val="0"/>
                <w:highlight w:val="none"/>
              </w:rPr>
            </w:pPr>
          </w:p>
          <w:p>
            <w:pPr>
              <w:pageBreakBefore w:val="0"/>
              <w:widowControl w:val="0"/>
              <w:wordWrap/>
              <w:overflowPunct/>
              <w:topLinePunct w:val="0"/>
              <w:bidi w:val="0"/>
              <w:spacing w:before="78" w:line="220" w:lineRule="auto"/>
              <w:ind w:left="131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容</w:t>
            </w:r>
          </w:p>
        </w:tc>
        <w:tc>
          <w:tcPr>
            <w:tcW w:w="1101" w:type="dxa"/>
            <w:tcBorders>
              <w:left w:val="nil"/>
            </w:tcBorders>
          </w:tcPr>
          <w:p>
            <w:pPr>
              <w:pStyle w:val="8"/>
              <w:pageBreakBefore w:val="0"/>
              <w:widowControl w:val="0"/>
              <w:wordWrap/>
              <w:overflowPunct/>
              <w:topLinePunct w:val="0"/>
              <w:bidi w:val="0"/>
              <w:spacing w:line="263" w:lineRule="auto"/>
              <w:rPr>
                <w:color w:val="auto"/>
                <w:spacing w:val="0"/>
                <w:w w:val="100"/>
                <w:position w:val="0"/>
                <w:highlight w:val="none"/>
              </w:rPr>
            </w:pPr>
          </w:p>
          <w:p>
            <w:pPr>
              <w:pStyle w:val="8"/>
              <w:pageBreakBefore w:val="0"/>
              <w:widowControl w:val="0"/>
              <w:wordWrap/>
              <w:overflowPunct/>
              <w:topLinePunct w:val="0"/>
              <w:bidi w:val="0"/>
              <w:spacing w:line="263" w:lineRule="auto"/>
              <w:rPr>
                <w:color w:val="auto"/>
                <w:spacing w:val="0"/>
                <w:w w:val="100"/>
                <w:position w:val="0"/>
                <w:highlight w:val="none"/>
              </w:rPr>
            </w:pPr>
          </w:p>
          <w:p>
            <w:pPr>
              <w:pStyle w:val="8"/>
              <w:pageBreakBefore w:val="0"/>
              <w:widowControl w:val="0"/>
              <w:wordWrap/>
              <w:overflowPunct/>
              <w:topLinePunct w:val="0"/>
              <w:bidi w:val="0"/>
              <w:spacing w:line="264" w:lineRule="auto"/>
              <w:rPr>
                <w:color w:val="auto"/>
                <w:spacing w:val="0"/>
                <w:w w:val="100"/>
                <w:position w:val="0"/>
                <w:highlight w:val="none"/>
              </w:rPr>
            </w:pPr>
          </w:p>
          <w:p>
            <w:pPr>
              <w:pageBreakBefore w:val="0"/>
              <w:widowControl w:val="0"/>
              <w:wordWrap/>
              <w:overflowPunct/>
              <w:topLinePunct w:val="0"/>
              <w:bidi w:val="0"/>
              <w:spacing w:before="78" w:line="221" w:lineRule="auto"/>
              <w:ind w:left="192"/>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称</w:t>
            </w:r>
          </w:p>
        </w:tc>
        <w:tc>
          <w:tcPr>
            <w:tcW w:w="6263" w:type="dxa"/>
          </w:tcPr>
          <w:p>
            <w:pPr>
              <w:pStyle w:val="8"/>
              <w:pageBreakBefore w:val="0"/>
              <w:widowControl w:val="0"/>
              <w:wordWrap/>
              <w:overflowPunct/>
              <w:topLinePunct w:val="0"/>
              <w:bidi w:val="0"/>
              <w:rPr>
                <w:color w:val="auto"/>
                <w:highlight w:val="none"/>
              </w:rPr>
            </w:pPr>
          </w:p>
          <w:p>
            <w:pPr>
              <w:bidi w:val="0"/>
              <w:rPr>
                <w:color w:val="auto"/>
                <w:highlight w:val="none"/>
              </w:rPr>
            </w:pPr>
          </w:p>
          <w:p>
            <w:pPr>
              <w:bidi w:val="0"/>
              <w:rPr>
                <w:color w:val="auto"/>
                <w:highlight w:val="none"/>
              </w:rPr>
            </w:pPr>
          </w:p>
          <w:p>
            <w:pPr>
              <w:bidi w:val="0"/>
              <w:rPr>
                <w:color w:val="auto"/>
                <w:highlight w:val="none"/>
              </w:rPr>
            </w:pPr>
          </w:p>
          <w:p>
            <w:pPr>
              <w:bidi w:val="0"/>
              <w:jc w:val="center"/>
              <w:rPr>
                <w:rFonts w:hint="eastAsia" w:eastAsia="宋体"/>
                <w:color w:val="auto"/>
                <w:highlight w:val="none"/>
                <w:lang w:eastAsia="zh-CN"/>
              </w:rPr>
            </w:pPr>
            <w:r>
              <w:rPr>
                <w:rFonts w:hint="eastAsia" w:ascii="宋体" w:hAnsi="宋体" w:eastAsia="宋体" w:cs="宋体"/>
                <w:color w:val="auto"/>
                <w:spacing w:val="0"/>
                <w:w w:val="100"/>
                <w:position w:val="0"/>
                <w:sz w:val="24"/>
                <w:szCs w:val="24"/>
                <w:highlight w:val="none"/>
                <w:lang w:eastAsia="zh-CN"/>
              </w:rPr>
              <w:t>遂川县城西学校建设项目深化装修及设备(触控一体机）采购</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1" w:hRule="atLeast"/>
        </w:trPr>
        <w:tc>
          <w:tcPr>
            <w:tcW w:w="2838" w:type="dxa"/>
            <w:gridSpan w:val="2"/>
          </w:tcPr>
          <w:p>
            <w:pPr>
              <w:pageBreakBefore w:val="0"/>
              <w:widowControl w:val="0"/>
              <w:wordWrap/>
              <w:overflowPunct/>
              <w:topLinePunct w:val="0"/>
              <w:bidi w:val="0"/>
              <w:spacing w:before="253" w:line="219" w:lineRule="auto"/>
              <w:ind w:left="1188"/>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数量</w:t>
            </w:r>
          </w:p>
        </w:tc>
        <w:tc>
          <w:tcPr>
            <w:tcW w:w="6263" w:type="dxa"/>
            <w:vAlign w:val="center"/>
          </w:tcPr>
          <w:p>
            <w:pPr>
              <w:pStyle w:val="8"/>
              <w:pageBreakBefore w:val="0"/>
              <w:widowControl w:val="0"/>
              <w:wordWrap/>
              <w:overflowPunct/>
              <w:topLinePunct w:val="0"/>
              <w:bidi w:val="0"/>
              <w:jc w:val="center"/>
              <w:rPr>
                <w:rFonts w:hint="default"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1批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1" w:hRule="atLeast"/>
        </w:trPr>
        <w:tc>
          <w:tcPr>
            <w:tcW w:w="2838" w:type="dxa"/>
            <w:gridSpan w:val="2"/>
          </w:tcPr>
          <w:p>
            <w:pPr>
              <w:pageBreakBefore w:val="0"/>
              <w:widowControl w:val="0"/>
              <w:wordWrap/>
              <w:overflowPunct/>
              <w:topLinePunct w:val="0"/>
              <w:bidi w:val="0"/>
              <w:spacing w:before="253" w:line="219" w:lineRule="auto"/>
              <w:ind w:left="107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交货期</w:t>
            </w:r>
          </w:p>
        </w:tc>
        <w:tc>
          <w:tcPr>
            <w:tcW w:w="6263" w:type="dxa"/>
            <w:vAlign w:val="center"/>
          </w:tcPr>
          <w:p>
            <w:pPr>
              <w:pStyle w:val="8"/>
              <w:pageBreakBefore w:val="0"/>
              <w:widowControl w:val="0"/>
              <w:wordWrap/>
              <w:overflowPunct/>
              <w:topLinePunct w:val="0"/>
              <w:bidi w:val="0"/>
              <w:jc w:val="center"/>
              <w:rPr>
                <w:rFonts w:hint="eastAsia"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合同签订生效之日起30日内供货安装调试完毕并交付使用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4" w:hRule="atLeast"/>
        </w:trPr>
        <w:tc>
          <w:tcPr>
            <w:tcW w:w="2838" w:type="dxa"/>
            <w:gridSpan w:val="2"/>
          </w:tcPr>
          <w:p>
            <w:pPr>
              <w:pageBreakBefore w:val="0"/>
              <w:widowControl w:val="0"/>
              <w:wordWrap/>
              <w:overflowPunct/>
              <w:topLinePunct w:val="0"/>
              <w:bidi w:val="0"/>
              <w:spacing w:before="256" w:line="219" w:lineRule="auto"/>
              <w:ind w:left="95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交货地点</w:t>
            </w:r>
          </w:p>
        </w:tc>
        <w:tc>
          <w:tcPr>
            <w:tcW w:w="6263" w:type="dxa"/>
            <w:vAlign w:val="center"/>
          </w:tcPr>
          <w:p>
            <w:pPr>
              <w:keepNext w:val="0"/>
              <w:keepLines w:val="0"/>
              <w:widowControl/>
              <w:suppressLineNumbers w:val="0"/>
              <w:jc w:val="center"/>
              <w:rPr>
                <w:color w:val="auto"/>
                <w:spacing w:val="0"/>
                <w:w w:val="100"/>
                <w:position w:val="0"/>
                <w:highlight w:val="none"/>
              </w:rPr>
            </w:pPr>
            <w:r>
              <w:rPr>
                <w:rFonts w:hint="eastAsia" w:ascii="宋体" w:hAnsi="宋体" w:eastAsia="宋体" w:cs="宋体"/>
                <w:snapToGrid w:val="0"/>
                <w:color w:val="auto"/>
                <w:kern w:val="0"/>
                <w:sz w:val="24"/>
                <w:szCs w:val="24"/>
                <w:highlight w:val="none"/>
                <w:lang w:val="en-US" w:eastAsia="zh-CN" w:bidi="ar"/>
              </w:rPr>
              <w:t>在采购人指定地点安装、调试。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5" w:hRule="atLeast"/>
        </w:trPr>
        <w:tc>
          <w:tcPr>
            <w:tcW w:w="2838" w:type="dxa"/>
            <w:gridSpan w:val="2"/>
          </w:tcPr>
          <w:p>
            <w:pPr>
              <w:pageBreakBefore w:val="0"/>
              <w:widowControl w:val="0"/>
              <w:wordWrap/>
              <w:overflowPunct/>
              <w:topLinePunct w:val="0"/>
              <w:bidi w:val="0"/>
              <w:spacing w:before="257" w:line="220" w:lineRule="auto"/>
              <w:ind w:left="95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安装地点</w:t>
            </w:r>
          </w:p>
        </w:tc>
        <w:tc>
          <w:tcPr>
            <w:tcW w:w="6263" w:type="dxa"/>
            <w:vAlign w:val="center"/>
          </w:tcPr>
          <w:p>
            <w:pPr>
              <w:keepNext w:val="0"/>
              <w:keepLines w:val="0"/>
              <w:widowControl/>
              <w:suppressLineNumbers w:val="0"/>
              <w:jc w:val="center"/>
              <w:rPr>
                <w:color w:val="auto"/>
                <w:spacing w:val="0"/>
                <w:w w:val="100"/>
                <w:position w:val="0"/>
                <w:highlight w:val="none"/>
              </w:rPr>
            </w:pPr>
            <w:r>
              <w:rPr>
                <w:rFonts w:hint="eastAsia" w:ascii="宋体" w:hAnsi="宋体" w:eastAsia="宋体" w:cs="宋体"/>
                <w:snapToGrid w:val="0"/>
                <w:color w:val="auto"/>
                <w:kern w:val="0"/>
                <w:sz w:val="24"/>
                <w:szCs w:val="24"/>
                <w:highlight w:val="none"/>
                <w:lang w:val="en-US" w:eastAsia="zh-CN" w:bidi="ar"/>
              </w:rPr>
              <w:t>在采购人指定地点安装、调试。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7" w:hRule="atLeast"/>
        </w:trPr>
        <w:tc>
          <w:tcPr>
            <w:tcW w:w="2838" w:type="dxa"/>
            <w:gridSpan w:val="2"/>
            <w:vAlign w:val="center"/>
          </w:tcPr>
          <w:p>
            <w:pPr>
              <w:pageBreakBefore w:val="0"/>
              <w:widowControl w:val="0"/>
              <w:wordWrap/>
              <w:overflowPunct/>
              <w:topLinePunct w:val="0"/>
              <w:bidi w:val="0"/>
              <w:spacing w:before="256" w:line="221" w:lineRule="auto"/>
              <w:ind w:left="1189"/>
              <w:jc w:val="both"/>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备注</w:t>
            </w:r>
          </w:p>
        </w:tc>
        <w:tc>
          <w:tcPr>
            <w:tcW w:w="6263" w:type="dxa"/>
            <w:vAlign w:val="center"/>
          </w:tcPr>
          <w:p>
            <w:pPr>
              <w:pStyle w:val="8"/>
              <w:pageBreakBefore w:val="0"/>
              <w:widowControl w:val="0"/>
              <w:wordWrap/>
              <w:overflowPunct/>
              <w:topLinePunct w:val="0"/>
              <w:bidi w:val="0"/>
              <w:jc w:val="center"/>
              <w:rPr>
                <w:rFonts w:hint="eastAsia" w:eastAsia="宋体"/>
                <w:color w:val="auto"/>
                <w:spacing w:val="0"/>
                <w:w w:val="100"/>
                <w:position w:val="0"/>
                <w:highlight w:val="none"/>
                <w:lang w:val="en-US" w:eastAsia="zh-CN"/>
              </w:rPr>
            </w:pPr>
            <w:r>
              <w:rPr>
                <w:rFonts w:hint="eastAsia" w:eastAsia="宋体"/>
                <w:color w:val="auto"/>
                <w:spacing w:val="0"/>
                <w:w w:val="100"/>
                <w:position w:val="0"/>
                <w:highlight w:val="none"/>
                <w:lang w:val="en-US" w:eastAsia="zh-CN"/>
              </w:rPr>
              <w:t>/</w:t>
            </w:r>
          </w:p>
        </w:tc>
      </w:tr>
    </w:tbl>
    <w:p>
      <w:pPr>
        <w:pageBreakBefore w:val="0"/>
        <w:widowControl w:val="0"/>
        <w:wordWrap/>
        <w:overflowPunct/>
        <w:topLinePunct w:val="0"/>
        <w:bidi w:val="0"/>
        <w:rPr>
          <w:color w:val="auto"/>
          <w:spacing w:val="0"/>
          <w:w w:val="100"/>
          <w:position w:val="0"/>
          <w:highlight w:val="none"/>
        </w:rPr>
        <w:sectPr>
          <w:footerReference r:id="rId3" w:type="default"/>
          <w:pgSz w:w="11906" w:h="16839"/>
          <w:pgMar w:top="1429" w:right="1587" w:bottom="1429" w:left="1587" w:header="0" w:footer="994" w:gutter="0"/>
          <w:cols w:space="720" w:num="1"/>
        </w:sectPr>
      </w:pPr>
    </w:p>
    <w:p>
      <w:pPr>
        <w:pageBreakBefore w:val="0"/>
        <w:widowControl w:val="0"/>
        <w:wordWrap/>
        <w:overflowPunct/>
        <w:topLinePunct w:val="0"/>
        <w:bidi w:val="0"/>
        <w:spacing w:before="47" w:line="219" w:lineRule="auto"/>
        <w:jc w:val="center"/>
        <w:outlineLvl w:val="1"/>
        <w:rPr>
          <w:color w:val="auto"/>
          <w:spacing w:val="0"/>
          <w:w w:val="100"/>
          <w:position w:val="0"/>
          <w:highlight w:val="none"/>
        </w:rPr>
      </w:pPr>
      <w:bookmarkStart w:id="0" w:name="bookmark81"/>
      <w:bookmarkEnd w:id="0"/>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二、采购需求</w:t>
      </w:r>
    </w:p>
    <w:p>
      <w:pPr>
        <w:pageBreakBefore w:val="0"/>
        <w:widowControl w:val="0"/>
        <w:wordWrap/>
        <w:overflowPunct/>
        <w:topLinePunct w:val="0"/>
        <w:bidi w:val="0"/>
        <w:spacing w:line="258" w:lineRule="auto"/>
        <w:rPr>
          <w:color w:val="auto"/>
          <w:spacing w:val="0"/>
          <w:w w:val="100"/>
          <w:position w:val="0"/>
          <w:highlight w:val="none"/>
        </w:rPr>
      </w:pPr>
    </w:p>
    <w:p>
      <w:pPr>
        <w:pageBreakBefore w:val="0"/>
        <w:widowControl w:val="0"/>
        <w:wordWrap/>
        <w:overflowPunct/>
        <w:topLinePunct w:val="0"/>
        <w:bidi w:val="0"/>
        <w:spacing w:before="78" w:line="219" w:lineRule="auto"/>
        <w:rPr>
          <w:rFonts w:hint="eastAsia" w:asciiTheme="minorEastAsia" w:hAnsiTheme="minorEastAsia" w:eastAsiaTheme="minorEastAsia" w:cstheme="minorEastAsia"/>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（一） 技术需求</w:t>
      </w:r>
    </w:p>
    <w:tbl>
      <w:tblPr>
        <w:tblStyle w:val="5"/>
        <w:tblW w:w="9760" w:type="dxa"/>
        <w:tblInd w:w="0" w:type="dxa"/>
        <w:shd w:val="clear" w:color="auto" w:fill="auto"/>
        <w:tblLayout w:type="fixed"/>
        <w:tblCellMar>
          <w:top w:w="0" w:type="dxa"/>
          <w:left w:w="0" w:type="dxa"/>
          <w:bottom w:w="0" w:type="dxa"/>
          <w:right w:w="0" w:type="dxa"/>
        </w:tblCellMar>
      </w:tblPr>
      <w:tblGrid>
        <w:gridCol w:w="455"/>
        <w:gridCol w:w="1551"/>
        <w:gridCol w:w="6843"/>
        <w:gridCol w:w="456"/>
        <w:gridCol w:w="455"/>
      </w:tblGrid>
      <w:tr>
        <w:tblPrEx>
          <w:tblLayout w:type="fixed"/>
          <w:tblCellMar>
            <w:top w:w="0" w:type="dxa"/>
            <w:left w:w="0" w:type="dxa"/>
            <w:bottom w:w="0" w:type="dxa"/>
            <w:right w:w="0" w:type="dxa"/>
          </w:tblCellMar>
        </w:tblPrEx>
        <w:trPr>
          <w:trHeight w:val="396" w:hRule="atLeast"/>
        </w:trPr>
        <w:tc>
          <w:tcPr>
            <w:tcW w:w="9760"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云桌面教室（50+1）</w:t>
            </w:r>
          </w:p>
        </w:tc>
      </w:tr>
      <w:tr>
        <w:tblPrEx>
          <w:shd w:val="clear" w:color="auto" w:fill="auto"/>
          <w:tblLayout w:type="fixed"/>
          <w:tblCellMar>
            <w:top w:w="0" w:type="dxa"/>
            <w:left w:w="0" w:type="dxa"/>
            <w:bottom w:w="0" w:type="dxa"/>
            <w:right w:w="0" w:type="dxa"/>
          </w:tblCellMar>
        </w:tblPrEx>
        <w:trPr>
          <w:trHeight w:val="369" w:hRule="atLeast"/>
        </w:trPr>
        <w:tc>
          <w:tcPr>
            <w:tcW w:w="455" w:type="dxa"/>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序号</w:t>
            </w:r>
          </w:p>
        </w:tc>
        <w:tc>
          <w:tcPr>
            <w:tcW w:w="1551" w:type="dxa"/>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产品名称</w:t>
            </w:r>
          </w:p>
        </w:tc>
        <w:tc>
          <w:tcPr>
            <w:tcW w:w="6843"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参数</w:t>
            </w:r>
          </w:p>
        </w:tc>
        <w:tc>
          <w:tcPr>
            <w:tcW w:w="456" w:type="dxa"/>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数量</w:t>
            </w:r>
          </w:p>
        </w:tc>
        <w:tc>
          <w:tcPr>
            <w:tcW w:w="455" w:type="dxa"/>
            <w:tcBorders>
              <w:top w:val="nil"/>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单位</w:t>
            </w:r>
          </w:p>
        </w:tc>
      </w:tr>
      <w:tr>
        <w:tblPrEx>
          <w:shd w:val="clear" w:color="auto" w:fill="auto"/>
          <w:tblLayout w:type="fixed"/>
          <w:tblCellMar>
            <w:top w:w="0" w:type="dxa"/>
            <w:left w:w="0" w:type="dxa"/>
            <w:bottom w:w="0" w:type="dxa"/>
            <w:right w:w="0" w:type="dxa"/>
          </w:tblCellMar>
        </w:tblPrEx>
        <w:trPr>
          <w:trHeight w:val="5892" w:hRule="atLeast"/>
        </w:trPr>
        <w:tc>
          <w:tcPr>
            <w:tcW w:w="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15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学生终端</w:t>
            </w:r>
          </w:p>
        </w:tc>
        <w:tc>
          <w:tcPr>
            <w:tcW w:w="6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1、软硬件一体化设备，内置虚拟化系统和软件；</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2、配置主频≥2.7GHz；内存≥8GB，配置集成显卡；本地存储≥256G SSD；</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3、配置USB3.0接口≥4个，配置USB2.0接口≥4个；≥1个千兆网口，≥1个VGA接口，≥1个HDMI接口，≥1对音频输入输出接口，且支持4段式耳机音频输入及输出；</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4、配置≥2个内存槽，配置≥2个M.2 SSD槽，≥1个2.5英寸硬盘位</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5、外置CMS接口孔，实现清除CMOS配置恢复成出厂设置；</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6、在云终端上要求支持多种系统的教学镜像，提供给不同课程教学使用，不同的教学镜像可供学生自由选择，上课期间老师可以要求所有学生云终端统一进同一个教学镜像进行教学；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7、终端支持完全离线模式，即在机房管理终端连接中断时，依然可使用当前正在使用的镜像环境，保障业务连续性；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8、支持终端显卡透传，能够将终端物理显卡透传至虚拟机中；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9、支持主流图形设计类软件，如autoCAD、3DMAX、PS等流畅运行，保障业务平稳开展。在学生终端上要求支持4k清晰度高清视频流畅播放；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10、云终端提供公共存储空间，该空间可供不同课程学生上课使用，可存储部分临时文件，在机房管理终端端能够对所有云终端的公共空间提供统一管理功能，并能进行批量删除；</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11、通过教学管理软件能够实现所有学生云终端一键开启硬件设备和启动虚拟桌面。</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12、支持远程唤醒，资源优先进行保障上课；资源冲突检查；</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13、支持镜像标准瘦身功能。</w:t>
            </w:r>
          </w:p>
        </w:tc>
        <w:tc>
          <w:tcPr>
            <w:tcW w:w="4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50</w:t>
            </w:r>
          </w:p>
        </w:tc>
        <w:tc>
          <w:tcPr>
            <w:tcW w:w="4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r>
      <w:tr>
        <w:tblPrEx>
          <w:tblLayout w:type="fixed"/>
          <w:tblCellMar>
            <w:top w:w="0" w:type="dxa"/>
            <w:left w:w="0" w:type="dxa"/>
            <w:bottom w:w="0" w:type="dxa"/>
            <w:right w:w="0" w:type="dxa"/>
          </w:tblCellMar>
        </w:tblPrEx>
        <w:trPr>
          <w:trHeight w:val="5557" w:hRule="atLeast"/>
        </w:trPr>
        <w:tc>
          <w:tcPr>
            <w:tcW w:w="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w:t>
            </w:r>
          </w:p>
        </w:tc>
        <w:tc>
          <w:tcPr>
            <w:tcW w:w="15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教师终端</w:t>
            </w:r>
          </w:p>
        </w:tc>
        <w:tc>
          <w:tcPr>
            <w:tcW w:w="6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1、软硬件一体化设备，内置虚拟化系统和软件；</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2、配置≥第13代8核12线程处理器；内存≥2*8GB，配置集成显卡；本地存储≥1*512G SSD；</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3、配置USB3.0接口≥4个，配置USB2.0接口≥4个；≥1个千兆网口，≥1个VGA接口，≥1个HDMI接口，≥1对音频输入输出接口，且支持4段式耳机音频输入及输出；</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4、在云终端上要求支持多种系统的教学镜像，提供给不同课程教学使用，不同的教学镜像可供学生自由选择，上课期间老师可以要求所有学生云终端统一进同一个教学镜像进行教学；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5、终端支持完全离线模式，即在机房管理终端连接中断时，依然可使用当前正在使用的镜像环境，保障业务连续性；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6、支持终端显卡透传，能够将终端物理显卡透传至虚拟机中；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7、支持主流图形设计类软件，如autoCAD、3DMAX、PS等流畅运行；</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8、支持IDV/TCI桌面操作</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9、支持分享链接给他人进行镜像编辑；</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9、云终端提供公共存储空间，该空间可供不同课程学生上课使用，可存储部分临时文件，在机房管理终端端能够对所有云终端的公共空间提供统一管理功能，并能进行批量删除；</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10、通过教学管理软件能够实现所有学生云终端一键开启硬件设备和启动虚拟桌面。</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11、平均失效间隔工作时间（MTBF）为不小于100000小时；</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12、支持静默下发功能；支持资源优先进行保障上课；支持资源冲突检查；</w:t>
            </w:r>
          </w:p>
        </w:tc>
        <w:tc>
          <w:tcPr>
            <w:tcW w:w="4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4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r>
      <w:tr>
        <w:tblPrEx>
          <w:shd w:val="clear" w:color="auto" w:fill="auto"/>
          <w:tblLayout w:type="fixed"/>
          <w:tblCellMar>
            <w:top w:w="0" w:type="dxa"/>
            <w:left w:w="0" w:type="dxa"/>
            <w:bottom w:w="0" w:type="dxa"/>
            <w:right w:w="0" w:type="dxa"/>
          </w:tblCellMar>
        </w:tblPrEx>
        <w:trPr>
          <w:trHeight w:val="3548" w:hRule="atLeast"/>
        </w:trPr>
        <w:tc>
          <w:tcPr>
            <w:tcW w:w="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w:t>
            </w:r>
          </w:p>
        </w:tc>
        <w:tc>
          <w:tcPr>
            <w:tcW w:w="15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操作系统</w:t>
            </w:r>
          </w:p>
        </w:tc>
        <w:tc>
          <w:tcPr>
            <w:tcW w:w="6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国产操作系统需要具备以下功能：</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（1）支持飞腾、龙芯、兆芯、海光、申威、海思麒麟、鲲鹏等主流国产CPU。</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（2）支持Eclipse、Qt、VS code、PyCharm等开发工具并且支持C/C++、java、python、等多种开发语言。</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（3）支持国内外主流打印机、扫描仪、投影仪、摄像头等各类外设设备。</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（4）系统支持备份和恢复。</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（5）支持奇安信可信浏览器、360安全浏览器、Firefox网络浏览器等，支持业界主流的浏览器内核技术。</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（6）具备自研的智能数据管理工具，支持根据筛选条件或关键字、自然语言指令等创建新的映射空间进行文件和数据的管理；支持文本文件智能摘要抽取、智能标签抽取等功能。</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（7）具备AI辅助功能并集成商业版本地模型（模型参数量不低于3B），保证授权模型的合法合规性、稳定性和安全性，提供系统问答、文本写作、文本润色、整理周报、中英互译、系统控制等功能。</w:t>
            </w:r>
          </w:p>
        </w:tc>
        <w:tc>
          <w:tcPr>
            <w:tcW w:w="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51</w:t>
            </w:r>
          </w:p>
        </w:tc>
        <w:tc>
          <w:tcPr>
            <w:tcW w:w="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r>
      <w:tr>
        <w:tblPrEx>
          <w:shd w:val="clear" w:color="auto" w:fill="auto"/>
          <w:tblLayout w:type="fixed"/>
          <w:tblCellMar>
            <w:top w:w="0" w:type="dxa"/>
            <w:left w:w="0" w:type="dxa"/>
            <w:bottom w:w="0" w:type="dxa"/>
            <w:right w:w="0" w:type="dxa"/>
          </w:tblCellMar>
        </w:tblPrEx>
        <w:trPr>
          <w:trHeight w:val="2043" w:hRule="atLeast"/>
        </w:trPr>
        <w:tc>
          <w:tcPr>
            <w:tcW w:w="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w:t>
            </w:r>
          </w:p>
        </w:tc>
        <w:tc>
          <w:tcPr>
            <w:tcW w:w="15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办公软件</w:t>
            </w:r>
          </w:p>
        </w:tc>
        <w:tc>
          <w:tcPr>
            <w:tcW w:w="6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办公套件支持Linux系统设计，集成文字、表格、演示三大组件，支持多标签窗口管理与.doc/.docx/.wps等全格式兼容。核心功能上，文字模块具备截图取字、七语互译及划词翻译，智能目录可自动识别结构生成导航；演示模块支持SmartArt图形、文档打包及录屏转视频。依托公网云服务，提供≥10GB/人存储空间，支持Web/移动端多端协同，实现文档秒级同步、外链分享及OCR扫描建表。同时内置表单采集与后台管理，包括但不限于通讯录管理、安全管理、日志管理、审批管理、应用管理等；全方位满足数字化办公需求。</w:t>
            </w:r>
          </w:p>
        </w:tc>
        <w:tc>
          <w:tcPr>
            <w:tcW w:w="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51</w:t>
            </w:r>
          </w:p>
        </w:tc>
        <w:tc>
          <w:tcPr>
            <w:tcW w:w="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r>
      <w:tr>
        <w:tblPrEx>
          <w:shd w:val="clear" w:color="auto" w:fill="auto"/>
          <w:tblLayout w:type="fixed"/>
          <w:tblCellMar>
            <w:top w:w="0" w:type="dxa"/>
            <w:left w:w="0" w:type="dxa"/>
            <w:bottom w:w="0" w:type="dxa"/>
            <w:right w:w="0" w:type="dxa"/>
          </w:tblCellMar>
        </w:tblPrEx>
        <w:trPr>
          <w:trHeight w:val="2544" w:hRule="atLeast"/>
        </w:trPr>
        <w:tc>
          <w:tcPr>
            <w:tcW w:w="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w:t>
            </w:r>
          </w:p>
        </w:tc>
        <w:tc>
          <w:tcPr>
            <w:tcW w:w="15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版式软件</w:t>
            </w:r>
          </w:p>
        </w:tc>
        <w:tc>
          <w:tcPr>
            <w:tcW w:w="6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支持OFD/PDF版式文件的打开、保存及导出为图片、PDF、TXT等多格式转换，并支持SFD、SEP、CEB、S2/S72/S92等近百种流版式文档的直接阅览。阅读体验上，提供翻页、缩放、缩略图、大纲及双文档同屏比对功能；编辑与批注方面，支持版式修订、手写签批（含压感笔锋、跨页签批）、图形与文本注释及注释导入导出。</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支持国密HTTPS传输、国密时间戳、脱离第三方的电子签章验证（含骑缝章、批量盖章）及图文/动态水印；同时提供保存、打印、复制、截屏等细粒度权限管控。此外，产品支持B/S与C/S双架构集成，提供完善二次开发接口，可无缝融入各类业务系统</w:t>
            </w:r>
          </w:p>
        </w:tc>
        <w:tc>
          <w:tcPr>
            <w:tcW w:w="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51</w:t>
            </w:r>
          </w:p>
        </w:tc>
        <w:tc>
          <w:tcPr>
            <w:tcW w:w="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r>
      <w:tr>
        <w:tblPrEx>
          <w:tblLayout w:type="fixed"/>
          <w:tblCellMar>
            <w:top w:w="0" w:type="dxa"/>
            <w:left w:w="0" w:type="dxa"/>
            <w:bottom w:w="0" w:type="dxa"/>
            <w:right w:w="0" w:type="dxa"/>
          </w:tblCellMar>
        </w:tblPrEx>
        <w:trPr>
          <w:trHeight w:val="1206" w:hRule="atLeast"/>
        </w:trPr>
        <w:tc>
          <w:tcPr>
            <w:tcW w:w="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w:t>
            </w:r>
          </w:p>
        </w:tc>
        <w:tc>
          <w:tcPr>
            <w:tcW w:w="15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病毒防治类软件</w:t>
            </w:r>
          </w:p>
        </w:tc>
        <w:tc>
          <w:tcPr>
            <w:tcW w:w="6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适配国产化终端，提供多层次安全防护。支持压缩包、安装包及复合文档深度查杀，具备实时监控、定时与全盘扫描能力。防非授权退出与自保护机制，严防用户或第三方软件强制破坏。支持自动/手动升级，可智能处置病毒并隔离备份，同时提供顽固文件强制删除功能，确保系统安全纯净。</w:t>
            </w:r>
          </w:p>
        </w:tc>
        <w:tc>
          <w:tcPr>
            <w:tcW w:w="4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51</w:t>
            </w:r>
          </w:p>
        </w:tc>
        <w:tc>
          <w:tcPr>
            <w:tcW w:w="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r>
      <w:tr>
        <w:tblPrEx>
          <w:shd w:val="clear" w:color="auto" w:fill="auto"/>
          <w:tblLayout w:type="fixed"/>
          <w:tblCellMar>
            <w:top w:w="0" w:type="dxa"/>
            <w:left w:w="0" w:type="dxa"/>
            <w:bottom w:w="0" w:type="dxa"/>
            <w:right w:w="0" w:type="dxa"/>
          </w:tblCellMar>
        </w:tblPrEx>
        <w:trPr>
          <w:trHeight w:val="1406" w:hRule="atLeast"/>
        </w:trPr>
        <w:tc>
          <w:tcPr>
            <w:tcW w:w="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w:t>
            </w:r>
          </w:p>
        </w:tc>
        <w:tc>
          <w:tcPr>
            <w:tcW w:w="15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云桌面管理软件</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(云桌面计算平台）</w:t>
            </w:r>
          </w:p>
        </w:tc>
        <w:tc>
          <w:tcPr>
            <w:tcW w:w="6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1、采用B/S软件架构，中文图形化管理页面</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2、管理平台要包括镜像管理、教室管理、用户管理等关键功能模块</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3、单台服务器即可支持对VDI、IDV、TCI三类终端的统一纳管</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4、镜像模版可以使用多种类型的操作系统，包括且不限于：win7 、win 10等操作系统版本</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5、支持按照教室规模创建不同的虚拟教室，每个虚拟教室能够独立管理和配置</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6、同一虚拟教室的学生机可以按需工作在IDV、TCI、VDI任意一种模式下</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7、支持用户进行的创建、修改、查询、删除的操作</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8、支持分级分权管理，可以按需自定义不同角色用户对应的管理权限：①镜像管理、教室管理、用户管理、系统设置等权限设置；②镜像模版的删除、创建、复制、快照管理等权限设置；</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9、支持自定义web登录页面和web管理页面的logo，用户可以根据自己的需求使用新的logo</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10、支持镜像模版自动快照，每次镜像发布时可以自动为镜像模版打快照，支持的最大快照数量≥8个</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11、支持管理员通过服务器集群的web管理平台唤醒远程不同网段的终端</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12、支持分层超融合功能，桌面操作均在节点本地完成，无需跨节点访问，用户数据多节点冗余</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13、三节点集群模式下4KB块大小全随机100%写IOPS为≥20万，1T数据重构时间为≤18分钟</w:t>
            </w:r>
          </w:p>
        </w:tc>
        <w:tc>
          <w:tcPr>
            <w:tcW w:w="4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50</w:t>
            </w:r>
          </w:p>
        </w:tc>
        <w:tc>
          <w:tcPr>
            <w:tcW w:w="4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点</w:t>
            </w:r>
          </w:p>
        </w:tc>
      </w:tr>
      <w:tr>
        <w:tblPrEx>
          <w:shd w:val="clear" w:color="auto" w:fill="auto"/>
          <w:tblLayout w:type="fixed"/>
          <w:tblCellMar>
            <w:top w:w="0" w:type="dxa"/>
            <w:left w:w="0" w:type="dxa"/>
            <w:bottom w:w="0" w:type="dxa"/>
            <w:right w:w="0" w:type="dxa"/>
          </w:tblCellMar>
        </w:tblPrEx>
        <w:trPr>
          <w:trHeight w:val="6109" w:hRule="atLeast"/>
        </w:trPr>
        <w:tc>
          <w:tcPr>
            <w:tcW w:w="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w:t>
            </w:r>
          </w:p>
        </w:tc>
        <w:tc>
          <w:tcPr>
            <w:tcW w:w="15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教学管理软件</w:t>
            </w:r>
          </w:p>
        </w:tc>
        <w:tc>
          <w:tcPr>
            <w:tcW w:w="6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1、提供多种教学模式以匹配不同的教学需求，支持老师通过教学管理软件对学生一键切换教学镜像；切换镜像时，云终端硬件无需重新启动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2、支持通过教学管理软件一键开启所有云终端，终端启动后进入对应的课程镜像桌面</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3、在教师机可以实现屏幕广播；学生可以调整老师广播屏幕大小；老师可以选择是否广播声音给学生</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4、支持通过教学管理软件实现一键禁止任意学生上网，禁网的同时仍需要支持屏幕广播、屏幕查看等正常教学应用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教学管理软件默认提供作业布置、批改、管理和成绩统计功能组件，提供学生作业的归档和下载；支持老师在作业空间为多个或单个班级的学生布置作业，布置内容可支持word等文件格式；支持老师对作业上交截止时间进行设置</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6、支持老师在个人空间选择要布置作业的班级和年级，支持附件上传；完成作业布置后，学生账号登陆后可立即能收到老师布置的作业</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7、支持老师在线打开学生作业；支持txt、图片等学生作业格式。在线查看学生作业后，可以在个人空间中打分</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8、支持老师将学生作业标记为公开作业；支持学生通过学生端软件查看本年级所有老师标记的公开作业</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9、随堂测试出题可支持单选、多选、判断、填空、问答等多种课堂测试，对于客观题老师可以设置答题卡录入正确答案并赋分，方便快速评分批改</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10、支持自主注册账号、支持管理员统一账号导入；老师账号仅支持密码登陆个人空间；学生账号支持密码登陆和无密码登陆</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11、支持阻断通过命令行强杀管控软件的操作，支持班级标识码的使用方式</w:t>
            </w:r>
          </w:p>
        </w:tc>
        <w:tc>
          <w:tcPr>
            <w:tcW w:w="4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50</w:t>
            </w:r>
          </w:p>
        </w:tc>
        <w:tc>
          <w:tcPr>
            <w:tcW w:w="4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点</w:t>
            </w:r>
          </w:p>
        </w:tc>
      </w:tr>
      <w:tr>
        <w:tblPrEx>
          <w:shd w:val="clear" w:color="auto" w:fill="auto"/>
          <w:tblLayout w:type="fixed"/>
          <w:tblCellMar>
            <w:top w:w="0" w:type="dxa"/>
            <w:left w:w="0" w:type="dxa"/>
            <w:bottom w:w="0" w:type="dxa"/>
            <w:right w:w="0" w:type="dxa"/>
          </w:tblCellMar>
        </w:tblPrEx>
        <w:trPr>
          <w:trHeight w:val="871" w:hRule="atLeast"/>
        </w:trPr>
        <w:tc>
          <w:tcPr>
            <w:tcW w:w="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w:t>
            </w:r>
          </w:p>
        </w:tc>
        <w:tc>
          <w:tcPr>
            <w:tcW w:w="15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显示器</w:t>
            </w:r>
          </w:p>
        </w:tc>
        <w:tc>
          <w:tcPr>
            <w:tcW w:w="6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1、屏幕尺寸：≥21.5英寸；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2、屏幕比例：16:9；视频接口：≥1 个 VGA≥1 个 HDMI；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3、分辨率：1920*1080；电源适配器输 AC,100~240V,50~60Hz,输出 DC； </w:t>
            </w:r>
          </w:p>
        </w:tc>
        <w:tc>
          <w:tcPr>
            <w:tcW w:w="4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51</w:t>
            </w:r>
          </w:p>
        </w:tc>
        <w:tc>
          <w:tcPr>
            <w:tcW w:w="4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r>
      <w:tr>
        <w:tblPrEx>
          <w:tblLayout w:type="fixed"/>
          <w:tblCellMar>
            <w:top w:w="0" w:type="dxa"/>
            <w:left w:w="0" w:type="dxa"/>
            <w:bottom w:w="0" w:type="dxa"/>
            <w:right w:w="0" w:type="dxa"/>
          </w:tblCellMar>
        </w:tblPrEx>
        <w:trPr>
          <w:trHeight w:val="871" w:hRule="atLeast"/>
        </w:trPr>
        <w:tc>
          <w:tcPr>
            <w:tcW w:w="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10</w:t>
            </w:r>
          </w:p>
        </w:tc>
        <w:tc>
          <w:tcPr>
            <w:tcW w:w="15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键鼠</w:t>
            </w:r>
          </w:p>
        </w:tc>
        <w:tc>
          <w:tcPr>
            <w:tcW w:w="6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1、鼠标：按键数不小于 2 个，连接方式：有线；鼠标接口： USB；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2、键盘：按键数不少于 104 个，连接方式：有线；键盘接</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口：USB； </w:t>
            </w:r>
          </w:p>
        </w:tc>
        <w:tc>
          <w:tcPr>
            <w:tcW w:w="4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51</w:t>
            </w:r>
          </w:p>
        </w:tc>
        <w:tc>
          <w:tcPr>
            <w:tcW w:w="4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r>
      <w:tr>
        <w:tblPrEx>
          <w:shd w:val="clear" w:color="auto" w:fill="auto"/>
          <w:tblLayout w:type="fixed"/>
          <w:tblCellMar>
            <w:top w:w="0" w:type="dxa"/>
            <w:left w:w="0" w:type="dxa"/>
            <w:bottom w:w="0" w:type="dxa"/>
            <w:right w:w="0" w:type="dxa"/>
          </w:tblCellMar>
        </w:tblPrEx>
        <w:trPr>
          <w:trHeight w:val="2043" w:hRule="atLeast"/>
        </w:trPr>
        <w:tc>
          <w:tcPr>
            <w:tcW w:w="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11</w:t>
            </w:r>
          </w:p>
        </w:tc>
        <w:tc>
          <w:tcPr>
            <w:tcW w:w="15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接入网络交换机</w:t>
            </w:r>
          </w:p>
        </w:tc>
        <w:tc>
          <w:tcPr>
            <w:tcW w:w="6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1、固化10/100/1000M 自适应电口≥24个</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2、交换容量≥2.6Tbps，包转发率≥240Mpps</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3、设备应支持生成树协议STP/RSTP/MSTP(ERPS)</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4、设备应支持环路检测和自愈,支持远程环回监视和控制(802.3ah OAM)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5、设备应支持802.1X、MAC-Based、WEB-Based认证</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6、支持云端管理、云备份配置、具备独立移动管理APP或微信小程序</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7、设备通过管理平面安全测试</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8、含跳线、尾纤、耦合器、 电源线等配件</w:t>
            </w:r>
          </w:p>
        </w:tc>
        <w:tc>
          <w:tcPr>
            <w:tcW w:w="4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w:t>
            </w:r>
          </w:p>
        </w:tc>
        <w:tc>
          <w:tcPr>
            <w:tcW w:w="4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r>
      <w:tr>
        <w:tblPrEx>
          <w:shd w:val="clear" w:color="auto" w:fill="auto"/>
          <w:tblLayout w:type="fixed"/>
          <w:tblCellMar>
            <w:top w:w="0" w:type="dxa"/>
            <w:left w:w="0" w:type="dxa"/>
            <w:bottom w:w="0" w:type="dxa"/>
            <w:right w:w="0" w:type="dxa"/>
          </w:tblCellMar>
        </w:tblPrEx>
        <w:trPr>
          <w:trHeight w:val="1710" w:hRule="atLeast"/>
        </w:trPr>
        <w:tc>
          <w:tcPr>
            <w:tcW w:w="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12</w:t>
            </w:r>
          </w:p>
        </w:tc>
        <w:tc>
          <w:tcPr>
            <w:tcW w:w="15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路由器</w:t>
            </w:r>
          </w:p>
        </w:tc>
        <w:tc>
          <w:tcPr>
            <w:tcW w:w="6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1、路由类型：企业级路由器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2、产品内存：128MB，FLASH：16MB</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3、传输速率：10/100/1000Mbps</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4、端口结构：非模块化</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5、广域网接口：1-2 个</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6、局域网接口：3-4 个</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7、网络安全：内置防火墙，支持 ACL，IP-MAC 绑定，MAC 地址过滤，动态ARP，静态 ARP 绑定，NAT，NAPT，端口映射</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8、电源电压：本地 220V AC 供电</w:t>
            </w:r>
          </w:p>
        </w:tc>
        <w:tc>
          <w:tcPr>
            <w:tcW w:w="4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4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r>
      <w:tr>
        <w:tblPrEx>
          <w:shd w:val="clear" w:color="auto" w:fill="auto"/>
          <w:tblLayout w:type="fixed"/>
          <w:tblCellMar>
            <w:top w:w="0" w:type="dxa"/>
            <w:left w:w="0" w:type="dxa"/>
            <w:bottom w:w="0" w:type="dxa"/>
            <w:right w:w="0" w:type="dxa"/>
          </w:tblCellMar>
        </w:tblPrEx>
        <w:trPr>
          <w:trHeight w:val="244" w:hRule="atLeast"/>
        </w:trPr>
        <w:tc>
          <w:tcPr>
            <w:tcW w:w="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13</w:t>
            </w:r>
          </w:p>
        </w:tc>
        <w:tc>
          <w:tcPr>
            <w:tcW w:w="15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机柜</w:t>
            </w:r>
          </w:p>
        </w:tc>
        <w:tc>
          <w:tcPr>
            <w:tcW w:w="6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网络机柜，尺寸不低于600*400*530mm</w:t>
            </w:r>
          </w:p>
        </w:tc>
        <w:tc>
          <w:tcPr>
            <w:tcW w:w="4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4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r>
      <w:tr>
        <w:tblPrEx>
          <w:tblLayout w:type="fixed"/>
          <w:tblCellMar>
            <w:top w:w="0" w:type="dxa"/>
            <w:left w:w="0" w:type="dxa"/>
            <w:bottom w:w="0" w:type="dxa"/>
            <w:right w:w="0" w:type="dxa"/>
          </w:tblCellMar>
        </w:tblPrEx>
        <w:trPr>
          <w:trHeight w:val="1373" w:hRule="atLeast"/>
        </w:trPr>
        <w:tc>
          <w:tcPr>
            <w:tcW w:w="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14</w:t>
            </w:r>
          </w:p>
        </w:tc>
        <w:tc>
          <w:tcPr>
            <w:tcW w:w="15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学生桌椅</w:t>
            </w:r>
          </w:p>
        </w:tc>
        <w:tc>
          <w:tcPr>
            <w:tcW w:w="6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1、基材：优质E0级实木颗粒板基材，符合国家环保要求，；所有板材均经过防虫、防霉化学处理，强度高、耐变形；</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2、贴面：优质E0级安全环保三聚氰胺纸饰面，密度高且均匀，耐变形，耐磨性强；</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3、封边：2.0mm厚PVC同色封边带，全自动封边机完成封边，色泽均匀一致，耐污、耐磨；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4、五金配件：钢架</w:t>
            </w:r>
          </w:p>
        </w:tc>
        <w:tc>
          <w:tcPr>
            <w:tcW w:w="4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25</w:t>
            </w:r>
          </w:p>
        </w:tc>
        <w:tc>
          <w:tcPr>
            <w:tcW w:w="4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r>
      <w:tr>
        <w:tblPrEx>
          <w:tblLayout w:type="fixed"/>
          <w:tblCellMar>
            <w:top w:w="0" w:type="dxa"/>
            <w:left w:w="0" w:type="dxa"/>
            <w:bottom w:w="0" w:type="dxa"/>
            <w:right w:w="0" w:type="dxa"/>
          </w:tblCellMar>
        </w:tblPrEx>
        <w:trPr>
          <w:trHeight w:val="437" w:hRule="atLeast"/>
        </w:trPr>
        <w:tc>
          <w:tcPr>
            <w:tcW w:w="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15</w:t>
            </w:r>
          </w:p>
        </w:tc>
        <w:tc>
          <w:tcPr>
            <w:tcW w:w="1551"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教师桌椅</w:t>
            </w:r>
          </w:p>
        </w:tc>
        <w:tc>
          <w:tcPr>
            <w:tcW w:w="68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尺寸不小于1400*700*750mm；配套五轮转椅1个。</w:t>
            </w:r>
          </w:p>
        </w:tc>
        <w:tc>
          <w:tcPr>
            <w:tcW w:w="456"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455"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r>
      <w:tr>
        <w:tblPrEx>
          <w:shd w:val="clear" w:color="auto" w:fill="auto"/>
          <w:tblLayout w:type="fixed"/>
          <w:tblCellMar>
            <w:top w:w="0" w:type="dxa"/>
            <w:left w:w="0" w:type="dxa"/>
            <w:bottom w:w="0" w:type="dxa"/>
            <w:right w:w="0" w:type="dxa"/>
          </w:tblCellMar>
        </w:tblPrEx>
        <w:trPr>
          <w:trHeight w:val="2893" w:hRule="atLeast"/>
        </w:trPr>
        <w:tc>
          <w:tcPr>
            <w:tcW w:w="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17</w:t>
            </w:r>
          </w:p>
        </w:tc>
        <w:tc>
          <w:tcPr>
            <w:tcW w:w="15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辅材施工</w:t>
            </w:r>
          </w:p>
        </w:tc>
        <w:tc>
          <w:tcPr>
            <w:tcW w:w="6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1、强电线材：单根铜芯线（火、零、地线缆颜色分开），单根芯径不小于 1.5 平方毫米，达到国家标准；</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2、六类四对非屏蔽室内双绞线电缆（全铜），铜丝线规：24AWG，铜芯线径标称直径为 0.50mm,两头应用标签标注明。</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3、水晶头：RJ45 网络水晶头，达到国家标准；</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4、缆线的布放平直、不得产生扭绞，打圈等现象，不受到外力的挤压和损伤；</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5、槽内缆线顺直，禁止交叉、缆线不溢出线槽、在缆线进出线槽部位，转弯处绑扎固定；</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6、走线如经过通道或露出地面部分，需采用≥1.2mm钢槽覆盖。</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7、线缆、电源插座等必须使用国内知名品牌，系统集成及安装必须参照国家相关标准进行；</w:t>
            </w:r>
          </w:p>
        </w:tc>
        <w:tc>
          <w:tcPr>
            <w:tcW w:w="4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51</w:t>
            </w:r>
          </w:p>
        </w:tc>
        <w:tc>
          <w:tcPr>
            <w:tcW w:w="4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点</w:t>
            </w:r>
          </w:p>
        </w:tc>
      </w:tr>
    </w:tbl>
    <w:p>
      <w:pPr>
        <w:pageBreakBefore w:val="0"/>
        <w:widowControl w:val="0"/>
        <w:wordWrap/>
        <w:overflowPunct/>
        <w:topLinePunct w:val="0"/>
        <w:bidi w:val="0"/>
        <w:spacing w:line="242" w:lineRule="auto"/>
        <w:rPr>
          <w:rFonts w:hint="eastAsia" w:asciiTheme="minorEastAsia" w:hAnsiTheme="minorEastAsia" w:eastAsiaTheme="minorEastAsia" w:cstheme="minorEastAsia"/>
          <w:color w:val="auto"/>
          <w:spacing w:val="0"/>
          <w:w w:val="100"/>
          <w:position w:val="0"/>
          <w:sz w:val="24"/>
          <w:szCs w:val="24"/>
          <w:highlight w:val="none"/>
        </w:rPr>
      </w:pPr>
    </w:p>
    <w:p>
      <w:pPr>
        <w:pStyle w:val="2"/>
        <w:rPr>
          <w:rFonts w:hint="eastAsia" w:asciiTheme="minorEastAsia" w:hAnsiTheme="minorEastAsia" w:eastAsiaTheme="minorEastAsia" w:cstheme="minorEastAsia"/>
          <w:color w:val="auto"/>
          <w:spacing w:val="0"/>
          <w:w w:val="100"/>
          <w:position w:val="0"/>
          <w:sz w:val="24"/>
          <w:szCs w:val="24"/>
          <w:highlight w:val="none"/>
        </w:rPr>
      </w:pPr>
    </w:p>
    <w:p>
      <w:pPr>
        <w:rPr>
          <w:rFonts w:hint="eastAsia" w:asciiTheme="minorEastAsia" w:hAnsiTheme="minorEastAsia" w:eastAsiaTheme="minorEastAsia" w:cstheme="minorEastAsia"/>
          <w:color w:val="auto"/>
          <w:spacing w:val="0"/>
          <w:w w:val="100"/>
          <w:position w:val="0"/>
          <w:sz w:val="24"/>
          <w:szCs w:val="24"/>
          <w:highlight w:val="none"/>
        </w:rPr>
      </w:pPr>
    </w:p>
    <w:p>
      <w:pPr>
        <w:pStyle w:val="2"/>
        <w:rPr>
          <w:rFonts w:hint="eastAsia" w:asciiTheme="minorEastAsia" w:hAnsiTheme="minorEastAsia" w:eastAsiaTheme="minorEastAsia" w:cstheme="minorEastAsia"/>
          <w:sz w:val="24"/>
          <w:szCs w:val="24"/>
          <w:highlight w:val="none"/>
        </w:rPr>
      </w:pPr>
    </w:p>
    <w:tbl>
      <w:tblPr>
        <w:tblStyle w:val="5"/>
        <w:tblW w:w="9780" w:type="dxa"/>
        <w:tblInd w:w="0" w:type="dxa"/>
        <w:shd w:val="clear" w:color="auto" w:fill="auto"/>
        <w:tblLayout w:type="fixed"/>
        <w:tblCellMar>
          <w:top w:w="0" w:type="dxa"/>
          <w:left w:w="0" w:type="dxa"/>
          <w:bottom w:w="0" w:type="dxa"/>
          <w:right w:w="0" w:type="dxa"/>
        </w:tblCellMar>
      </w:tblPr>
      <w:tblGrid>
        <w:gridCol w:w="776"/>
        <w:gridCol w:w="1767"/>
        <w:gridCol w:w="5677"/>
        <w:gridCol w:w="871"/>
        <w:gridCol w:w="689"/>
      </w:tblGrid>
      <w:tr>
        <w:tblPrEx>
          <w:tblLayout w:type="fixed"/>
          <w:tblCellMar>
            <w:top w:w="0" w:type="dxa"/>
            <w:left w:w="0" w:type="dxa"/>
            <w:bottom w:w="0" w:type="dxa"/>
            <w:right w:w="0" w:type="dxa"/>
          </w:tblCellMar>
        </w:tblPrEx>
        <w:trPr>
          <w:trHeight w:val="540" w:hRule="atLeast"/>
        </w:trPr>
        <w:tc>
          <w:tcPr>
            <w:tcW w:w="9780"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心理设施</w:t>
            </w:r>
          </w:p>
        </w:tc>
      </w:tr>
      <w:tr>
        <w:tblPrEx>
          <w:tblLayout w:type="fixed"/>
          <w:tblCellMar>
            <w:top w:w="0" w:type="dxa"/>
            <w:left w:w="0" w:type="dxa"/>
            <w:bottom w:w="0" w:type="dxa"/>
            <w:right w:w="0" w:type="dxa"/>
          </w:tblCellMar>
        </w:tblPrEx>
        <w:trPr>
          <w:trHeight w:val="270" w:hRule="atLeast"/>
        </w:trPr>
        <w:tc>
          <w:tcPr>
            <w:tcW w:w="978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一、接待阅览区</w:t>
            </w:r>
          </w:p>
        </w:tc>
      </w:tr>
      <w:tr>
        <w:tblPrEx>
          <w:shd w:val="clear" w:color="auto" w:fill="auto"/>
          <w:tblLayout w:type="fixed"/>
          <w:tblCellMar>
            <w:top w:w="0" w:type="dxa"/>
            <w:left w:w="0" w:type="dxa"/>
            <w:bottom w:w="0" w:type="dxa"/>
            <w:right w:w="0" w:type="dxa"/>
          </w:tblCellMar>
        </w:tblPrEx>
        <w:trPr>
          <w:trHeight w:val="27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序号</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产品名称</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规格参数</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单位</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数量</w:t>
            </w:r>
          </w:p>
        </w:tc>
      </w:tr>
      <w:tr>
        <w:tblPrEx>
          <w:shd w:val="clear" w:color="auto" w:fill="auto"/>
          <w:tblLayout w:type="fixed"/>
          <w:tblCellMar>
            <w:top w:w="0" w:type="dxa"/>
            <w:left w:w="0" w:type="dxa"/>
            <w:bottom w:w="0" w:type="dxa"/>
            <w:right w:w="0" w:type="dxa"/>
          </w:tblCellMar>
        </w:tblPrEx>
        <w:trPr>
          <w:trHeight w:val="8180" w:hRule="atLeast"/>
        </w:trPr>
        <w:tc>
          <w:tcPr>
            <w:tcW w:w="7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176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服务站系统</w:t>
            </w:r>
          </w:p>
        </w:tc>
        <w:tc>
          <w:tcPr>
            <w:tcW w:w="56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一、功能部分</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 系统首页页面含有轮播界面，可以查看轮播内容，点击轮播内容后可查看该轮播内容详情。</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2、系统含有心理测评、心理咨询、趣味测评、心理训练、心理科普等快捷键，用户可以使用快捷键进行快捷操作。</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3、包含不同主题趣味测评。</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4、系统可直接接通心理热线，可设置不同的电话号码作为心理热线号码。</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5、包含抑郁专题、亲子关系、学业问题、能力个性、心理健康、人际交往、情绪情感、职场生涯模块。系统可自动记录、统计浏览历史。</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6、可浏览心理科普内容，内容包含科普文章、科普视频、科普音频。</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7、用户可收藏喜欢的心理内容。</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8、用户可完成按时间顺序发起的测评任务，也可自主测评；任务结束可查看测评任务、自主测评的测评记录。</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9、包含亲子关系、学业问题、能力个性、心理健康、人际交往、情绪情感、职场生涯、情绪情感八类主题量表。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10、用户测评开始前可查看包含量表介绍、量表指导语、使用人群、测评须知等内容。测评结束后提交即可完成测评任务，完成一个量表后自动进入下一量表的测评。</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11、用户可进行咨询师预约，系统提供单位咨询师列表，可选择咨询师预约时段、咨询维度，可填写咨询内容供咨询师提前查看。</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12、用户登录个人账号可查看个人信息、测评记录、我的收藏，可在系统内接通心理热线，可通过外挂话筒接通心理热线。</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13、用户可以查看任务测评、自主测评的测评记录。</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14、用户可采用各类文章、音频、视频进行心理训练，心理训练结束后可记录并保存训练心情、训练感受。</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15、用户可绑定手机号。</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16、用户可进行咨询室预约，系统提供咨询室列表，可选择不同的咨询室，可选择咨询室预约时段。</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17、用户可添加信件至心理信箱，可查看历史添加的信件。二、产品配置：</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电容触摸终端：显示尺寸32英寸；分辨率1920(V)×1080（H）；运行内存2G；存储内存16G；终端的防爆有线话筒可采集音频、播放音频，设置外放/耳放切换开关，话机提起时外放音频关闭，有效保证使用者隐私。</w:t>
            </w:r>
          </w:p>
        </w:tc>
        <w:tc>
          <w:tcPr>
            <w:tcW w:w="8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6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1020" w:hRule="atLeast"/>
        </w:trPr>
        <w:tc>
          <w:tcPr>
            <w:tcW w:w="7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17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56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left"/>
              <w:rPr>
                <w:rFonts w:hint="eastAsia" w:asciiTheme="minorEastAsia" w:hAnsiTheme="minorEastAsia" w:eastAsiaTheme="minorEastAsia" w:cstheme="minorEastAsia"/>
                <w:i w:val="0"/>
                <w:color w:val="000000"/>
                <w:sz w:val="24"/>
                <w:szCs w:val="24"/>
                <w:highlight w:val="none"/>
                <w:u w:val="none"/>
              </w:rPr>
            </w:pPr>
          </w:p>
        </w:tc>
        <w:tc>
          <w:tcPr>
            <w:tcW w:w="8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6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r>
      <w:tr>
        <w:tblPrEx>
          <w:tblLayout w:type="fixed"/>
          <w:tblCellMar>
            <w:top w:w="0" w:type="dxa"/>
            <w:left w:w="0" w:type="dxa"/>
            <w:bottom w:w="0" w:type="dxa"/>
            <w:right w:w="0" w:type="dxa"/>
          </w:tblCellMar>
        </w:tblPrEx>
        <w:trPr>
          <w:trHeight w:val="144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接待沙发/茶几</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1.心理咨询师对学员进行一对一深度咨询工具，单人沙发2个，三人沙发一个，沙发高度不小于40cm，圆形茶几1个，尺寸不小于60*60cm；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2.实木框架，密度海绵，面料采用高档棉麻，增加了面料的透气性与耐磨性;</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3.坐包与靠包可拆洗设计，温馨淡色</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96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饮水机</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1.制热量（L/h）：4L/h</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2.额定电压（V）：220V</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3.额定频率（Hz）：50Hz</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4.加热功率（W）：420W</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tblLayout w:type="fixed"/>
          <w:tblCellMar>
            <w:top w:w="0" w:type="dxa"/>
            <w:left w:w="0" w:type="dxa"/>
            <w:bottom w:w="0" w:type="dxa"/>
            <w:right w:w="0" w:type="dxa"/>
          </w:tblCellMar>
        </w:tblPrEx>
        <w:trPr>
          <w:trHeight w:val="48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心理辅助资料</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分为基础、教育、科普、案例等工具，适合于不同年龄段、不同工作性质的来访者。</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册</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100</w:t>
            </w:r>
          </w:p>
        </w:tc>
      </w:tr>
      <w:tr>
        <w:tblPrEx>
          <w:tblLayout w:type="fixed"/>
          <w:tblCellMar>
            <w:top w:w="0" w:type="dxa"/>
            <w:left w:w="0" w:type="dxa"/>
            <w:bottom w:w="0" w:type="dxa"/>
            <w:right w:w="0" w:type="dxa"/>
          </w:tblCellMar>
        </w:tblPrEx>
        <w:trPr>
          <w:trHeight w:val="48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书架</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简约版造型，五层多隔断阅览书架，尺寸≥2000mm*340mm*1200mm</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项</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72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定制类心理图片</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1、包含制度、人物、宣泄、格言、积极心理、心理效应、心理实验七大类。</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2、边框采用铝合金材质，常规尺寸40cm*60cm。</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幅</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w:t>
            </w:r>
          </w:p>
        </w:tc>
      </w:tr>
      <w:tr>
        <w:tblPrEx>
          <w:shd w:val="clear" w:color="auto" w:fill="auto"/>
          <w:tblLayout w:type="fixed"/>
          <w:tblCellMar>
            <w:top w:w="0" w:type="dxa"/>
            <w:left w:w="0" w:type="dxa"/>
            <w:bottom w:w="0" w:type="dxa"/>
            <w:right w:w="0" w:type="dxa"/>
          </w:tblCellMar>
        </w:tblPrEx>
        <w:trPr>
          <w:trHeight w:val="8180" w:hRule="atLeast"/>
        </w:trPr>
        <w:tc>
          <w:tcPr>
            <w:tcW w:w="7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w:t>
            </w:r>
          </w:p>
        </w:tc>
        <w:tc>
          <w:tcPr>
            <w:tcW w:w="176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心理健康多维精灵</w:t>
            </w:r>
          </w:p>
        </w:tc>
        <w:tc>
          <w:tcPr>
            <w:tcW w:w="56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一、功能部分：</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1、包含趣味测试、专业测试。</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2、阅读材料（心悦读材料）包含：人际交往、励志美文、心理故事、情绪调节、经典阅读、自我成长六大类主题资</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3、心视心影影视资源包含电影赏析、科普动画、认识心理等视频资源。</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4、心理科普相关介绍包含古今中外专家、专有名词、心理学实验、心理效应。</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5、心里图库包含不可能图、养生调理、多视图片、情感交往类、视觉后像、错觉图片、似动图片、双关图片、家庭教育类、社会公德类、认知提升类等心理图库。</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6、心语心声包含心灵电台、放松音乐、正念冥想等心语心声模块内容。</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7、通过单一指夹传感器实时采集脉搏（包含实时波形、心跳频率、灌注指数）、血氧指数、呼吸频率三通道的生理指标，生理指标采集完成后可自动分析，生成健康检测报告。</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8、包含趣味互动游戏，自主放松含即兴击打、即兴弹奏音乐游戏</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9、包含爱心类、欢乐类、激励类、家庭类、建筑类、美景类、幽默类、友善类等绘画交互训练练习。</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10、包含唤醒激发、自助平衡、整合统一等绘画练习。</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11、包含意向绘画练习。通过自由绘画练习进行心理投射。</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12、以箱庭疗法/沙盘游戏疗法为理论基础，包含人物、交通、建筑、动物、植物、自然、军事、家居、其它类别等9类沙具。</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13、可进行：沙具呈现、换沙标记、画水清除、文本标记、沙具缩放、沙具扭转、天气转换（包含雨、雪、阴、晴）、记录、说明、分析（生成报告）等沙盘操作。</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14、正性引导可以通过不断清除代表负面情绪的自由落体情绪头像（包含紧张、猜疑、愤怒、嘲讽、失落、悲伤、疲惫、欺辱等），达到宣泄、释放的目的。</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二、产品配置：</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1、一级冷轧钢板，喷塑工艺，茶几式外形设计,尺寸885*575*762mm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2、电容触摸终端：显示尺寸32英寸，分辨率1920×1080，运行内存4G，存储内存32G。</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3、指夹式健康检测传感器一个。</w:t>
            </w:r>
          </w:p>
        </w:tc>
        <w:tc>
          <w:tcPr>
            <w:tcW w:w="8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c>
          <w:tcPr>
            <w:tcW w:w="6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tblLayout w:type="fixed"/>
          <w:tblCellMar>
            <w:top w:w="0" w:type="dxa"/>
            <w:left w:w="0" w:type="dxa"/>
            <w:bottom w:w="0" w:type="dxa"/>
            <w:right w:w="0" w:type="dxa"/>
          </w:tblCellMar>
        </w:tblPrEx>
        <w:trPr>
          <w:trHeight w:val="600" w:hRule="atLeast"/>
        </w:trPr>
        <w:tc>
          <w:tcPr>
            <w:tcW w:w="7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17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56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left"/>
              <w:rPr>
                <w:rFonts w:hint="eastAsia" w:asciiTheme="minorEastAsia" w:hAnsiTheme="minorEastAsia" w:eastAsiaTheme="minorEastAsia" w:cstheme="minorEastAsia"/>
                <w:i w:val="0"/>
                <w:color w:val="000000"/>
                <w:sz w:val="24"/>
                <w:szCs w:val="24"/>
                <w:highlight w:val="none"/>
                <w:u w:val="none"/>
              </w:rPr>
            </w:pPr>
          </w:p>
        </w:tc>
        <w:tc>
          <w:tcPr>
            <w:tcW w:w="8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6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r>
      <w:tr>
        <w:tblPrEx>
          <w:tblLayout w:type="fixed"/>
          <w:tblCellMar>
            <w:top w:w="0" w:type="dxa"/>
            <w:left w:w="0" w:type="dxa"/>
            <w:bottom w:w="0" w:type="dxa"/>
            <w:right w:w="0" w:type="dxa"/>
          </w:tblCellMar>
        </w:tblPrEx>
        <w:trPr>
          <w:trHeight w:val="270" w:hRule="atLeast"/>
        </w:trPr>
        <w:tc>
          <w:tcPr>
            <w:tcW w:w="978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二、个体辅导区</w:t>
            </w:r>
          </w:p>
        </w:tc>
      </w:tr>
      <w:tr>
        <w:tblPrEx>
          <w:tblLayout w:type="fixed"/>
          <w:tblCellMar>
            <w:top w:w="0" w:type="dxa"/>
            <w:left w:w="0" w:type="dxa"/>
            <w:bottom w:w="0" w:type="dxa"/>
            <w:right w:w="0" w:type="dxa"/>
          </w:tblCellMar>
        </w:tblPrEx>
        <w:trPr>
          <w:trHeight w:val="27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序号</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产品名称</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规格参数</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单位</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数量</w:t>
            </w:r>
          </w:p>
        </w:tc>
      </w:tr>
      <w:tr>
        <w:tblPrEx>
          <w:shd w:val="clear" w:color="auto" w:fill="auto"/>
          <w:tblLayout w:type="fixed"/>
          <w:tblCellMar>
            <w:top w:w="0" w:type="dxa"/>
            <w:left w:w="0" w:type="dxa"/>
            <w:bottom w:w="0" w:type="dxa"/>
            <w:right w:w="0" w:type="dxa"/>
          </w:tblCellMar>
        </w:tblPrEx>
        <w:trPr>
          <w:trHeight w:val="120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咨询沙发/茶几</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1.心理咨询师对学员进行一对一深度咨询工具，单人沙发2个，沙发高度不小于40cm，圆形茶几1个，尺寸不小于60*60cm；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2.实木框架，密度海绵，面料采用高档棉麻，增加了面料的透气性与耐磨性;</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3.坐包与靠包可拆洗设计，温馨淡色</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27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录音笔</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容量≥8G，可持续适用120分钟以上</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个</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tblLayout w:type="fixed"/>
          <w:tblCellMar>
            <w:top w:w="0" w:type="dxa"/>
            <w:left w:w="0" w:type="dxa"/>
            <w:bottom w:w="0" w:type="dxa"/>
            <w:right w:w="0" w:type="dxa"/>
          </w:tblCellMar>
        </w:tblPrEx>
        <w:trPr>
          <w:trHeight w:val="96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饮水机</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1.制热量（L/h）：4L/h</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2.额定电压（V）：220V</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3.额定频率（Hz）：50Hz</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4.加热功率（W）：420W</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72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定制类心理图片</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1、包含制度、人物、宣泄、格言、积极心理、心理效应、心理实验七大类。</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2、边框采用铝合金材质，常规尺寸40cm*60cm。</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幅</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w:t>
            </w:r>
          </w:p>
        </w:tc>
      </w:tr>
      <w:tr>
        <w:tblPrEx>
          <w:shd w:val="clear" w:color="auto" w:fill="auto"/>
          <w:tblLayout w:type="fixed"/>
          <w:tblCellMar>
            <w:top w:w="0" w:type="dxa"/>
            <w:left w:w="0" w:type="dxa"/>
            <w:bottom w:w="0" w:type="dxa"/>
            <w:right w:w="0" w:type="dxa"/>
          </w:tblCellMar>
        </w:tblPrEx>
        <w:trPr>
          <w:trHeight w:val="48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咨询沙漏</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3D圆形沙漏，手动360度旋转，无铅工艺，高度透明，流动沙画，尺寸≥170mm。</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个</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27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挂表</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14寸石英机芯，万年历、扫秒走时，夜光。</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个</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270" w:hRule="atLeast"/>
        </w:trPr>
        <w:tc>
          <w:tcPr>
            <w:tcW w:w="9780"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二、办公测评区</w:t>
            </w:r>
          </w:p>
        </w:tc>
      </w:tr>
      <w:tr>
        <w:tblPrEx>
          <w:shd w:val="clear" w:color="auto" w:fill="auto"/>
          <w:tblLayout w:type="fixed"/>
          <w:tblCellMar>
            <w:top w:w="0" w:type="dxa"/>
            <w:left w:w="0" w:type="dxa"/>
            <w:bottom w:w="0" w:type="dxa"/>
            <w:right w:w="0" w:type="dxa"/>
          </w:tblCellMar>
        </w:tblPrEx>
        <w:trPr>
          <w:trHeight w:val="27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序号</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产品名称</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规格参数</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单位</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数量</w:t>
            </w:r>
          </w:p>
        </w:tc>
      </w:tr>
      <w:tr>
        <w:tblPrEx>
          <w:shd w:val="clear" w:color="auto" w:fill="auto"/>
          <w:tblLayout w:type="fixed"/>
          <w:tblCellMar>
            <w:top w:w="0" w:type="dxa"/>
            <w:left w:w="0" w:type="dxa"/>
            <w:bottom w:w="0" w:type="dxa"/>
            <w:right w:w="0" w:type="dxa"/>
          </w:tblCellMar>
        </w:tblPrEx>
        <w:trPr>
          <w:trHeight w:val="48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办公桌椅</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供老师办公使用，及其学生测评时使用，尺寸约为1200mm*700mm*750mm</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w:t>
            </w:r>
          </w:p>
        </w:tc>
      </w:tr>
      <w:tr>
        <w:tblPrEx>
          <w:shd w:val="clear" w:color="auto" w:fill="auto"/>
          <w:tblLayout w:type="fixed"/>
          <w:tblCellMar>
            <w:top w:w="0" w:type="dxa"/>
            <w:left w:w="0" w:type="dxa"/>
            <w:bottom w:w="0" w:type="dxa"/>
            <w:right w:w="0" w:type="dxa"/>
          </w:tblCellMar>
        </w:tblPrEx>
        <w:trPr>
          <w:trHeight w:val="336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lang w:val="en-US"/>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办公电脑主机1</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1、CPU：采用国产自主可控芯片，主频≥2.7GHz ， ≥8核处理器 8线程。；</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2、内存：≥16 G DDR4内存或以上。最大可支持拓展64GB；</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3、硬盘：≥512G M.2 SSD硬盘，支持升级1TB SSD；支持扩展机械硬盘；</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4、网络通信：≥ 1个1000M以太网卡，网口支持wake on LAN；</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5、前置面板：USB3.0≥1个（USB 3.2 Gen1）；USB2.0≥1个；音频输入≥1，音频输出≥1；</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6、后置面板：USB3.0≥2个（USB 3.2 Gen2）；USB2.0≥4个；HDMI输出≥1；音频输入≥1；音频输出≥1；RJ45≥1；</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7.内部插槽：PCIEX16≥1（支持拓展独立显卡）；PCIEX1≥1；M.2≥2；SATA≥2；</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8.机箱体积：≥18L；</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9、电源：≤300W 节能稳压电源；</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96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办公显示器</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1、屏幕尺寸：≥23.8英寸；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2、屏幕比例：16:9；视频接口：≥1 个 VGA≥1 个 HDMI；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3、分辨率：1920*1080；电源适配器输 AC,100~240V,50~60Hz,输出 DC； </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tblLayout w:type="fixed"/>
          <w:tblCellMar>
            <w:top w:w="0" w:type="dxa"/>
            <w:left w:w="0" w:type="dxa"/>
            <w:bottom w:w="0" w:type="dxa"/>
            <w:right w:w="0" w:type="dxa"/>
          </w:tblCellMar>
        </w:tblPrEx>
        <w:trPr>
          <w:trHeight w:val="96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键鼠</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1、鼠标：按键数不小于 2 个，连接方式：有线；鼠标接口： USB；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2、键盘：按键数不少于 104 个，连接方式：有线；键盘接</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口：USB； </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tblLayout w:type="fixed"/>
          <w:tblCellMar>
            <w:top w:w="0" w:type="dxa"/>
            <w:left w:w="0" w:type="dxa"/>
            <w:bottom w:w="0" w:type="dxa"/>
            <w:right w:w="0" w:type="dxa"/>
          </w:tblCellMar>
        </w:tblPrEx>
        <w:trPr>
          <w:trHeight w:val="288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操作系统</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（1）支持飞腾、龙芯、兆芯、海光、申威、海思麒麟、鲲鹏等主流国产CPU，至少支持包括飞腾FT-2000/4、腾锐D2000、龙芯3A4000、龙芯3A5000、兆芯ZXC+、兆芯KX、鲲鹏920、海光2号、海思麒麟等系列处理器。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（2）支持Eclipse、Qt、VS code、PyCharm等开发工具并且支持C/C++、java、python、等多种开发语言。</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（3）支持国内外主流打印机、扫描仪、投影仪、摄像头等各类外设设备。</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（4）系统支持备份和恢复，支持对数据文件的备份和恢复、支持对系统分区的备份和恢复。</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（5）支持奇安信可信浏览器、360安全浏览器、Firefox网络浏览器等，支持业界主流的浏览器内核技术。</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312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办公软件</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1.投标产品提供运行在LINUX操作系统上运行的office办公软件产品，包含文字处理、表格计算、幻灯片演示三个组件。</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2、文字模块支持截图取字功能，对截图和已有图片进行内容识别。</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3、表格模块支持在表格中一键插入求和、计数、平均值等常用公式。支持多列数据合并操作。支持单元格数据的循环引用。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4、演示模块支持智能图形（SmartArt），至少满足多种图示类型，如层次结构、列表、循环、流程等图形类型。</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5、支持提供公网云办公能力，支持通过网页、客户端、手机端等登陆教职工账号；支持切换个人账号、学校团队账号。支持登录学校团队账号时查看当前使用套餐版本，到期时间。</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6、支持管理员后台查看管理功能，包括但不限于通讯录管理、安全管理、日志管理、审批管理、应用管理等；</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192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版式软件</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1)文件操作：提供OFD/PDF版式文档打开、保存、另存功能，可将打开文档导出为图片、PDF或TXT格式文档，导出为图片时自动分页保存。</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2)多文档支持：可打开SFD、GW、GD、PS、S2/S72/S92、CEB、流式、图片等格式文档直接阅览。</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3)文档水印：提供图文水印功能，可设置水印的字体、字号、角度等属性；提供动态水印功能，可将当前用户、时间等信息作为水印内容叠加到文档中。</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tblLayout w:type="fixed"/>
          <w:tblCellMar>
            <w:top w:w="0" w:type="dxa"/>
            <w:left w:w="0" w:type="dxa"/>
            <w:bottom w:w="0" w:type="dxa"/>
            <w:right w:w="0" w:type="dxa"/>
          </w:tblCellMar>
        </w:tblPrEx>
        <w:trPr>
          <w:trHeight w:val="360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病毒防治类软件</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1.软件支持支持主流Windows桌面及主流linux操作系统以及国产化操作系统，支持但不仅限于中标麒麟、银河麒麟、中科方德、统信、湖南麒麟、凝思等各种国产化操作系统；</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2.支持X86/ARM/MIPS/申威架构硬件平台，如：intel、飞腾、海光、兆芯、鲲鹏、龙芯、申威等平台；</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3.具备人工智能引擎，人工智能引擎支持PE/OFFICE/PDF常见文件类型威胁检测；</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4.支持添加文件路径或MD5值作为信任白名单，可针对病毒防护、病毒扫描放行，支持添加文件MD5值作为黑名单；</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5.支持手动添加文件作为黑名单，防止恶意进程黑名单启动；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6.软件支持在线升级病毒库，支持中/英/繁语言切换；</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7.支持查杀DOS、Windows等系统的ZIP、GZIP、ARJ、CAB、RAR、LZH、UPX、ASPACK、FSG等多种压缩包裹格式的文件；</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8.杀毒软件不得内置境外组织的杀毒引擎，杀毒软件与内置杀毒引擎同一品牌。</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545"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打印机</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激光多功能一体机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1、黑白激光多功能一体机 (打印，复印，扫描)</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2、内存容量（标准）：256MB</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3、液晶显示：标配2行中/英文液晶显示</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4、标准纸盒输入量：250张；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5、打印速度：34PPM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6、标配有线/无线网络打印功能</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7、50页自动进稿器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8、打印分辨率：1200*1200dpi</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9、自动双面打印，身份证一键式复印</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10、支持手机智能打印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11、鼓粉分离技术，随机粉盒容量3000页，硒鼓容量15000页</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12、支持麒麟OS、UOS国产操作系统</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27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10</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挂表</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14寸石英机芯，万年历、扫秒走时，夜光。</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个</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27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11</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文件柜</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全钢制，钢材厚度≥0.3，尺寸约为800mm*350mm*1800mm</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个</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270" w:hRule="atLeast"/>
        </w:trPr>
        <w:tc>
          <w:tcPr>
            <w:tcW w:w="7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12</w:t>
            </w:r>
          </w:p>
        </w:tc>
        <w:tc>
          <w:tcPr>
            <w:tcW w:w="176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心理生态云平台</w:t>
            </w:r>
          </w:p>
        </w:tc>
        <w:tc>
          <w:tcPr>
            <w:tcW w:w="56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一、管理人员PC端</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1、系统提供基本数据与快捷功能，呈现创建测评、预警处理、人员档案、心理工作、预约咨询五项快捷键。呈现当前平台总人数与平台管理员人数，并对两类数据进行说明。</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数据中心看板可呈现：人员状况统计、近一年测评活动趋势、近一年预警人员统计、科普浏览量统计、近一年预约人统计、各组织人员分布情况、心理健康与行为问题监控数据。人员状况统计可显示：咨询师数量、档案数量、咨询师配比、人员档案完善情况的环形图数据、注册男女比例与人数、管理人员数量。近一年团体与个体测评活动趋势图、近一年正常、轻度、中度、重度人数的柱状图；近一年干预处理人数情况环形图。可以地图形式显示该单位所在地区，显示本单位人员总数。可以显示各组织人员分布情况。可以显示音频、视频与文章三种科普类型的浏览量分析统计，不同科普标签下资源浏览量排名分析，展示前六名标签统计情况。可以数据曲线图显示预约人数趋势，显示累计排班的天数和累计预约的总人数。心理健康与行为问题监控数据分析以柱状图形式显示不同心理维度的平均值。</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系统可管理单位信息，管理内容包括：模板字段库、单位信息、客户管理、小程序设置。可根据单位采集不同信息的需求，设置字段名称、控件名称、是否必填、字段录入类型、添加时间添加字段。可修改、删除字段。可对单位名称、上级单位、单位性质、人员账号生成规则、单位地址、详细地址、单位简介查看。可对转介服务的合作单位进行搜索、查看、撤销合作、重新申请等操作，可查询系统中的未合作机构进行信息查看、发起合作申请，可对申请驳回的合作机构删除、重新申请。可实现对用户小程序端功能进行开启或进行设置，包含：量表介绍、平台科普文章、平台科普视频、平台科普音频、心理精选、自主测评、预约咨询。可对联系人姓名、联系方式进行设置。</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系统可实现自定义编辑、添加组织类型，对子管理员进行管理、分配多角色、管理多个组织、查看关联账号信息。可按组织名称、组织类型、状态搜索已建内部组织。可以单个添加、批量导入新组织，新增组织所添加信息包含：组织名称、组织类型、组织负责人。可以自定义编辑、添加组织类型。按姓名、登录账号、手机号、角色名称、创建时间搜索已建子管理员。可填写手机号、登录账号、姓名、备注新增子管理员。可以对新增子管理员分配多种角色、管理多个组织。可以通过角色名称搜索。可以新增角色，包含：名称、备注、分配不同功能权限。可以搜索、查看、编辑、删除角色。</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系统可以对测评活动进行创建、搜索、停用、延长、提前结束、删除、查看；可查看测评明细、对人员补测；可导出列表、原始数据、选项统计；可对自主测评报告进行搜索、查看、管理；可以显示自主测评报告的来源为小程序、物联设备。系统可通过设置测评名称、测评时间、补充信息、量表介绍开启或关闭、负责人、关联人员类型、测评对象、自主选择量表或系统推荐量表组合对内部人员、社会游客人员发起个体测评或团体测评。可通过活动名称、人员名称、报告状态、活动状态、活动起止时间、人员类型搜索团体、个体测评活动。可停用、延长、提前结束、删除测评活动。可对测评明细进行查看、对人员补测；导出列表、原始数据、选项统计。个体测评列表显示：测评人员、人员类型、负责人、量表、活动起止时间、活动类型、报告状态。团体测评列表显示：测评活动名称、人员类型、负责人、人员范围、人员类型、活动起止时间、活动状态、报告状态、补测状态。可按账号、姓名、量表名称、性别、报告状态、测评效度、预警状态搜索报告。</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可以对人员档案搜索、查看、导出、完善基本信息。档案内容包含：人员姓名、人员账号、性别、出生日期、民族、人员类型、健康状况、所属组织与通过模版收集到的人员信息；以图形的形式显示不同时间段个体心理测评、心理记录、心理工作、心理咨询的动态跟踪记录，可以下载记录；可以查看测评记录、干预记录、咨询记录、谈心谈话、评价记录、危机事件处理记录。系统可按账号、姓名、所属组织、预警处理状态搜索档案。查看、批量导出档案。可以对人员发送档案完善模版，完善基本信息；选择组织架构范围、人员信息、完善模版生成表格，批量完善基本信息。可实现对游客的管理功能，可以通过姓名、手机号、性别、创建时间段搜索游客，可以查看、导出游客人员。档案内容可显示基本信息，信息包含：人员姓名、人员账号、性别、出生日期、民族、人员类型、健康状况、所属组织与通过模版收集到的人员信息；不同时间段个体心理测评、心理记录、心理工作、心理咨询的动态跟踪记录，以折线图的形式显示，可以下载记录。可显示测评记录，记录内容显示：测评名称、测评时间、预警处理状况、干预次数、量表、预警状况等，可以一键查看报告。可显示干预记录，干预内容显示：干预时间、干预人、干预状况、干预内容、原因或说明、附件记录、下载附件。可以显示咨询记录，咨询内容显示：添加时间、咨询师、咨询维度、咨询记录、来源、是否上报。可以显示谈心谈话记录，谈心谈话内容显示：添加人、谈话时间、谈话原因、谈话内容、心理状态信息；可以导出谈心谈话。可以显示心理评价记录，评价内容包含：可以显示评价人员、评价时间、评价维度、评价描述。危机处理记录显示提交人、提交时间、事件概述、处理方案、处理结果。</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系统可提供个体与团体报告，报告内容包含：基本信息、活动引导、量表介绍、量表说明、测评结果、答题情况、因子分析、测评信息、阳性检测状况统计表、统计分析、建议说明、因子名称、因子题目、因子定义、所有题目选项统计、训练推荐、专属推荐。个体报告包含：基本信息、量表介绍、量表说明、测评结果、因子分析、答题情况、训练推荐、专属推荐；个体报告可以导出。团体报告包含：基本信息、活动引导、量表介绍、量表说明、测评信息、阳性检测状况统计表、统计分析、建议说明、因子名称、因子题目、因子定义、所有题目选项统计、专属推荐；团体报告可以导出。</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系统可添加、修改量表；可以对自主量表设置为隐藏或显示。可添加本单位量表，量表内容包含：量表名称、所属标签、量表介绍、量表指导语、阅读须知、量表说明、适用年龄段、量表总分、量表类型、预警量表、总分类型量表、效度量表设置；提供量表模版导入。可对本单位量表搜索、查看、修改、发布、删除。可搜索、查看关联单位量表。平台提供110套心理测评量表、15种量表标签；量表内容包含：量表名称、量表标签、量表介绍、来源、状态、量表适合最大、最小年龄、量表总分；可以搜索、查看、添加、修改、发布、删除量表。可添加与修改量表组功能，可以添加和修改量表组组名、客户类型、场景描述。可搜索自主量表，对自主量表单个、批量显示或隐藏。</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系统可对测评数据检验分析生成报告，报告可以查看、下载。报告内容包含但不限于：测评时间、报告生成时间、每组各样本差异检验统计分析、各因子差异检验统计分析，分析维度包含：样本数、平均值、标准差、方差、α显著性水平、F值、P值、t值、正态分布值。对本单位已结束的团体测评活动进行检验分析。对同一活动中的有效测评人员，依据所属组织、性别选择样本数据进行T检验分析生成分析报告。</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10、系统可对科普资源、科普精选资源、心理训练资源进行查看、搜索、添加、置顶、删除。可查看本单位、上级、平台的科普内容，通过科普标签、科普类型、发布时间、上架状态、置顶状态搜索科普内容。可以添加、查看、编辑、置顶、下架、禁用科普内容，科普类型分为：文章、音频、视频。可添加科普内容，信息包含：标题、标签、来源、作者、发布终端、封面、介绍、精选设置。包含：异性交往、学习方式、青春期困惑、家庭教育、职场生涯、情绪情感、人际交往、心理健康、能力个性、学业问题、亲子关系、抑郁专题、其他共15种科普标签。可以通过科普标题、科普类型、科普标签、引入时间、置顶状态搜索科普资源，加入科普精选。可以按标题、标签、置顶状态、上架状态、发布时间搜索心理训练，可以添加未引用的训练内容，可以查看、置顶、上架、删除心理训练。</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11、系统可添加心理委员，可以对单位负责人、心理委员的谈心谈话、周报月报添加、搜索、导出。谈心谈话分为单位负责人、心理委员上报的谈心谈话。可以通过上报人、谈话对象、上报时间、谈话时间、心理状态进行搜索谈心谈话记录。可通过填写姓名、谈话地点、原因、时间、内容、心理状态判定和上传附件添加谈心谈话。可导出谈心谈话记录。心理周报分为单位负责人、心理委员上报的心理周报。可以通过周报名称、提交人、上报状态、提交时间搜索心理周报。可通过填写周报编号、人员心理动向、心理健康建议、经历及感悟、其他问题及对自己的工作评价建议添加心理周报。可导出谈心谈话记录心理周报。心理月报分为单位负责人、心理委员上报的心理月报。可以通过月报名称、提交人、上报状态、提交时间搜索心理月报。可通过填写月报编号、人员心理动向、心理健康建议、经历及感悟、其他问题及对自己的工作评价建议添加心理月报。可导出心理月报。</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12、系统可添加、搜索、查看咨询记录，咨询记录来源包含但不限于：服务站咨询、线下咨询、预约咨询。可根据咨询维度、心理状态、预警程度、数据来源、咨询内容添加、添加附件添加咨询记录；通过账号、姓名、咨询来源查看、搜索咨询记录，管理评级审核。</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13、系统可搜索、查看、导出、批量处理、转介心理预警人员，可以更换量表发起再次测评，。可对预警名单查看、再次测评、导出名单、批量处理、转介。可通过设置预警范围、测评时间、更换量表发起再次测评。系统可提供团体测评预警、个体测评预警、综合预警3类预警管理。可显示综合预警来源，信息包含：咨询记录、谈心谈话记录、自主测评。可以搜索、查看团体测评、个体测评与综合预警；可对预警人员干预处理。可查看团体报告、预警人员报告。系统可通过单位人员账号、名称、测评时间、预警状态搜索自主测评报告。可显示来源为小程序、物联设备的自主报告；可以查看报告。可以对转介人员进行搜索、查看、转介撤销、数据导出等操作。</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14、系统可以对数据统计进行管理，包括综合统计、测评活动、人员数据、预警干预、咨询预约、科普内容、谈心谈话。综合统计内容包含：数据总览；以饼状图显示人员名册数据统计、管理员数据统计，以柱状图显示测评预警人数统计分析、心理预约数据统计。测评活动统计内容包含：数据总览；以柱状图显示近一年团体测评活动数据统计、近一年测评量表使用情况排行榜、心理健康与行为问题统计分析。人员数据统计内容包含：数据总览；以柱状图呈现内部组织人数分布情况、人员类别统计，以饼状图呈现男女占比统计，以折线图历年人员增长情况数据分析。预警干预统计内容包含：数据总览；以饼状图呈现测评预警人员统计分析，柱状图呈现预警干预处理情况分析、各组织危机干预人数和次数对比统计。咨询预约统计内容包含：数据总览；以柱状图呈现近一年咨询预约人数统计、不同维度男女咨询人数统计、排班人员预约统计排名情况，以饼状图呈现男女占比统计。谈心谈话统计内容包含：数据总览；以柱状图呈现谈心谈话预警人员统计分析，以饼状图呈现谈心谈话预警干预处理情况分析，以折线图呈现近一年谈心谈话每月次变化。</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15、系统可搜索、查看、解绑物联设备；可查看物联设备生成的量表测评报告、生理检测报告，可以导出报告；可以搜索、查看通话记录；可搜索、查看、回复心理信件，信件的来源包含但不限于小程序、物联设备。通过单位名称、设备码、设备名、随机码搜索物联设备，可查看、解绑物联设备。查看物联设备生成的量表测评报告、生理检测报告。可通过测评人姓名、账号、量表、检测时间/区间搜索量表测评报告，测评报告列表显示测评设备、测评量表、测评时间、测评人姓名、测评人账号、报告；可导出报告。可通过测评人姓名、账号、检索时间/区间搜索生理检测报告，检测报告列表显示检测设备、检测时间、检测姓名、检测账号、报告；可导出报告。可通过账号、机器标识、时间搜索通话记录，可查看通话记录，信息包含：单位名称、单位账号、设备类型、机器标识、设备昵称、接听方式、通话开始时间、通话结束时间、通话时长、总时长、接听人、拨打人。可显示总通话分钟数、已通话分钟数、未通话分钟数。可查看单位名称、单位账号、设备名称、充值时间、充值分钟数；可以通过单位名称、单位账号、充值时间段搜索充值记录。可通过姓名、账号、回复状态、公开状态、信件来源、写信起止时间段搜索信件。可以显示信件来源，来源包含：小程序、物联设备。可以查看、回复、公开信件。</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16、系统可实现对预约咨询师与预约功能室进行搜索、添加、查看、模版添加、设置管理；可以编辑咨询师预约须知、功能室使用预约须知；可以移除失约人员；可编辑失约次数。可显示心理咨询师不同日期的预约记录，记录包含：排班人员、排班日期、咨询日期、咨询维度、咨询内容、预约人群、预约人员；可查看、取消预约。系统提咨询预约签到管理功能，可对预约人员签到、标记失约。可根据排班人员、排班角色、排班日期、时间模版、人员职称、排班人员简介新增预约咨询；可取消某一时段预约安排。可添加预约咨询记录，记录包含：咨询维度、咨询内容、预约人群类型、预约人员姓名。可通过设置功能室名称、负责人、联系方式、地址、启用与禁用状态、封面图片新增功能室；可对功能室信息编辑。可根据排班日期、排班模版进行排班。可查看功能室名称、时间、预约人数、预约状态。可查看预约人、预约时间段、联系方式、所属组织、当前状态。可搜索、添加、编辑、禁用预约时间模版。可以为预约咨询师、预约功能室添加预约时间模版，添加内容包含：模版名称、时间安排。系统提供预约设置功能，可以编辑心理咨询预约须知、功能室使用预约须知；可以移除失约人员；可以编辑失约次数。</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17、系统可呈现本组织人员数量、管理员数量，显示创建测评、添加人员、添加角色、添加账号和预警人员查看的快捷操作选项；显示测评任务列表。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18、可对科普资源进行条件筛选查看，可对资源置顶、下架、删除操作。显示其他推荐资源。</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19、可对个体测评与团体测评活动的创建，对量表介绍进行呈现设置。可通过关键词检索指定的测评活动，可对测评活动进行停用、提前结束、延长。可通过测评信息可查看测评进度、个体、团体报告。</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20、可通过日历查看预约咨询排班与预约情况，可添加预约咨询详情。</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21、提供用户待完成测评活动消息提醒，可查看任务信息，包含：测评名称、发起单位、测评咨询师、测评活动时间、发起时间等信息。</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22、学生可一键参与测评任务，可在测评前完善用户信息，包括：人员类型、民族、所属单位、姓名、出生日期、性别。提供答题速度过快提醒，答题结束自动提交。</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23、可查看历史测评记录，记录包含：显示测评活动、负责人、量表、测评活动时间、活动状态、报告明细。</w:t>
            </w:r>
          </w:p>
        </w:tc>
        <w:tc>
          <w:tcPr>
            <w:tcW w:w="8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6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tblLayout w:type="fixed"/>
          <w:tblCellMar>
            <w:top w:w="0" w:type="dxa"/>
            <w:left w:w="0" w:type="dxa"/>
            <w:bottom w:w="0" w:type="dxa"/>
            <w:right w:w="0" w:type="dxa"/>
          </w:tblCellMar>
        </w:tblPrEx>
        <w:trPr>
          <w:trHeight w:val="8160" w:hRule="atLeast"/>
        </w:trPr>
        <w:tc>
          <w:tcPr>
            <w:tcW w:w="7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17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56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left"/>
              <w:rPr>
                <w:rFonts w:hint="eastAsia" w:asciiTheme="minorEastAsia" w:hAnsiTheme="minorEastAsia" w:eastAsiaTheme="minorEastAsia" w:cstheme="minorEastAsia"/>
                <w:i w:val="0"/>
                <w:color w:val="000000"/>
                <w:sz w:val="24"/>
                <w:szCs w:val="24"/>
                <w:highlight w:val="none"/>
                <w:u w:val="none"/>
              </w:rPr>
            </w:pPr>
          </w:p>
        </w:tc>
        <w:tc>
          <w:tcPr>
            <w:tcW w:w="8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6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r>
      <w:tr>
        <w:tblPrEx>
          <w:tblLayout w:type="fixed"/>
          <w:tblCellMar>
            <w:top w:w="0" w:type="dxa"/>
            <w:left w:w="0" w:type="dxa"/>
            <w:bottom w:w="0" w:type="dxa"/>
            <w:right w:w="0" w:type="dxa"/>
          </w:tblCellMar>
        </w:tblPrEx>
        <w:trPr>
          <w:trHeight w:val="8160" w:hRule="atLeast"/>
        </w:trPr>
        <w:tc>
          <w:tcPr>
            <w:tcW w:w="7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17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56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left"/>
              <w:rPr>
                <w:rFonts w:hint="eastAsia" w:asciiTheme="minorEastAsia" w:hAnsiTheme="minorEastAsia" w:eastAsiaTheme="minorEastAsia" w:cstheme="minorEastAsia"/>
                <w:i w:val="0"/>
                <w:color w:val="000000"/>
                <w:sz w:val="24"/>
                <w:szCs w:val="24"/>
                <w:highlight w:val="none"/>
                <w:u w:val="none"/>
              </w:rPr>
            </w:pPr>
          </w:p>
        </w:tc>
        <w:tc>
          <w:tcPr>
            <w:tcW w:w="8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6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r>
      <w:tr>
        <w:tblPrEx>
          <w:shd w:val="clear" w:color="auto" w:fill="auto"/>
          <w:tblLayout w:type="fixed"/>
          <w:tblCellMar>
            <w:top w:w="0" w:type="dxa"/>
            <w:left w:w="0" w:type="dxa"/>
            <w:bottom w:w="0" w:type="dxa"/>
            <w:right w:w="0" w:type="dxa"/>
          </w:tblCellMar>
        </w:tblPrEx>
        <w:trPr>
          <w:trHeight w:val="8160" w:hRule="atLeast"/>
        </w:trPr>
        <w:tc>
          <w:tcPr>
            <w:tcW w:w="7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17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56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left"/>
              <w:rPr>
                <w:rFonts w:hint="eastAsia" w:asciiTheme="minorEastAsia" w:hAnsiTheme="minorEastAsia" w:eastAsiaTheme="minorEastAsia" w:cstheme="minorEastAsia"/>
                <w:i w:val="0"/>
                <w:color w:val="000000"/>
                <w:sz w:val="24"/>
                <w:szCs w:val="24"/>
                <w:highlight w:val="none"/>
                <w:u w:val="none"/>
              </w:rPr>
            </w:pPr>
          </w:p>
        </w:tc>
        <w:tc>
          <w:tcPr>
            <w:tcW w:w="8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6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r>
      <w:tr>
        <w:tblPrEx>
          <w:shd w:val="clear" w:color="auto" w:fill="auto"/>
          <w:tblLayout w:type="fixed"/>
          <w:tblCellMar>
            <w:top w:w="0" w:type="dxa"/>
            <w:left w:w="0" w:type="dxa"/>
            <w:bottom w:w="0" w:type="dxa"/>
            <w:right w:w="0" w:type="dxa"/>
          </w:tblCellMar>
        </w:tblPrEx>
        <w:trPr>
          <w:trHeight w:val="8160" w:hRule="atLeast"/>
        </w:trPr>
        <w:tc>
          <w:tcPr>
            <w:tcW w:w="7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17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56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left"/>
              <w:rPr>
                <w:rFonts w:hint="eastAsia" w:asciiTheme="minorEastAsia" w:hAnsiTheme="minorEastAsia" w:eastAsiaTheme="minorEastAsia" w:cstheme="minorEastAsia"/>
                <w:i w:val="0"/>
                <w:color w:val="000000"/>
                <w:sz w:val="24"/>
                <w:szCs w:val="24"/>
                <w:highlight w:val="none"/>
                <w:u w:val="none"/>
              </w:rPr>
            </w:pPr>
          </w:p>
        </w:tc>
        <w:tc>
          <w:tcPr>
            <w:tcW w:w="8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6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r>
      <w:tr>
        <w:tblPrEx>
          <w:shd w:val="clear" w:color="auto" w:fill="auto"/>
          <w:tblLayout w:type="fixed"/>
          <w:tblCellMar>
            <w:top w:w="0" w:type="dxa"/>
            <w:left w:w="0" w:type="dxa"/>
            <w:bottom w:w="0" w:type="dxa"/>
            <w:right w:w="0" w:type="dxa"/>
          </w:tblCellMar>
        </w:tblPrEx>
        <w:trPr>
          <w:trHeight w:val="8160" w:hRule="atLeast"/>
        </w:trPr>
        <w:tc>
          <w:tcPr>
            <w:tcW w:w="7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17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56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left"/>
              <w:rPr>
                <w:rFonts w:hint="eastAsia" w:asciiTheme="minorEastAsia" w:hAnsiTheme="minorEastAsia" w:eastAsiaTheme="minorEastAsia" w:cstheme="minorEastAsia"/>
                <w:i w:val="0"/>
                <w:color w:val="000000"/>
                <w:sz w:val="24"/>
                <w:szCs w:val="24"/>
                <w:highlight w:val="none"/>
                <w:u w:val="none"/>
              </w:rPr>
            </w:pPr>
          </w:p>
        </w:tc>
        <w:tc>
          <w:tcPr>
            <w:tcW w:w="8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6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r>
      <w:tr>
        <w:tblPrEx>
          <w:tblLayout w:type="fixed"/>
          <w:tblCellMar>
            <w:top w:w="0" w:type="dxa"/>
            <w:left w:w="0" w:type="dxa"/>
            <w:bottom w:w="0" w:type="dxa"/>
            <w:right w:w="0" w:type="dxa"/>
          </w:tblCellMar>
        </w:tblPrEx>
        <w:trPr>
          <w:trHeight w:val="8160" w:hRule="atLeast"/>
        </w:trPr>
        <w:tc>
          <w:tcPr>
            <w:tcW w:w="7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17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56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left"/>
              <w:rPr>
                <w:rFonts w:hint="eastAsia" w:asciiTheme="minorEastAsia" w:hAnsiTheme="minorEastAsia" w:eastAsiaTheme="minorEastAsia" w:cstheme="minorEastAsia"/>
                <w:i w:val="0"/>
                <w:color w:val="000000"/>
                <w:sz w:val="24"/>
                <w:szCs w:val="24"/>
                <w:highlight w:val="none"/>
                <w:u w:val="none"/>
              </w:rPr>
            </w:pPr>
          </w:p>
        </w:tc>
        <w:tc>
          <w:tcPr>
            <w:tcW w:w="8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6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r>
      <w:tr>
        <w:tblPrEx>
          <w:tblLayout w:type="fixed"/>
          <w:tblCellMar>
            <w:top w:w="0" w:type="dxa"/>
            <w:left w:w="0" w:type="dxa"/>
            <w:bottom w:w="0" w:type="dxa"/>
            <w:right w:w="0" w:type="dxa"/>
          </w:tblCellMar>
        </w:tblPrEx>
        <w:trPr>
          <w:trHeight w:val="312" w:hRule="atLeast"/>
        </w:trPr>
        <w:tc>
          <w:tcPr>
            <w:tcW w:w="7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17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56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left"/>
              <w:rPr>
                <w:rFonts w:hint="eastAsia" w:asciiTheme="minorEastAsia" w:hAnsiTheme="minorEastAsia" w:eastAsiaTheme="minorEastAsia" w:cstheme="minorEastAsia"/>
                <w:i w:val="0"/>
                <w:color w:val="000000"/>
                <w:sz w:val="24"/>
                <w:szCs w:val="24"/>
                <w:highlight w:val="none"/>
                <w:u w:val="none"/>
              </w:rPr>
            </w:pPr>
          </w:p>
        </w:tc>
        <w:tc>
          <w:tcPr>
            <w:tcW w:w="8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6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r>
      <w:tr>
        <w:tblPrEx>
          <w:shd w:val="clear" w:color="auto" w:fill="auto"/>
          <w:tblLayout w:type="fixed"/>
          <w:tblCellMar>
            <w:top w:w="0" w:type="dxa"/>
            <w:left w:w="0" w:type="dxa"/>
            <w:bottom w:w="0" w:type="dxa"/>
            <w:right w:w="0" w:type="dxa"/>
          </w:tblCellMar>
        </w:tblPrEx>
        <w:trPr>
          <w:trHeight w:val="1265"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13</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房树人心理测验辅导管理系统</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产品功能：</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1、B/S架构：系统安全性高，稳定性强，即可以在局域网、互联网上使用，也可以在单机上使用，界面新颖、简洁；平台的网络功能使用户无需安装客户端即可使用该系统，并进行个体或团体测试。</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2、多级用户：该系统设计了3级用户：系统管理员，咨询师和测试者。用户根据其权限划分了其所管辖的功能，确保各级用户之间的正常使用，同时保证各级用户的信息隐私性。</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3、团体测评：系统支持多人在线测评，自动生成报告，为学校用户提供方便快捷的测评方式。</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4、绘画分析：根据测试者作品，基于房子、树、人和构图等50个方面的不同特征进行匹配，系统根据分析特征，自动生成评价报告，用户可查看报告，实现自我的认识和分析。</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5、专业手记：咨询师对用户的测评结果和测评过程可自定义添加手记，方便日后咨询师更加详细的了解当时的用户测试情况。</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6、一键导入、导出：系统提供了用户信息一键导入功能，方便系统管理员创建平台上的用户；系统支持测评结果一键导出功能，生成可打印版本，方便用户保存和打印。</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7、测试用户：档案账号涵盖学号/工号、姓名、性别、出生日期、民族、血型、学历、QQ、职业、邮箱、地区、独生子女、单亲家庭等详细的用户数据。</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8、安全加密：系统在传输和保存数据过程中采用了MD5加密以及RES加密方式，确保用户信息的保密性；加密狗：每套系统采用独立的加密狗，只有确保加密狗正常连接系统时才可使用，确保了平台的安全性。</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9、档案管理：系统根据其权限为心理咨询师设计相应的用户管理权限，方便管理用户以及用户可进行相应的管理功能；系统为用户常用的操作设置快捷按钮，提高使用效率。</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10、等级管理：系统管理员根据其系统需要，设置相应的人员信息，确保该系统正常运行；系统提供反向权限开放机制，确保系统平台上心理咨询师及其来访者的信息私密性以及安全性。</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11、在线绘画：系统支持传统的纸质绘画，同时支持在线绘画，在线画板提供6种画板使用工具，让来访者充分描绘其所描绘的场景。</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270" w:hRule="atLeast"/>
        </w:trPr>
        <w:tc>
          <w:tcPr>
            <w:tcW w:w="978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三、沙盘活动区</w:t>
            </w:r>
          </w:p>
        </w:tc>
      </w:tr>
      <w:tr>
        <w:tblPrEx>
          <w:tblLayout w:type="fixed"/>
          <w:tblCellMar>
            <w:top w:w="0" w:type="dxa"/>
            <w:left w:w="0" w:type="dxa"/>
            <w:bottom w:w="0" w:type="dxa"/>
            <w:right w:w="0" w:type="dxa"/>
          </w:tblCellMar>
        </w:tblPrEx>
        <w:trPr>
          <w:trHeight w:val="27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序号</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产品名称</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规格参数</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单位</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数量</w:t>
            </w:r>
          </w:p>
        </w:tc>
      </w:tr>
      <w:tr>
        <w:tblPrEx>
          <w:shd w:val="clear" w:color="auto" w:fill="auto"/>
          <w:tblLayout w:type="fixed"/>
          <w:tblCellMar>
            <w:top w:w="0" w:type="dxa"/>
            <w:left w:w="0" w:type="dxa"/>
            <w:bottom w:w="0" w:type="dxa"/>
            <w:right w:w="0" w:type="dxa"/>
          </w:tblCellMar>
        </w:tblPrEx>
        <w:trPr>
          <w:trHeight w:val="360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沙盘游戏活动套装</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产品配置：</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1.标准沙盘1套：内侧尺寸720*570*70mm（±5MM），边厚17mm，总高度680mm，采用全实木材质，海蓝色设计，表面光滑不伤手，耐磨不掉色，底部安装防滑处理，上下分体式安装，便于移动和搬运。</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2.沙具摆放柜1套：尺寸1600*1200*300mm（±5MM），5层9阶设计，充分满足不同类别沙具按不同阶层分类摆放的要求，便于来访者清晰地看到全部沙具，采用全实木材质，结构稳定大方，天然木纹色。</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3.沙具600个：包括人物、动物、植物、建筑物、食品果实、家具生活用品、交通工具、自然景观、宗教等18大类及若干次类别，材质采用树脂、陶瓷、ABS工程塑料等。</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4.沙子25kg：天然专用海沙或石英砂。</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5.沙盘辅助工具1套：包括沙耙、沙刷、沙铲、沙桶、水壶，可用于选取沙具，盛放、移动沙子或清水；标准皮蹲4个。</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270" w:hRule="atLeast"/>
        </w:trPr>
        <w:tc>
          <w:tcPr>
            <w:tcW w:w="978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四、心理宣泄区</w:t>
            </w:r>
          </w:p>
        </w:tc>
      </w:tr>
      <w:tr>
        <w:tblPrEx>
          <w:tblLayout w:type="fixed"/>
          <w:tblCellMar>
            <w:top w:w="0" w:type="dxa"/>
            <w:left w:w="0" w:type="dxa"/>
            <w:bottom w:w="0" w:type="dxa"/>
            <w:right w:w="0" w:type="dxa"/>
          </w:tblCellMar>
        </w:tblPrEx>
        <w:trPr>
          <w:trHeight w:val="27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序号</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产品名称</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规格参数</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单位</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数量</w:t>
            </w:r>
          </w:p>
        </w:tc>
      </w:tr>
      <w:tr>
        <w:tblPrEx>
          <w:tblLayout w:type="fixed"/>
          <w:tblCellMar>
            <w:top w:w="0" w:type="dxa"/>
            <w:left w:w="0" w:type="dxa"/>
            <w:bottom w:w="0" w:type="dxa"/>
            <w:right w:w="0" w:type="dxa"/>
          </w:tblCellMar>
        </w:tblPrEx>
        <w:trPr>
          <w:trHeight w:val="6140" w:hRule="atLeast"/>
        </w:trPr>
        <w:tc>
          <w:tcPr>
            <w:tcW w:w="7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176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智能多维身心训练系统</w:t>
            </w:r>
          </w:p>
        </w:tc>
        <w:tc>
          <w:tcPr>
            <w:tcW w:w="56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一、产品功能</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1、系统支持单机、网络物联两种模式使用，单机模式下用户可以以游客身份登录或以注册帐号登录，登陆后可进入训练。</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2、包含角色选择、开始游戏、切换帐号、我的信息、宝藏库、系统设置、退出等快捷键，方便用户直接进入相应训练板块。</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3、系统提供抱抱兔、暖暖心两种卡通形象的角色。</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4、系统包含情绪迷宫、考场困境、心沟通、茶话会、逍遥游等训练场景内容，参与者可选择低、中、高三级难度，系统含有闯关模式、自由模式。</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5、闯关模式下上一关训练结束后，提示用户是否进入下一关。</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6、自由模式下，训练中用户可自由切换训练场景。结束训练后回到选择界面。</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7、通关后可生成用户训练报告，报告可自动上传至平台。</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8、系统通过3D动画的场景把训练者带入训练场景。</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9、训练场景含详细的操作说明。</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10、可以通过呐喊或击打的形式打破训练场景中的障碍物，不同场景下障碍物不同。每次训练过关后会随机获得宝藏奖励。</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11、情绪迷宫通过操纵屏幕左下角的轮盘、或移动角色进行操作，带领角色走出迷宫，也可以选择跳过该操作，直接近入训练场景。进入训练场景后通过清除场景中的障碍物完成训练。场景墙内容包含：悲伤、愤懑、迷茫、阴郁、忧愁、恼怒、哀痛、沮丧等情绪类的文字。训练过程中通过角色内心积极与消极的对话，展示角色的心路成长历程，训练结束后获得宝藏奖励。</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12、考场困境通过操纵屏屏幕左下角的轮盘、或移动角色进行操作，带领角色避开道路上的障碍物，帮助角色到达终点，完成后给予三星胜利好评，可以选择跳过该操作，直接近入训练场景。进入情绪半透明幕墙训练场景后，通过击打或呐喊清除障碍物，进入教室获得宝藏。场景墙内容包含：焦虑、紧张、困顿、烦闷、焦躁、恐惧、担忧、压抑、自我怀疑。</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13、心沟通通过移动“情绪词”将其放到对应的卡通人物表情“空白框”中，帮助角色匹配对应的情绪后打破心中隔阂，墙内外的两个角色通过对话训练消除隔阂，过关后两个角色相拥，并获得宝藏。</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14、茶话会中两个角色被困在一个废旧的院子场景内，通过找出画面中所有的暖暖心卡通形象、清除障碍墙，走出院子参加茶话会，过关后获得宝藏。</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15、逍遥游通过把所有文字拼成成语，进入训练场景。通过清除场景中的障碍物完成训练，过关后获得宝藏。场景墙内容包含但不限于解除封闭、固步自封、保守、偏见、刻板、固执、压抑、闭锁等。</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16、我的信息包含用户帐号信息及我的历史报告内容。</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17、宝藏库含用户的通关奖励。</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18、系统可以设置音乐音量大小、音效音量大小、训练模式切换。</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19、管理员可添加、查看、删除、编辑用户信息，查看用户训练报告。</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二、产品配置：</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1、一级冷轧钢板，喷塑工艺，尺寸980mm×1630mm×450mm（±5MM）。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2、触摸终端，显示尺寸42英寸，分辨率1920(H)×1080（V），触摸类型10点触摸，处理器i7，内存8G，固态硬盘250G,独立显卡1060,显存4G。</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3、击打柱：圆柱式外形，采用PU皮包裹，高回力芯填充，整体高度160cm，底座可选择注沙或注水。</w:t>
            </w:r>
          </w:p>
        </w:tc>
        <w:tc>
          <w:tcPr>
            <w:tcW w:w="8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6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2293" w:hRule="atLeast"/>
        </w:trPr>
        <w:tc>
          <w:tcPr>
            <w:tcW w:w="7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17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56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left"/>
              <w:rPr>
                <w:rFonts w:hint="eastAsia" w:asciiTheme="minorEastAsia" w:hAnsiTheme="minorEastAsia" w:eastAsiaTheme="minorEastAsia" w:cstheme="minorEastAsia"/>
                <w:i w:val="0"/>
                <w:color w:val="000000"/>
                <w:sz w:val="24"/>
                <w:szCs w:val="24"/>
                <w:highlight w:val="none"/>
                <w:u w:val="none"/>
              </w:rPr>
            </w:pPr>
          </w:p>
        </w:tc>
        <w:tc>
          <w:tcPr>
            <w:tcW w:w="8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6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r>
      <w:tr>
        <w:tblPrEx>
          <w:tblLayout w:type="fixed"/>
          <w:tblCellMar>
            <w:top w:w="0" w:type="dxa"/>
            <w:left w:w="0" w:type="dxa"/>
            <w:bottom w:w="0" w:type="dxa"/>
            <w:right w:w="0" w:type="dxa"/>
          </w:tblCellMar>
        </w:tblPrEx>
        <w:trPr>
          <w:trHeight w:val="264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儿通宣泄套装</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儿童宣泄人：采用卡通人造型，高弹硅胶材质，质感细腻，弹性可以模拟人体肌肉，击打手感舒适且不易造成伤害，整体高度可选择125cm、140cm、155cm三挡进行调整，适合儿童与青少年使用，底座可选择注沙或注水，稳定性高。</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2、儿童宣泄柱：采用圆柱式外形，高品质PU皮包裹，高回力芯填充，整体高度不高于140cm，适合儿童与青少年使用，底座可选择注沙或注水，稳定性高。</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3、充气宣泄球：采用高品质PVC塑胶材质，柔软、防滑、抗裂，需充气使用，直径应60cm。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4、充气宣泄棒：内胆采用高品质PVC塑胶材质，外层材质柔软、防滑、抗裂，需充气使用，长度不应低于70cm。</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270" w:hRule="atLeast"/>
        </w:trPr>
        <w:tc>
          <w:tcPr>
            <w:tcW w:w="978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五、团体活动区</w:t>
            </w:r>
          </w:p>
        </w:tc>
      </w:tr>
      <w:tr>
        <w:tblPrEx>
          <w:tblLayout w:type="fixed"/>
          <w:tblCellMar>
            <w:top w:w="0" w:type="dxa"/>
            <w:left w:w="0" w:type="dxa"/>
            <w:bottom w:w="0" w:type="dxa"/>
            <w:right w:w="0" w:type="dxa"/>
          </w:tblCellMar>
        </w:tblPrEx>
        <w:trPr>
          <w:trHeight w:val="27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序号</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产品名称</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规格参数</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单位</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数量</w:t>
            </w:r>
          </w:p>
        </w:tc>
      </w:tr>
      <w:tr>
        <w:tblPrEx>
          <w:shd w:val="clear" w:color="auto" w:fill="auto"/>
          <w:tblLayout w:type="fixed"/>
          <w:tblCellMar>
            <w:top w:w="0" w:type="dxa"/>
            <w:left w:w="0" w:type="dxa"/>
            <w:bottom w:w="0" w:type="dxa"/>
            <w:right w:w="0" w:type="dxa"/>
          </w:tblCellMar>
        </w:tblPrEx>
        <w:trPr>
          <w:trHeight w:val="192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团体活动箱</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1、活动方案包含但活动目的、活动时间、活动道具、活动场地、活动程序等具体说明。</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团体活动箱道具支持47种团体活动方案。包括趣味介绍，直呼其名，地雷阵，我说你剪，盲人旅行，能量传递，走进绳圈，气球大赛，超级链接，目标搜索，积极赋义，生命线，积极赋义，我是谁，目标搜索，人生八宝箱，自我效能，计算器，争分夺秒，心理资本，同心协力，心灵启迪，感觉气球，镜子活动，穿越生死线，南辕北辙，集思广益等。</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箱</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312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情景剧团体活动箱</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心理情景剧团体活动箱基于精神分析学派的治疗方法，导演将“主角”的个人议题在其他角色的辅助下编导成一幕剧，使成员把平时压抑的情绪通过表演得以释放、宣泄，提高共情能力以及看问题的不同视角，其根本目的是提高个人的心理健康水平。</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情景剧团体活动箱包含30种颜色的丝巾，用于导演创伤场景的创伤衣以及辅助治疗师进行暖身活动的卡片，辅助放松的各种嗅觉和听觉道具以及面具等。在心理剧中让成员自主选择自己喜爱的丝巾代表自己想拥有或者是已经具有的力量。卡片同样具有认识自我力量的功能，选择卡片不仅可以让成员发现自己的力量，而且通过分享环节也可以促进团体活力和拓展认知，卡片的运用可以贯穿整个治疗活动。嗅觉和听觉道具可辅助放松，也可用于构建力量感。面具和头饰类用于演绎主角的独特，帮助主角更好地表达和探索自己的情感。</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箱</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456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户外素质拓展箱</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一、产品概述：</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团体心理游戏，是心理工作最重要的内容之一，因为它可以通过游戏来释放人们的创造力、内在感觉和记忆，并将它们带到外在现实，运用在学校、企业等各种团队。相关的指导手册、活动器材及相关培训等，都是开展工作的必须工具。为了满足广大心理老师的这一需求，方便团体心理游戏训练有声有色的开展，研发人员结合团体心理游戏，精心研发了此款团体心理游戏工具包。</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二、素质拓展活动列表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1、有轨电车2、相依为命3、突破雷阵4、穿越电网5、盗梦空间6、能量传输7、无敌风火轮8、同心鼓9、兄弟连10、齐眉棍</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三、产品特点：</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1、拉杆手提箱:携手提箱更好的方便老师在室内外，开展团体活动；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2、团体活动器材:基本包含活动所需的全部道具（除特殊仪器外）；所配置道具大多可重复利用，避免浪费。</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3、活动方案说明：提供10个活动的完整方案，包括活动目的、活动形式、活动时间、活动场地、活动准备、活动程序及注意事项等具体说明，同时配备10款游戏视频案例，便于老师开展团体拓展活动。</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箱</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168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团体活动桌椅</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一、系统组成：</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1.8张扇形桌，当拼凑为圆形时，尺寸不小于1800*700mm。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2.8张折叠椅，椅高80cm、坐高45cm。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二、设备参数：</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8张扇形桌可拼成圆形、S型、直线型等，桌面钢琴烤漆，不锈钢管支架。粉色、浅蓝、浅绿等共8种不同颜色搭配，便于活动小组讨论。</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w:t>
            </w:r>
          </w:p>
        </w:tc>
      </w:tr>
      <w:tr>
        <w:tblPrEx>
          <w:shd w:val="clear" w:color="auto" w:fill="auto"/>
          <w:tblLayout w:type="fixed"/>
          <w:tblCellMar>
            <w:top w:w="0" w:type="dxa"/>
            <w:left w:w="0" w:type="dxa"/>
            <w:bottom w:w="0" w:type="dxa"/>
            <w:right w:w="0" w:type="dxa"/>
          </w:tblCellMar>
        </w:tblPrEx>
        <w:trPr>
          <w:trHeight w:val="27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活动涂鸦板</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配套</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270" w:hRule="atLeast"/>
        </w:trPr>
        <w:tc>
          <w:tcPr>
            <w:tcW w:w="978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六、身心反馈放松区</w:t>
            </w:r>
          </w:p>
        </w:tc>
      </w:tr>
      <w:tr>
        <w:tblPrEx>
          <w:tblLayout w:type="fixed"/>
          <w:tblCellMar>
            <w:top w:w="0" w:type="dxa"/>
            <w:left w:w="0" w:type="dxa"/>
            <w:bottom w:w="0" w:type="dxa"/>
            <w:right w:w="0" w:type="dxa"/>
          </w:tblCellMar>
        </w:tblPrEx>
        <w:trPr>
          <w:trHeight w:val="27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序号</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产品名称</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规格参数</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单位</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数量</w:t>
            </w:r>
          </w:p>
        </w:tc>
      </w:tr>
      <w:tr>
        <w:tblPrEx>
          <w:shd w:val="clear" w:color="auto" w:fill="auto"/>
          <w:tblLayout w:type="fixed"/>
          <w:tblCellMar>
            <w:top w:w="0" w:type="dxa"/>
            <w:left w:w="0" w:type="dxa"/>
            <w:bottom w:w="0" w:type="dxa"/>
            <w:right w:w="0" w:type="dxa"/>
          </w:tblCellMar>
        </w:tblPrEx>
        <w:trPr>
          <w:trHeight w:val="312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17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体感放松椅</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1、姿态控制系统：放松椅靠背、腿部联动电机控制，可通过手动按钮操作，控制面板带有2个5V2AUSB充电接口。</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2、音乐单元：肩部内置两个全频高保真喇叭。</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3、体感单元：背部与座部内置6个低频15W振子，整体振动功率90W。</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功放系统:采用无线通讯，支持平板软件对放松椅控制，可控制音量强度、体感强度放松椅姿态控制，体感强度与音量强度大小可独立调整独立静音，当功放系统外接耳机时，放松椅全频喇叭静音，体感振子持续工作。</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5、采用高品质小牛皮包覆，与肌肤接触舒适。</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6、尺寸：1000mm*900mm*1000mm（±5MM）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7、放松抱枕毯：整体尺寸40*40，重量290克，放开尺寸1.2*1.5米。</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8180" w:hRule="atLeast"/>
        </w:trPr>
        <w:tc>
          <w:tcPr>
            <w:tcW w:w="77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w:t>
            </w:r>
          </w:p>
        </w:tc>
        <w:tc>
          <w:tcPr>
            <w:tcW w:w="176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体感音乐脉搏反馈椅</w:t>
            </w:r>
          </w:p>
        </w:tc>
        <w:tc>
          <w:tcPr>
            <w:tcW w:w="56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一、产品功能：</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1、管理员可以查看管理员权限功能，包括用户管理、报告管理、图表管理、系统管理、健康检测、呼吸训练、调养中心等。</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2、用户可以查看普通用户权限功能，包括报告管理、健康检测、呼吸训练、调养中心等。</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3、用户管理：可以新增、修改、删除、查询普通用户账号信息。</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4、报告管理：可以查询、删除用户历史报告信息可以排序、导出用户历史报告信息。</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5、图表管理功能可以使用管理员账号查看所有用户健康检测历史指数信息，包括压力指数、疲劳指数、情绪指数、稳定指数折线图等。</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6、管理员账号系统管理功能可以使用管理员账号管理普通用户账号系统权限信息，包括当前报告查看权限、历史报告查看权限等。</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7、健康检测功能具有精确的脉搏数据检测，可以查看健康检测项目信息，包括CV、DRR、RMSSD、SDSD等。</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8、呼吸训练功可以管理呼吸训练项目信息，包括实物辅助训练、鼻腔呼吸训练等。</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9、可以管理深度调养项目信息，包括肌肉放松、想象放松、精力恢复、消除焦虑等。</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10、高效放松可以管理高效放松项目信息，包括荷花绽放、孔雀开屏、沙漠绿洲、菩提生长等。</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11、冥想释压项目可以管理冥想释压项目信息，包括引导视频、同步检测分析脉搏数据等。</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12、音乐调适项目可以管理音乐调适项目信息，包括五行音乐、放松音乐、冥想音乐等。</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二、产品配置：</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1、姿态控制系统：放松椅靠背、腿部联动电机控制，可通过手动按钮操作，控制面板带有2个5V2AUSB充电接口。</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2、音乐单元：肩部内置两个全频高保真喇叭。</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3、体感单元：背部与座部内置6个低频15W振子，整体振动功率90W。</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功放系统:采用无线通讯，支持平板软件对放松椅控制，可控制音量强度、体感强度放松椅姿态控制，体感强度与音量强度大小可独立调整独立静音，当功放系统外接耳机时，放松椅全频喇叭静音，体感振子持续工作。</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5、采用高品质小牛皮包覆，与肌肤接触舒适。</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6、尺寸：1000mm*900mm*1000mm（±5MM）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7、放松抱枕毯：整体尺寸40*40，重量290克，放开尺寸1.2*1.5米。</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8、触摸终端：显示尺寸10.1英寸，分辨率1920×1200，运行内存4G，存储内存128G。</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9、放松抱枕毯：整体尺寸40*40，重量290克，放开尺寸1.2*1.5米。</w:t>
            </w:r>
          </w:p>
        </w:tc>
        <w:tc>
          <w:tcPr>
            <w:tcW w:w="8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6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312" w:hRule="atLeast"/>
        </w:trPr>
        <w:tc>
          <w:tcPr>
            <w:tcW w:w="77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17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56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left"/>
              <w:rPr>
                <w:rFonts w:hint="eastAsia" w:asciiTheme="minorEastAsia" w:hAnsiTheme="minorEastAsia" w:eastAsiaTheme="minorEastAsia" w:cstheme="minorEastAsia"/>
                <w:i w:val="0"/>
                <w:color w:val="000000"/>
                <w:sz w:val="24"/>
                <w:szCs w:val="24"/>
                <w:highlight w:val="none"/>
                <w:u w:val="none"/>
              </w:rPr>
            </w:pPr>
          </w:p>
        </w:tc>
        <w:tc>
          <w:tcPr>
            <w:tcW w:w="8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6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r>
      <w:tr>
        <w:tblPrEx>
          <w:tblLayout w:type="fixed"/>
          <w:tblCellMar>
            <w:top w:w="0" w:type="dxa"/>
            <w:left w:w="0" w:type="dxa"/>
            <w:bottom w:w="0" w:type="dxa"/>
            <w:right w:w="0" w:type="dxa"/>
          </w:tblCellMar>
        </w:tblPrEx>
        <w:trPr>
          <w:trHeight w:val="270" w:hRule="atLeast"/>
        </w:trPr>
        <w:tc>
          <w:tcPr>
            <w:tcW w:w="9780"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装修建议</w:t>
            </w:r>
          </w:p>
        </w:tc>
      </w:tr>
      <w:tr>
        <w:tblPrEx>
          <w:tblLayout w:type="fixed"/>
          <w:tblCellMar>
            <w:top w:w="0" w:type="dxa"/>
            <w:left w:w="0" w:type="dxa"/>
            <w:bottom w:w="0" w:type="dxa"/>
            <w:right w:w="0" w:type="dxa"/>
          </w:tblCellMar>
        </w:tblPrEx>
        <w:trPr>
          <w:trHeight w:val="27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序号</w:t>
            </w:r>
          </w:p>
        </w:tc>
        <w:tc>
          <w:tcPr>
            <w:tcW w:w="17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项目名称</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项目内容</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单位</w:t>
            </w:r>
          </w:p>
        </w:tc>
        <w:tc>
          <w:tcPr>
            <w:tcW w:w="6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数量</w:t>
            </w:r>
          </w:p>
        </w:tc>
      </w:tr>
      <w:tr>
        <w:tblPrEx>
          <w:shd w:val="clear" w:color="auto" w:fill="auto"/>
          <w:tblLayout w:type="fixed"/>
          <w:tblCellMar>
            <w:top w:w="0" w:type="dxa"/>
            <w:left w:w="0" w:type="dxa"/>
            <w:bottom w:w="0" w:type="dxa"/>
            <w:right w:w="0" w:type="dxa"/>
          </w:tblCellMar>
        </w:tblPrEx>
        <w:trPr>
          <w:trHeight w:val="27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17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造型顶</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轻钢龙骨石膏板吊造型顶</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w:t>
            </w:r>
          </w:p>
        </w:tc>
        <w:tc>
          <w:tcPr>
            <w:tcW w:w="6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100</w:t>
            </w:r>
          </w:p>
        </w:tc>
      </w:tr>
      <w:tr>
        <w:tblPrEx>
          <w:tblLayout w:type="fixed"/>
          <w:tblCellMar>
            <w:top w:w="0" w:type="dxa"/>
            <w:left w:w="0" w:type="dxa"/>
            <w:bottom w:w="0" w:type="dxa"/>
            <w:right w:w="0" w:type="dxa"/>
          </w:tblCellMar>
        </w:tblPrEx>
        <w:trPr>
          <w:trHeight w:val="27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w:t>
            </w:r>
          </w:p>
        </w:tc>
        <w:tc>
          <w:tcPr>
            <w:tcW w:w="17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新建隔墙</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轻钢龙骨石膏板隔墙</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w:t>
            </w:r>
          </w:p>
        </w:tc>
        <w:tc>
          <w:tcPr>
            <w:tcW w:w="6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40</w:t>
            </w:r>
          </w:p>
        </w:tc>
      </w:tr>
      <w:tr>
        <w:tblPrEx>
          <w:tblLayout w:type="fixed"/>
          <w:tblCellMar>
            <w:top w:w="0" w:type="dxa"/>
            <w:left w:w="0" w:type="dxa"/>
            <w:bottom w:w="0" w:type="dxa"/>
            <w:right w:w="0" w:type="dxa"/>
          </w:tblCellMar>
        </w:tblPrEx>
        <w:trPr>
          <w:trHeight w:val="27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w:t>
            </w:r>
          </w:p>
        </w:tc>
        <w:tc>
          <w:tcPr>
            <w:tcW w:w="17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窗帘及窗帘盒</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木工板基层、石膏板饰面，乳胶漆刷白</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w:t>
            </w:r>
          </w:p>
        </w:tc>
        <w:tc>
          <w:tcPr>
            <w:tcW w:w="6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10</w:t>
            </w:r>
          </w:p>
        </w:tc>
      </w:tr>
      <w:tr>
        <w:tblPrEx>
          <w:tblLayout w:type="fixed"/>
          <w:tblCellMar>
            <w:top w:w="0" w:type="dxa"/>
            <w:left w:w="0" w:type="dxa"/>
            <w:bottom w:w="0" w:type="dxa"/>
            <w:right w:w="0" w:type="dxa"/>
          </w:tblCellMar>
        </w:tblPrEx>
        <w:trPr>
          <w:trHeight w:val="27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w:t>
            </w:r>
          </w:p>
        </w:tc>
        <w:tc>
          <w:tcPr>
            <w:tcW w:w="17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墙面乳胶漆</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环保乳胶漆两遍</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w:t>
            </w:r>
          </w:p>
        </w:tc>
        <w:tc>
          <w:tcPr>
            <w:tcW w:w="6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400</w:t>
            </w:r>
          </w:p>
        </w:tc>
      </w:tr>
      <w:tr>
        <w:tblPrEx>
          <w:shd w:val="clear" w:color="auto" w:fill="auto"/>
          <w:tblLayout w:type="fixed"/>
          <w:tblCellMar>
            <w:top w:w="0" w:type="dxa"/>
            <w:left w:w="0" w:type="dxa"/>
            <w:bottom w:w="0" w:type="dxa"/>
            <w:right w:w="0" w:type="dxa"/>
          </w:tblCellMar>
        </w:tblPrEx>
        <w:trPr>
          <w:trHeight w:val="27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w:t>
            </w:r>
          </w:p>
        </w:tc>
        <w:tc>
          <w:tcPr>
            <w:tcW w:w="17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墙面装饰字体+墙绘</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亚克力定制  无明细工程量，为暂定价，结算按实际工程量结算；</w:t>
            </w:r>
            <w:r>
              <w:rPr>
                <w:rFonts w:hint="eastAsia" w:asciiTheme="minorEastAsia" w:hAnsiTheme="minorEastAsia" w:eastAsiaTheme="minorEastAsia" w:cstheme="minorEastAsia"/>
                <w:b/>
                <w:bCs/>
                <w:i w:val="0"/>
                <w:snapToGrid w:val="0"/>
                <w:color w:val="000000"/>
                <w:kern w:val="0"/>
                <w:sz w:val="24"/>
                <w:szCs w:val="24"/>
                <w:highlight w:val="yellow"/>
                <w:u w:val="none"/>
                <w:lang w:val="en-US" w:eastAsia="zh-CN" w:bidi="ar"/>
              </w:rPr>
              <w:t>固定报价为：12100元</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项</w:t>
            </w:r>
          </w:p>
        </w:tc>
        <w:tc>
          <w:tcPr>
            <w:tcW w:w="6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tblLayout w:type="fixed"/>
          <w:tblCellMar>
            <w:top w:w="0" w:type="dxa"/>
            <w:left w:w="0" w:type="dxa"/>
            <w:bottom w:w="0" w:type="dxa"/>
            <w:right w:w="0" w:type="dxa"/>
          </w:tblCellMar>
        </w:tblPrEx>
        <w:trPr>
          <w:trHeight w:val="27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w:t>
            </w:r>
          </w:p>
        </w:tc>
        <w:tc>
          <w:tcPr>
            <w:tcW w:w="17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筒灯及灯带</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LED，每盏尺寸不小于400*400mm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 无明细工程量，为暂定价，结算按实际工程量结算；</w:t>
            </w:r>
            <w:r>
              <w:rPr>
                <w:rFonts w:hint="eastAsia" w:asciiTheme="minorEastAsia" w:hAnsiTheme="minorEastAsia" w:eastAsiaTheme="minorEastAsia" w:cstheme="minorEastAsia"/>
                <w:b/>
                <w:bCs/>
                <w:i w:val="0"/>
                <w:snapToGrid w:val="0"/>
                <w:color w:val="000000"/>
                <w:kern w:val="0"/>
                <w:sz w:val="24"/>
                <w:szCs w:val="24"/>
                <w:highlight w:val="yellow"/>
                <w:u w:val="none"/>
                <w:lang w:val="en-US" w:eastAsia="zh-CN" w:bidi="ar"/>
              </w:rPr>
              <w:t>固定报价为：12100元</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项</w:t>
            </w:r>
          </w:p>
        </w:tc>
        <w:tc>
          <w:tcPr>
            <w:tcW w:w="6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r>
      <w:tr>
        <w:tblPrEx>
          <w:shd w:val="clear" w:color="auto" w:fill="auto"/>
          <w:tblLayout w:type="fixed"/>
          <w:tblCellMar>
            <w:top w:w="0" w:type="dxa"/>
            <w:left w:w="0" w:type="dxa"/>
            <w:bottom w:w="0" w:type="dxa"/>
            <w:right w:w="0" w:type="dxa"/>
          </w:tblCellMar>
        </w:tblPrEx>
        <w:trPr>
          <w:trHeight w:val="27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w:t>
            </w:r>
          </w:p>
        </w:tc>
        <w:tc>
          <w:tcPr>
            <w:tcW w:w="17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墙面软包</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潜水服材质</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w:t>
            </w:r>
          </w:p>
        </w:tc>
        <w:tc>
          <w:tcPr>
            <w:tcW w:w="6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20</w:t>
            </w:r>
          </w:p>
        </w:tc>
      </w:tr>
      <w:tr>
        <w:tblPrEx>
          <w:shd w:val="clear" w:color="auto" w:fill="auto"/>
          <w:tblLayout w:type="fixed"/>
          <w:tblCellMar>
            <w:top w:w="0" w:type="dxa"/>
            <w:left w:w="0" w:type="dxa"/>
            <w:bottom w:w="0" w:type="dxa"/>
            <w:right w:w="0" w:type="dxa"/>
          </w:tblCellMar>
        </w:tblPrEx>
        <w:trPr>
          <w:trHeight w:val="270"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w:t>
            </w:r>
          </w:p>
        </w:tc>
        <w:tc>
          <w:tcPr>
            <w:tcW w:w="17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泡沫地板</w:t>
            </w:r>
          </w:p>
        </w:tc>
        <w:tc>
          <w:tcPr>
            <w:tcW w:w="56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高密度高弹性</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w:t>
            </w:r>
          </w:p>
        </w:tc>
        <w:tc>
          <w:tcPr>
            <w:tcW w:w="6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15</w:t>
            </w:r>
          </w:p>
        </w:tc>
      </w:tr>
    </w:tbl>
    <w:p>
      <w:pPr>
        <w:pageBreakBefore w:val="0"/>
        <w:widowControl w:val="0"/>
        <w:wordWrap/>
        <w:overflowPunct/>
        <w:topLinePunct w:val="0"/>
        <w:bidi w:val="0"/>
        <w:spacing w:line="242" w:lineRule="auto"/>
        <w:rPr>
          <w:rFonts w:hint="eastAsia" w:asciiTheme="minorEastAsia" w:hAnsiTheme="minorEastAsia" w:eastAsiaTheme="minorEastAsia" w:cstheme="minorEastAsia"/>
          <w:color w:val="auto"/>
          <w:spacing w:val="0"/>
          <w:w w:val="100"/>
          <w:position w:val="0"/>
          <w:sz w:val="24"/>
          <w:szCs w:val="24"/>
          <w:highlight w:val="none"/>
        </w:rPr>
      </w:pPr>
    </w:p>
    <w:tbl>
      <w:tblPr>
        <w:tblStyle w:val="5"/>
        <w:tblW w:w="9687" w:type="dxa"/>
        <w:tblInd w:w="0" w:type="dxa"/>
        <w:shd w:val="clear" w:color="auto" w:fill="auto"/>
        <w:tblLayout w:type="fixed"/>
        <w:tblCellMar>
          <w:top w:w="0" w:type="dxa"/>
          <w:left w:w="0" w:type="dxa"/>
          <w:bottom w:w="0" w:type="dxa"/>
          <w:right w:w="0" w:type="dxa"/>
        </w:tblCellMar>
      </w:tblPr>
      <w:tblGrid>
        <w:gridCol w:w="399"/>
        <w:gridCol w:w="1135"/>
        <w:gridCol w:w="5008"/>
        <w:gridCol w:w="727"/>
        <w:gridCol w:w="1062"/>
        <w:gridCol w:w="1356"/>
      </w:tblGrid>
      <w:tr>
        <w:tblPrEx>
          <w:shd w:val="clear" w:color="auto" w:fill="auto"/>
          <w:tblLayout w:type="fixed"/>
          <w:tblCellMar>
            <w:top w:w="0" w:type="dxa"/>
            <w:left w:w="0" w:type="dxa"/>
            <w:bottom w:w="0" w:type="dxa"/>
            <w:right w:w="0" w:type="dxa"/>
          </w:tblCellMar>
        </w:tblPrEx>
        <w:trPr>
          <w:trHeight w:val="720" w:hRule="atLeast"/>
        </w:trPr>
        <w:tc>
          <w:tcPr>
            <w:tcW w:w="9687" w:type="dxa"/>
            <w:gridSpan w:val="6"/>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医务设施</w:t>
            </w:r>
          </w:p>
        </w:tc>
      </w:tr>
      <w:tr>
        <w:tblPrEx>
          <w:tblLayout w:type="fixed"/>
          <w:tblCellMar>
            <w:top w:w="0" w:type="dxa"/>
            <w:left w:w="0" w:type="dxa"/>
            <w:bottom w:w="0" w:type="dxa"/>
            <w:right w:w="0" w:type="dxa"/>
          </w:tblCellMar>
        </w:tblPrEx>
        <w:trPr>
          <w:trHeight w:val="270" w:hRule="atLeast"/>
        </w:trPr>
        <w:tc>
          <w:tcPr>
            <w:tcW w:w="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序号</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名称</w:t>
            </w:r>
          </w:p>
        </w:tc>
        <w:tc>
          <w:tcPr>
            <w:tcW w:w="50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技术参数</w:t>
            </w: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单位</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数量</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参考图片</w:t>
            </w:r>
          </w:p>
        </w:tc>
      </w:tr>
      <w:tr>
        <w:tblPrEx>
          <w:tblLayout w:type="fixed"/>
          <w:tblCellMar>
            <w:top w:w="0" w:type="dxa"/>
            <w:left w:w="0" w:type="dxa"/>
            <w:bottom w:w="0" w:type="dxa"/>
            <w:right w:w="0" w:type="dxa"/>
          </w:tblCellMar>
        </w:tblPrEx>
        <w:trPr>
          <w:trHeight w:val="960" w:hRule="atLeast"/>
        </w:trPr>
        <w:tc>
          <w:tcPr>
            <w:tcW w:w="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观察床</w:t>
            </w:r>
          </w:p>
        </w:tc>
        <w:tc>
          <w:tcPr>
            <w:tcW w:w="50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1.规格：长*宽*高2000*900*550mm（±5MM）。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2.材质：床头为ABS床头，床框，床腿均为钢质矩形管，床垫为40mm厚棕垫。</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3.结构：附带配套床垫。不可折叠。</w:t>
            </w: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个</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sz w:val="24"/>
                <w:szCs w:val="24"/>
                <w:highlight w:val="none"/>
              </w:rPr>
              <w:drawing>
                <wp:inline distT="0" distB="0" distL="114300" distR="114300">
                  <wp:extent cx="838200" cy="1121410"/>
                  <wp:effectExtent l="0" t="0" r="0" b="254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7"/>
                          <a:stretch>
                            <a:fillRect/>
                          </a:stretch>
                        </pic:blipFill>
                        <pic:spPr>
                          <a:xfrm>
                            <a:off x="0" y="0"/>
                            <a:ext cx="838200" cy="1121410"/>
                          </a:xfrm>
                          <a:prstGeom prst="rect">
                            <a:avLst/>
                          </a:prstGeom>
                          <a:noFill/>
                          <a:ln>
                            <a:noFill/>
                          </a:ln>
                        </pic:spPr>
                      </pic:pic>
                    </a:graphicData>
                  </a:graphic>
                </wp:inline>
              </w:drawing>
            </w:r>
          </w:p>
        </w:tc>
      </w:tr>
      <w:tr>
        <w:tblPrEx>
          <w:tblLayout w:type="fixed"/>
          <w:tblCellMar>
            <w:top w:w="0" w:type="dxa"/>
            <w:left w:w="0" w:type="dxa"/>
            <w:bottom w:w="0" w:type="dxa"/>
            <w:right w:w="0" w:type="dxa"/>
          </w:tblCellMar>
        </w:tblPrEx>
        <w:trPr>
          <w:trHeight w:val="2160" w:hRule="atLeast"/>
        </w:trPr>
        <w:tc>
          <w:tcPr>
            <w:tcW w:w="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诊察桌椅</w:t>
            </w:r>
          </w:p>
        </w:tc>
        <w:tc>
          <w:tcPr>
            <w:tcW w:w="50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诊查桌</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1.规格：长*宽*高1200*600*750mm（±5MM），附带抽屉2只。</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2.材质：全钢板焊接，桌子腿为40*40mm方管焊接而成，全部白色喷塑处理。</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3.结构：可以拆卸组装，便于运输。</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诊查凳</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1.规格：凳面直径310mm，高度50mm。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2.材质：上罩海绵，人造革，一次性冲压圆形底座。</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3.结构：液压升降式，凳子面为圆形。</w:t>
            </w: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个</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sz w:val="24"/>
                <w:szCs w:val="24"/>
                <w:highlight w:val="none"/>
              </w:rPr>
              <w:drawing>
                <wp:inline distT="0" distB="0" distL="114300" distR="114300">
                  <wp:extent cx="841375" cy="540385"/>
                  <wp:effectExtent l="0" t="0" r="15875" b="12065"/>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8"/>
                          <a:stretch>
                            <a:fillRect/>
                          </a:stretch>
                        </pic:blipFill>
                        <pic:spPr>
                          <a:xfrm>
                            <a:off x="0" y="0"/>
                            <a:ext cx="841375" cy="540385"/>
                          </a:xfrm>
                          <a:prstGeom prst="rect">
                            <a:avLst/>
                          </a:prstGeom>
                          <a:noFill/>
                          <a:ln>
                            <a:noFill/>
                          </a:ln>
                        </pic:spPr>
                      </pic:pic>
                    </a:graphicData>
                  </a:graphic>
                </wp:inline>
              </w:drawing>
            </w:r>
            <w:r>
              <w:rPr>
                <w:rFonts w:hint="eastAsia" w:asciiTheme="minorEastAsia" w:hAnsiTheme="minorEastAsia" w:eastAsiaTheme="minorEastAsia" w:cstheme="minorEastAsia"/>
                <w:sz w:val="24"/>
                <w:szCs w:val="24"/>
                <w:highlight w:val="none"/>
              </w:rPr>
              <w:drawing>
                <wp:inline distT="0" distB="0" distL="114300" distR="114300">
                  <wp:extent cx="839470" cy="1214755"/>
                  <wp:effectExtent l="0" t="0" r="17780" b="4445"/>
                  <wp:docPr id="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
                          <pic:cNvPicPr>
                            <a:picLocks noChangeAspect="1"/>
                          </pic:cNvPicPr>
                        </pic:nvPicPr>
                        <pic:blipFill>
                          <a:blip r:embed="rId9"/>
                          <a:stretch>
                            <a:fillRect/>
                          </a:stretch>
                        </pic:blipFill>
                        <pic:spPr>
                          <a:xfrm>
                            <a:off x="0" y="0"/>
                            <a:ext cx="839470" cy="1214755"/>
                          </a:xfrm>
                          <a:prstGeom prst="rect">
                            <a:avLst/>
                          </a:prstGeom>
                          <a:noFill/>
                          <a:ln>
                            <a:noFill/>
                          </a:ln>
                        </pic:spPr>
                      </pic:pic>
                    </a:graphicData>
                  </a:graphic>
                </wp:inline>
              </w:drawing>
            </w:r>
          </w:p>
        </w:tc>
      </w:tr>
      <w:tr>
        <w:tblPrEx>
          <w:tblLayout w:type="fixed"/>
          <w:tblCellMar>
            <w:top w:w="0" w:type="dxa"/>
            <w:left w:w="0" w:type="dxa"/>
            <w:bottom w:w="0" w:type="dxa"/>
            <w:right w:w="0" w:type="dxa"/>
          </w:tblCellMar>
        </w:tblPrEx>
        <w:trPr>
          <w:trHeight w:val="720" w:hRule="atLeast"/>
        </w:trPr>
        <w:tc>
          <w:tcPr>
            <w:tcW w:w="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视力表灯箱</w:t>
            </w:r>
          </w:p>
        </w:tc>
        <w:tc>
          <w:tcPr>
            <w:tcW w:w="50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1.规格：900*300*20mm（±5MM）。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2.[成人E字】对数视力表，5米测距，光学级透明灯箱片，光学导光板，LED灯，铝合金边框，超薄型。分离式电源，带指挥棒挡眼板。</w:t>
            </w: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个</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sz w:val="24"/>
                <w:szCs w:val="24"/>
                <w:highlight w:val="none"/>
              </w:rPr>
              <w:drawing>
                <wp:inline distT="0" distB="0" distL="114300" distR="114300">
                  <wp:extent cx="842010" cy="2967355"/>
                  <wp:effectExtent l="0" t="0" r="15240" b="4445"/>
                  <wp:docPr id="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pic:cNvPicPr>
                            <a:picLocks noChangeAspect="1"/>
                          </pic:cNvPicPr>
                        </pic:nvPicPr>
                        <pic:blipFill>
                          <a:blip r:embed="rId10"/>
                          <a:stretch>
                            <a:fillRect/>
                          </a:stretch>
                        </pic:blipFill>
                        <pic:spPr>
                          <a:xfrm>
                            <a:off x="0" y="0"/>
                            <a:ext cx="842010" cy="2967355"/>
                          </a:xfrm>
                          <a:prstGeom prst="rect">
                            <a:avLst/>
                          </a:prstGeom>
                          <a:noFill/>
                          <a:ln>
                            <a:noFill/>
                          </a:ln>
                        </pic:spPr>
                      </pic:pic>
                    </a:graphicData>
                  </a:graphic>
                </wp:inline>
              </w:drawing>
            </w:r>
          </w:p>
        </w:tc>
      </w:tr>
      <w:tr>
        <w:tblPrEx>
          <w:shd w:val="clear" w:color="auto" w:fill="auto"/>
          <w:tblLayout w:type="fixed"/>
          <w:tblCellMar>
            <w:top w:w="0" w:type="dxa"/>
            <w:left w:w="0" w:type="dxa"/>
            <w:bottom w:w="0" w:type="dxa"/>
            <w:right w:w="0" w:type="dxa"/>
          </w:tblCellMar>
        </w:tblPrEx>
        <w:trPr>
          <w:trHeight w:val="960" w:hRule="atLeast"/>
        </w:trPr>
        <w:tc>
          <w:tcPr>
            <w:tcW w:w="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身高体重计</w:t>
            </w:r>
          </w:p>
        </w:tc>
        <w:tc>
          <w:tcPr>
            <w:tcW w:w="50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1.规格：身高测量120-205cm，坐高测量60-120cm。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2.材质：底座和面板为22mm厚压缩木质板材，立柱为12mm圆钢；测量尺杆为铝合金型材。</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3.结构：底座、面板和测量尺杆组成。</w:t>
            </w: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个</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sz w:val="24"/>
                <w:szCs w:val="24"/>
                <w:highlight w:val="none"/>
              </w:rPr>
              <w:drawing>
                <wp:inline distT="0" distB="0" distL="114300" distR="114300">
                  <wp:extent cx="841375" cy="1831340"/>
                  <wp:effectExtent l="0" t="0" r="15875" b="16510"/>
                  <wp:docPr id="9"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5"/>
                          <pic:cNvPicPr>
                            <a:picLocks noChangeAspect="1"/>
                          </pic:cNvPicPr>
                        </pic:nvPicPr>
                        <pic:blipFill>
                          <a:blip r:embed="rId11"/>
                          <a:stretch>
                            <a:fillRect/>
                          </a:stretch>
                        </pic:blipFill>
                        <pic:spPr>
                          <a:xfrm>
                            <a:off x="0" y="0"/>
                            <a:ext cx="841375" cy="1831340"/>
                          </a:xfrm>
                          <a:prstGeom prst="rect">
                            <a:avLst/>
                          </a:prstGeom>
                          <a:noFill/>
                          <a:ln>
                            <a:noFill/>
                          </a:ln>
                        </pic:spPr>
                      </pic:pic>
                    </a:graphicData>
                  </a:graphic>
                </wp:inline>
              </w:drawing>
            </w:r>
          </w:p>
        </w:tc>
      </w:tr>
      <w:tr>
        <w:tblPrEx>
          <w:shd w:val="clear" w:color="auto" w:fill="auto"/>
          <w:tblLayout w:type="fixed"/>
          <w:tblCellMar>
            <w:top w:w="0" w:type="dxa"/>
            <w:left w:w="0" w:type="dxa"/>
            <w:bottom w:w="0" w:type="dxa"/>
            <w:right w:w="0" w:type="dxa"/>
          </w:tblCellMar>
        </w:tblPrEx>
        <w:trPr>
          <w:trHeight w:val="720" w:hRule="atLeast"/>
        </w:trPr>
        <w:tc>
          <w:tcPr>
            <w:tcW w:w="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污物桶</w:t>
            </w:r>
          </w:p>
        </w:tc>
        <w:tc>
          <w:tcPr>
            <w:tcW w:w="50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1.规格：φ200mm，容积8L。</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2.材质：不锈钢外筒，塑料内筒。</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3.结构：脚踏式启闭。</w:t>
            </w: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个</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sz w:val="24"/>
                <w:szCs w:val="24"/>
                <w:highlight w:val="none"/>
              </w:rPr>
              <w:drawing>
                <wp:inline distT="0" distB="0" distL="114300" distR="114300">
                  <wp:extent cx="841375" cy="563245"/>
                  <wp:effectExtent l="0" t="0" r="15875" b="8255"/>
                  <wp:docPr id="10"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6"/>
                          <pic:cNvPicPr>
                            <a:picLocks noChangeAspect="1"/>
                          </pic:cNvPicPr>
                        </pic:nvPicPr>
                        <pic:blipFill>
                          <a:blip r:embed="rId12"/>
                          <a:stretch>
                            <a:fillRect/>
                          </a:stretch>
                        </pic:blipFill>
                        <pic:spPr>
                          <a:xfrm>
                            <a:off x="0" y="0"/>
                            <a:ext cx="841375" cy="563245"/>
                          </a:xfrm>
                          <a:prstGeom prst="rect">
                            <a:avLst/>
                          </a:prstGeom>
                          <a:noFill/>
                          <a:ln>
                            <a:noFill/>
                          </a:ln>
                        </pic:spPr>
                      </pic:pic>
                    </a:graphicData>
                  </a:graphic>
                </wp:inline>
              </w:drawing>
            </w:r>
          </w:p>
        </w:tc>
      </w:tr>
      <w:tr>
        <w:tblPrEx>
          <w:tblLayout w:type="fixed"/>
          <w:tblCellMar>
            <w:top w:w="0" w:type="dxa"/>
            <w:left w:w="0" w:type="dxa"/>
            <w:bottom w:w="0" w:type="dxa"/>
            <w:right w:w="0" w:type="dxa"/>
          </w:tblCellMar>
        </w:tblPrEx>
        <w:trPr>
          <w:trHeight w:val="720" w:hRule="atLeast"/>
        </w:trPr>
        <w:tc>
          <w:tcPr>
            <w:tcW w:w="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紫外线消毒灯</w:t>
            </w:r>
          </w:p>
        </w:tc>
        <w:tc>
          <w:tcPr>
            <w:tcW w:w="50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1.材质：金属板材冲压焊接。</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2.移动式，可定时，自动断电。</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3.灯臂可180°升降旋转，配备30W消毒灯管2根。</w:t>
            </w: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个</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sz w:val="24"/>
                <w:szCs w:val="24"/>
                <w:highlight w:val="none"/>
              </w:rPr>
              <w:drawing>
                <wp:inline distT="0" distB="0" distL="114300" distR="114300">
                  <wp:extent cx="842010" cy="1500505"/>
                  <wp:effectExtent l="0" t="0" r="15240" b="4445"/>
                  <wp:docPr id="11"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7"/>
                          <pic:cNvPicPr>
                            <a:picLocks noChangeAspect="1"/>
                          </pic:cNvPicPr>
                        </pic:nvPicPr>
                        <pic:blipFill>
                          <a:blip r:embed="rId13"/>
                          <a:stretch>
                            <a:fillRect/>
                          </a:stretch>
                        </pic:blipFill>
                        <pic:spPr>
                          <a:xfrm>
                            <a:off x="0" y="0"/>
                            <a:ext cx="842010" cy="1500505"/>
                          </a:xfrm>
                          <a:prstGeom prst="rect">
                            <a:avLst/>
                          </a:prstGeom>
                          <a:noFill/>
                          <a:ln>
                            <a:noFill/>
                          </a:ln>
                        </pic:spPr>
                      </pic:pic>
                    </a:graphicData>
                  </a:graphic>
                </wp:inline>
              </w:drawing>
            </w:r>
          </w:p>
        </w:tc>
      </w:tr>
      <w:tr>
        <w:tblPrEx>
          <w:shd w:val="clear" w:color="auto" w:fill="auto"/>
          <w:tblLayout w:type="fixed"/>
          <w:tblCellMar>
            <w:top w:w="0" w:type="dxa"/>
            <w:left w:w="0" w:type="dxa"/>
            <w:bottom w:w="0" w:type="dxa"/>
            <w:right w:w="0" w:type="dxa"/>
          </w:tblCellMar>
        </w:tblPrEx>
        <w:trPr>
          <w:trHeight w:val="720" w:hRule="atLeast"/>
        </w:trPr>
        <w:tc>
          <w:tcPr>
            <w:tcW w:w="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酒精灯</w:t>
            </w:r>
          </w:p>
        </w:tc>
        <w:tc>
          <w:tcPr>
            <w:tcW w:w="50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1.规格：容量150mm。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2.材质：玻璃制。</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注：不含酒精</w:t>
            </w: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个</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sz w:val="24"/>
                <w:szCs w:val="24"/>
                <w:highlight w:val="none"/>
              </w:rPr>
              <w:drawing>
                <wp:inline distT="0" distB="0" distL="114300" distR="114300">
                  <wp:extent cx="840105" cy="912495"/>
                  <wp:effectExtent l="0" t="0" r="17145" b="1905"/>
                  <wp:docPr id="12"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8"/>
                          <pic:cNvPicPr>
                            <a:picLocks noChangeAspect="1"/>
                          </pic:cNvPicPr>
                        </pic:nvPicPr>
                        <pic:blipFill>
                          <a:blip r:embed="rId14"/>
                          <a:stretch>
                            <a:fillRect/>
                          </a:stretch>
                        </pic:blipFill>
                        <pic:spPr>
                          <a:xfrm>
                            <a:off x="0" y="0"/>
                            <a:ext cx="840105" cy="912495"/>
                          </a:xfrm>
                          <a:prstGeom prst="rect">
                            <a:avLst/>
                          </a:prstGeom>
                          <a:noFill/>
                          <a:ln>
                            <a:noFill/>
                          </a:ln>
                        </pic:spPr>
                      </pic:pic>
                    </a:graphicData>
                  </a:graphic>
                </wp:inline>
              </w:drawing>
            </w:r>
          </w:p>
        </w:tc>
      </w:tr>
      <w:tr>
        <w:tblPrEx>
          <w:tblLayout w:type="fixed"/>
          <w:tblCellMar>
            <w:top w:w="0" w:type="dxa"/>
            <w:left w:w="0" w:type="dxa"/>
            <w:bottom w:w="0" w:type="dxa"/>
            <w:right w:w="0" w:type="dxa"/>
          </w:tblCellMar>
        </w:tblPrEx>
        <w:trPr>
          <w:trHeight w:val="2160" w:hRule="atLeast"/>
        </w:trPr>
        <w:tc>
          <w:tcPr>
            <w:tcW w:w="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纱布、绷带</w:t>
            </w:r>
          </w:p>
        </w:tc>
        <w:tc>
          <w:tcPr>
            <w:tcW w:w="50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纱布</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1.规格：100mm*6000mm,每包10卷。</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2.材质：医用脱脂纱布。</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3.用途：用于伤口外敷、包扎。</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绷带</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1.规格：60mm*3000mm，每包10卷。</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2.材质：医用脱脂纱布。</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3.结构：用于伤口外敷、包扎。</w:t>
            </w: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卷</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50</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p>
        </w:tc>
      </w:tr>
      <w:tr>
        <w:tblPrEx>
          <w:tblLayout w:type="fixed"/>
          <w:tblCellMar>
            <w:top w:w="0" w:type="dxa"/>
            <w:left w:w="0" w:type="dxa"/>
            <w:bottom w:w="0" w:type="dxa"/>
            <w:right w:w="0" w:type="dxa"/>
          </w:tblCellMar>
        </w:tblPrEx>
        <w:trPr>
          <w:trHeight w:val="480" w:hRule="atLeast"/>
        </w:trPr>
        <w:tc>
          <w:tcPr>
            <w:tcW w:w="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口罩</w:t>
            </w:r>
          </w:p>
        </w:tc>
        <w:tc>
          <w:tcPr>
            <w:tcW w:w="50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1.材质：无纺布。</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3.结构：医用三层加厚，无菌处理。</w:t>
            </w: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p>
        </w:tc>
      </w:tr>
      <w:tr>
        <w:tblPrEx>
          <w:tblLayout w:type="fixed"/>
          <w:tblCellMar>
            <w:top w:w="0" w:type="dxa"/>
            <w:left w:w="0" w:type="dxa"/>
            <w:bottom w:w="0" w:type="dxa"/>
            <w:right w:w="0" w:type="dxa"/>
          </w:tblCellMar>
        </w:tblPrEx>
        <w:trPr>
          <w:trHeight w:val="720" w:hRule="atLeast"/>
        </w:trPr>
        <w:tc>
          <w:tcPr>
            <w:tcW w:w="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10</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手套</w:t>
            </w:r>
          </w:p>
        </w:tc>
        <w:tc>
          <w:tcPr>
            <w:tcW w:w="50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1.PE材质。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2.一次性使用。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3.100只/包。</w:t>
            </w: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sz w:val="24"/>
                <w:szCs w:val="24"/>
                <w:highlight w:val="none"/>
              </w:rPr>
              <w:drawing>
                <wp:inline distT="0" distB="0" distL="114300" distR="114300">
                  <wp:extent cx="842010" cy="631190"/>
                  <wp:effectExtent l="0" t="0" r="15240" b="16510"/>
                  <wp:docPr id="13"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9"/>
                          <pic:cNvPicPr>
                            <a:picLocks noChangeAspect="1"/>
                          </pic:cNvPicPr>
                        </pic:nvPicPr>
                        <pic:blipFill>
                          <a:blip r:embed="rId15"/>
                          <a:stretch>
                            <a:fillRect/>
                          </a:stretch>
                        </pic:blipFill>
                        <pic:spPr>
                          <a:xfrm>
                            <a:off x="0" y="0"/>
                            <a:ext cx="842010" cy="631190"/>
                          </a:xfrm>
                          <a:prstGeom prst="rect">
                            <a:avLst/>
                          </a:prstGeom>
                          <a:noFill/>
                          <a:ln>
                            <a:noFill/>
                          </a:ln>
                        </pic:spPr>
                      </pic:pic>
                    </a:graphicData>
                  </a:graphic>
                </wp:inline>
              </w:drawing>
            </w:r>
          </w:p>
        </w:tc>
      </w:tr>
      <w:tr>
        <w:tblPrEx>
          <w:tblLayout w:type="fixed"/>
          <w:tblCellMar>
            <w:top w:w="0" w:type="dxa"/>
            <w:left w:w="0" w:type="dxa"/>
            <w:bottom w:w="0" w:type="dxa"/>
            <w:right w:w="0" w:type="dxa"/>
          </w:tblCellMar>
        </w:tblPrEx>
        <w:trPr>
          <w:trHeight w:val="270" w:hRule="atLeast"/>
        </w:trPr>
        <w:tc>
          <w:tcPr>
            <w:tcW w:w="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11</w:t>
            </w:r>
          </w:p>
        </w:tc>
        <w:tc>
          <w:tcPr>
            <w:tcW w:w="11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药品柜</w:t>
            </w:r>
          </w:p>
        </w:tc>
        <w:tc>
          <w:tcPr>
            <w:tcW w:w="50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全钢制，钢材厚度≥0.3，尺寸约为800mm*350mm*1800mm</w:t>
            </w:r>
          </w:p>
        </w:tc>
        <w:tc>
          <w:tcPr>
            <w:tcW w:w="7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个</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p>
        </w:tc>
      </w:tr>
    </w:tbl>
    <w:p>
      <w:pPr>
        <w:pStyle w:val="3"/>
        <w:rPr>
          <w:rFonts w:hint="eastAsia" w:asciiTheme="minorEastAsia" w:hAnsiTheme="minorEastAsia" w:eastAsiaTheme="minorEastAsia" w:cstheme="minorEastAsia"/>
          <w:sz w:val="24"/>
          <w:szCs w:val="24"/>
          <w:highlight w:val="none"/>
        </w:rPr>
      </w:pPr>
    </w:p>
    <w:p>
      <w:pPr>
        <w:rPr>
          <w:rFonts w:hint="eastAsia" w:asciiTheme="minorEastAsia" w:hAnsiTheme="minorEastAsia" w:eastAsiaTheme="minorEastAsia" w:cstheme="minorEastAsia"/>
          <w:sz w:val="24"/>
          <w:szCs w:val="24"/>
          <w:highlight w:val="none"/>
        </w:rPr>
      </w:pPr>
    </w:p>
    <w:p>
      <w:pPr>
        <w:pStyle w:val="2"/>
        <w:rPr>
          <w:rFonts w:hint="eastAsia" w:asciiTheme="minorEastAsia" w:hAnsiTheme="minorEastAsia" w:eastAsiaTheme="minorEastAsia" w:cstheme="minorEastAsia"/>
          <w:sz w:val="24"/>
          <w:szCs w:val="24"/>
          <w:highlight w:val="none"/>
        </w:rPr>
      </w:pPr>
    </w:p>
    <w:p>
      <w:pPr>
        <w:rPr>
          <w:rFonts w:hint="eastAsia" w:asciiTheme="minorEastAsia" w:hAnsiTheme="minorEastAsia" w:eastAsiaTheme="minorEastAsia" w:cstheme="minorEastAsia"/>
          <w:sz w:val="24"/>
          <w:szCs w:val="24"/>
          <w:highlight w:val="none"/>
        </w:rPr>
      </w:pPr>
    </w:p>
    <w:p>
      <w:pPr>
        <w:pStyle w:val="2"/>
        <w:rPr>
          <w:rFonts w:hint="eastAsia" w:asciiTheme="minorEastAsia" w:hAnsiTheme="minorEastAsia" w:eastAsiaTheme="minorEastAsia" w:cstheme="minorEastAsia"/>
          <w:sz w:val="24"/>
          <w:szCs w:val="24"/>
          <w:highlight w:val="none"/>
        </w:rPr>
      </w:pPr>
    </w:p>
    <w:p>
      <w:pPr>
        <w:rPr>
          <w:rFonts w:hint="eastAsia" w:asciiTheme="minorEastAsia" w:hAnsiTheme="minorEastAsia" w:eastAsiaTheme="minorEastAsia" w:cstheme="minorEastAsia"/>
          <w:sz w:val="24"/>
          <w:szCs w:val="24"/>
          <w:highlight w:val="none"/>
        </w:rPr>
      </w:pPr>
    </w:p>
    <w:p>
      <w:pPr>
        <w:pStyle w:val="2"/>
        <w:rPr>
          <w:rFonts w:hint="eastAsia" w:asciiTheme="minorEastAsia" w:hAnsiTheme="minorEastAsia" w:eastAsiaTheme="minorEastAsia" w:cstheme="minorEastAsia"/>
          <w:sz w:val="24"/>
          <w:szCs w:val="24"/>
          <w:highlight w:val="none"/>
        </w:rPr>
      </w:pPr>
    </w:p>
    <w:tbl>
      <w:tblPr>
        <w:tblStyle w:val="5"/>
        <w:tblW w:w="9720" w:type="dxa"/>
        <w:tblInd w:w="0" w:type="dxa"/>
        <w:shd w:val="clear" w:color="auto" w:fill="auto"/>
        <w:tblLayout w:type="fixed"/>
        <w:tblCellMar>
          <w:top w:w="0" w:type="dxa"/>
          <w:left w:w="0" w:type="dxa"/>
          <w:bottom w:w="0" w:type="dxa"/>
          <w:right w:w="0" w:type="dxa"/>
        </w:tblCellMar>
      </w:tblPr>
      <w:tblGrid>
        <w:gridCol w:w="571"/>
        <w:gridCol w:w="1445"/>
        <w:gridCol w:w="6561"/>
        <w:gridCol w:w="572"/>
        <w:gridCol w:w="571"/>
      </w:tblGrid>
      <w:tr>
        <w:tblPrEx>
          <w:tblLayout w:type="fixed"/>
          <w:tblCellMar>
            <w:top w:w="0" w:type="dxa"/>
            <w:left w:w="0" w:type="dxa"/>
            <w:bottom w:w="0" w:type="dxa"/>
            <w:right w:w="0" w:type="dxa"/>
          </w:tblCellMar>
        </w:tblPrEx>
        <w:trPr>
          <w:trHeight w:val="329" w:hRule="atLeast"/>
        </w:trPr>
        <w:tc>
          <w:tcPr>
            <w:tcW w:w="9720" w:type="dxa"/>
            <w:gridSpan w:val="5"/>
            <w:tcBorders>
              <w:top w:val="single" w:color="auto" w:sz="4" w:space="0"/>
              <w:left w:val="single" w:color="auto" w:sz="4" w:space="0"/>
              <w:bottom w:val="nil"/>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86寸班班通</w:t>
            </w:r>
          </w:p>
        </w:tc>
      </w:tr>
      <w:tr>
        <w:tblPrEx>
          <w:tblLayout w:type="fixed"/>
          <w:tblCellMar>
            <w:top w:w="0" w:type="dxa"/>
            <w:left w:w="0" w:type="dxa"/>
            <w:bottom w:w="0" w:type="dxa"/>
            <w:right w:w="0" w:type="dxa"/>
          </w:tblCellMar>
        </w:tblPrEx>
        <w:trPr>
          <w:trHeight w:val="297" w:hRule="atLeast"/>
        </w:trPr>
        <w:tc>
          <w:tcPr>
            <w:tcW w:w="571" w:type="dxa"/>
            <w:tcBorders>
              <w:top w:val="single" w:color="000000" w:sz="4" w:space="0"/>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序号</w:t>
            </w:r>
          </w:p>
        </w:tc>
        <w:tc>
          <w:tcPr>
            <w:tcW w:w="1445"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名称</w:t>
            </w:r>
          </w:p>
        </w:tc>
        <w:tc>
          <w:tcPr>
            <w:tcW w:w="6561"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技术参数</w:t>
            </w:r>
          </w:p>
        </w:tc>
        <w:tc>
          <w:tcPr>
            <w:tcW w:w="572"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单位</w:t>
            </w:r>
          </w:p>
        </w:tc>
        <w:tc>
          <w:tcPr>
            <w:tcW w:w="571" w:type="dxa"/>
            <w:tcBorders>
              <w:top w:val="single" w:color="000000" w:sz="4" w:space="0"/>
              <w:left w:val="single" w:color="000000"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数量</w:t>
            </w:r>
          </w:p>
        </w:tc>
      </w:tr>
      <w:tr>
        <w:tblPrEx>
          <w:tblLayout w:type="fixed"/>
          <w:tblCellMar>
            <w:top w:w="0" w:type="dxa"/>
            <w:left w:w="0" w:type="dxa"/>
            <w:bottom w:w="0" w:type="dxa"/>
            <w:right w:w="0" w:type="dxa"/>
          </w:tblCellMar>
        </w:tblPrEx>
        <w:trPr>
          <w:trHeight w:val="1054" w:hRule="atLeast"/>
        </w:trPr>
        <w:tc>
          <w:tcPr>
            <w:tcW w:w="571" w:type="dxa"/>
            <w:vMerge w:val="restart"/>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FF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1445" w:type="dxa"/>
            <w:vMerge w:val="restart"/>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FF0000"/>
                <w:sz w:val="24"/>
                <w:szCs w:val="24"/>
                <w:highlight w:val="none"/>
                <w:u w:val="none"/>
              </w:rPr>
            </w:pPr>
            <w:bookmarkStart w:id="1" w:name="OLE_LINK1"/>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86寸智能交互平板</w:t>
            </w:r>
            <w:bookmarkEnd w:id="1"/>
          </w:p>
        </w:tc>
        <w:tc>
          <w:tcPr>
            <w:tcW w:w="6561" w:type="dxa"/>
            <w:vMerge w:val="restart"/>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FF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1.整机屏幕≥86英寸液晶显示器。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2.支持双系统，支持安卓14版本以上，主频≥1.6GHz，内存≥2GB，存储空间≥32GB。</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3.整机设备内置2.2声道扬声器，前朝向发声，≥10W高音扬声器2个，上朝向≥25W中低音扬声器2个，最大功率≥70W。</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4.内置电脑模块i5 12代、8GB DDR4，512GB或以上SSD固态硬盘，万兆级接口，传输速率≥10Gbps</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5、整机内置语音助手，语音操控打开系统已安装应用如：教学白板、浏览器。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6、具备文件传输应用功能</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7.内置摄像头＞1600 万像素数。同时显示标记不少于60人。</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8.支持通过手机扫码登录、人脸识别登录，并支持账号安全登录检测。</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二、内置交互教学应用要求</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1、提供互动式教学课件资源，支持定向精准分享。</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2、支持PPT的原生解析，教师可将pptx课件转化为互动教学课件。</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3、具备云端静默推送下载功能；具备交互表格功能，课件可自由插入表格。</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5、提供涵盖小学、初中、高中超过2000个微课程视频</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6、远程互动工具：在直播课堂中，教师可指定授权学生远程互动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7、提供不少于50节党建微课视频，微课内容支持在线点播。</w:t>
            </w:r>
          </w:p>
        </w:tc>
        <w:tc>
          <w:tcPr>
            <w:tcW w:w="572" w:type="dxa"/>
            <w:vMerge w:val="restart"/>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FF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571" w:type="dxa"/>
            <w:vMerge w:val="restart"/>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FF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46</w:t>
            </w:r>
          </w:p>
        </w:tc>
      </w:tr>
      <w:tr>
        <w:tblPrEx>
          <w:shd w:val="clear" w:color="auto" w:fill="auto"/>
          <w:tblLayout w:type="fixed"/>
          <w:tblCellMar>
            <w:top w:w="0" w:type="dxa"/>
            <w:left w:w="0" w:type="dxa"/>
            <w:bottom w:w="0" w:type="dxa"/>
            <w:right w:w="0" w:type="dxa"/>
          </w:tblCellMar>
        </w:tblPrEx>
        <w:trPr>
          <w:trHeight w:val="1054" w:hRule="atLeast"/>
        </w:trPr>
        <w:tc>
          <w:tcPr>
            <w:tcW w:w="571" w:type="dxa"/>
            <w:vMerge w:val="continue"/>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jc w:val="center"/>
              <w:rPr>
                <w:rFonts w:hint="eastAsia" w:asciiTheme="minorEastAsia" w:hAnsiTheme="minorEastAsia" w:eastAsiaTheme="minorEastAsia" w:cstheme="minorEastAsia"/>
                <w:i w:val="0"/>
                <w:color w:val="FF0000"/>
                <w:sz w:val="24"/>
                <w:szCs w:val="24"/>
                <w:highlight w:val="none"/>
                <w:u w:val="none"/>
              </w:rPr>
            </w:pPr>
          </w:p>
        </w:tc>
        <w:tc>
          <w:tcPr>
            <w:tcW w:w="1445" w:type="dxa"/>
            <w:vMerge w:val="continue"/>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FF0000"/>
                <w:sz w:val="24"/>
                <w:szCs w:val="24"/>
                <w:highlight w:val="none"/>
                <w:u w:val="none"/>
              </w:rPr>
            </w:pPr>
          </w:p>
        </w:tc>
        <w:tc>
          <w:tcPr>
            <w:tcW w:w="6561" w:type="dxa"/>
            <w:vMerge w:val="continue"/>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Theme="minorEastAsia" w:hAnsiTheme="minorEastAsia" w:eastAsiaTheme="minorEastAsia" w:cstheme="minorEastAsia"/>
                <w:i w:val="0"/>
                <w:color w:val="FF0000"/>
                <w:sz w:val="24"/>
                <w:szCs w:val="24"/>
                <w:highlight w:val="none"/>
                <w:u w:val="none"/>
              </w:rPr>
            </w:pPr>
          </w:p>
        </w:tc>
        <w:tc>
          <w:tcPr>
            <w:tcW w:w="572" w:type="dxa"/>
            <w:vMerge w:val="continue"/>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jc w:val="center"/>
              <w:rPr>
                <w:rFonts w:hint="eastAsia" w:asciiTheme="minorEastAsia" w:hAnsiTheme="minorEastAsia" w:eastAsiaTheme="minorEastAsia" w:cstheme="minorEastAsia"/>
                <w:i w:val="0"/>
                <w:color w:val="FF0000"/>
                <w:sz w:val="24"/>
                <w:szCs w:val="24"/>
                <w:highlight w:val="none"/>
                <w:u w:val="none"/>
              </w:rPr>
            </w:pPr>
          </w:p>
        </w:tc>
        <w:tc>
          <w:tcPr>
            <w:tcW w:w="571" w:type="dxa"/>
            <w:vMerge w:val="continue"/>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jc w:val="center"/>
              <w:rPr>
                <w:rFonts w:hint="eastAsia" w:asciiTheme="minorEastAsia" w:hAnsiTheme="minorEastAsia" w:eastAsiaTheme="minorEastAsia" w:cstheme="minorEastAsia"/>
                <w:i w:val="0"/>
                <w:color w:val="FF0000"/>
                <w:sz w:val="24"/>
                <w:szCs w:val="24"/>
                <w:highlight w:val="none"/>
                <w:u w:val="none"/>
              </w:rPr>
            </w:pPr>
          </w:p>
        </w:tc>
      </w:tr>
      <w:tr>
        <w:tblPrEx>
          <w:tblLayout w:type="fixed"/>
          <w:tblCellMar>
            <w:top w:w="0" w:type="dxa"/>
            <w:left w:w="0" w:type="dxa"/>
            <w:bottom w:w="0" w:type="dxa"/>
            <w:right w:w="0" w:type="dxa"/>
          </w:tblCellMar>
        </w:tblPrEx>
        <w:trPr>
          <w:trHeight w:val="1054" w:hRule="atLeast"/>
        </w:trPr>
        <w:tc>
          <w:tcPr>
            <w:tcW w:w="571" w:type="dxa"/>
            <w:vMerge w:val="continue"/>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jc w:val="center"/>
              <w:rPr>
                <w:rFonts w:hint="eastAsia" w:asciiTheme="minorEastAsia" w:hAnsiTheme="minorEastAsia" w:eastAsiaTheme="minorEastAsia" w:cstheme="minorEastAsia"/>
                <w:i w:val="0"/>
                <w:color w:val="FF0000"/>
                <w:sz w:val="24"/>
                <w:szCs w:val="24"/>
                <w:highlight w:val="none"/>
                <w:u w:val="none"/>
              </w:rPr>
            </w:pPr>
          </w:p>
        </w:tc>
        <w:tc>
          <w:tcPr>
            <w:tcW w:w="1445" w:type="dxa"/>
            <w:vMerge w:val="continue"/>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FF0000"/>
                <w:sz w:val="24"/>
                <w:szCs w:val="24"/>
                <w:highlight w:val="none"/>
                <w:u w:val="none"/>
              </w:rPr>
            </w:pPr>
          </w:p>
        </w:tc>
        <w:tc>
          <w:tcPr>
            <w:tcW w:w="6561" w:type="dxa"/>
            <w:vMerge w:val="continue"/>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Theme="minorEastAsia" w:hAnsiTheme="minorEastAsia" w:eastAsiaTheme="minorEastAsia" w:cstheme="minorEastAsia"/>
                <w:i w:val="0"/>
                <w:color w:val="FF0000"/>
                <w:sz w:val="24"/>
                <w:szCs w:val="24"/>
                <w:highlight w:val="none"/>
                <w:u w:val="none"/>
              </w:rPr>
            </w:pPr>
          </w:p>
        </w:tc>
        <w:tc>
          <w:tcPr>
            <w:tcW w:w="572" w:type="dxa"/>
            <w:vMerge w:val="continue"/>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jc w:val="center"/>
              <w:rPr>
                <w:rFonts w:hint="eastAsia" w:asciiTheme="minorEastAsia" w:hAnsiTheme="minorEastAsia" w:eastAsiaTheme="minorEastAsia" w:cstheme="minorEastAsia"/>
                <w:i w:val="0"/>
                <w:color w:val="FF0000"/>
                <w:sz w:val="24"/>
                <w:szCs w:val="24"/>
                <w:highlight w:val="none"/>
                <w:u w:val="none"/>
              </w:rPr>
            </w:pPr>
          </w:p>
        </w:tc>
        <w:tc>
          <w:tcPr>
            <w:tcW w:w="571" w:type="dxa"/>
            <w:vMerge w:val="continue"/>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jc w:val="center"/>
              <w:rPr>
                <w:rFonts w:hint="eastAsia" w:asciiTheme="minorEastAsia" w:hAnsiTheme="minorEastAsia" w:eastAsiaTheme="minorEastAsia" w:cstheme="minorEastAsia"/>
                <w:i w:val="0"/>
                <w:color w:val="FF0000"/>
                <w:sz w:val="24"/>
                <w:szCs w:val="24"/>
                <w:highlight w:val="none"/>
                <w:u w:val="none"/>
              </w:rPr>
            </w:pPr>
          </w:p>
        </w:tc>
      </w:tr>
      <w:tr>
        <w:tblPrEx>
          <w:shd w:val="clear" w:color="auto" w:fill="auto"/>
          <w:tblLayout w:type="fixed"/>
          <w:tblCellMar>
            <w:top w:w="0" w:type="dxa"/>
            <w:left w:w="0" w:type="dxa"/>
            <w:bottom w:w="0" w:type="dxa"/>
            <w:right w:w="0" w:type="dxa"/>
          </w:tblCellMar>
        </w:tblPrEx>
        <w:trPr>
          <w:trHeight w:val="1311" w:hRule="atLeast"/>
        </w:trPr>
        <w:tc>
          <w:tcPr>
            <w:tcW w:w="571" w:type="dxa"/>
            <w:vMerge w:val="continue"/>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jc w:val="center"/>
              <w:rPr>
                <w:rFonts w:hint="eastAsia" w:asciiTheme="minorEastAsia" w:hAnsiTheme="minorEastAsia" w:eastAsiaTheme="minorEastAsia" w:cstheme="minorEastAsia"/>
                <w:i w:val="0"/>
                <w:color w:val="FF0000"/>
                <w:sz w:val="24"/>
                <w:szCs w:val="24"/>
                <w:highlight w:val="none"/>
                <w:u w:val="none"/>
              </w:rPr>
            </w:pPr>
          </w:p>
        </w:tc>
        <w:tc>
          <w:tcPr>
            <w:tcW w:w="1445" w:type="dxa"/>
            <w:vMerge w:val="continue"/>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FF0000"/>
                <w:sz w:val="24"/>
                <w:szCs w:val="24"/>
                <w:highlight w:val="none"/>
                <w:u w:val="none"/>
              </w:rPr>
            </w:pPr>
          </w:p>
        </w:tc>
        <w:tc>
          <w:tcPr>
            <w:tcW w:w="6561" w:type="dxa"/>
            <w:vMerge w:val="continue"/>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Theme="minorEastAsia" w:hAnsiTheme="minorEastAsia" w:eastAsiaTheme="minorEastAsia" w:cstheme="minorEastAsia"/>
                <w:i w:val="0"/>
                <w:color w:val="FF0000"/>
                <w:sz w:val="24"/>
                <w:szCs w:val="24"/>
                <w:highlight w:val="none"/>
                <w:u w:val="none"/>
              </w:rPr>
            </w:pPr>
          </w:p>
        </w:tc>
        <w:tc>
          <w:tcPr>
            <w:tcW w:w="572" w:type="dxa"/>
            <w:vMerge w:val="continue"/>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jc w:val="center"/>
              <w:rPr>
                <w:rFonts w:hint="eastAsia" w:asciiTheme="minorEastAsia" w:hAnsiTheme="minorEastAsia" w:eastAsiaTheme="minorEastAsia" w:cstheme="minorEastAsia"/>
                <w:i w:val="0"/>
                <w:color w:val="FF0000"/>
                <w:sz w:val="24"/>
                <w:szCs w:val="24"/>
                <w:highlight w:val="none"/>
                <w:u w:val="none"/>
              </w:rPr>
            </w:pPr>
          </w:p>
        </w:tc>
        <w:tc>
          <w:tcPr>
            <w:tcW w:w="571" w:type="dxa"/>
            <w:vMerge w:val="continue"/>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jc w:val="center"/>
              <w:rPr>
                <w:rFonts w:hint="eastAsia" w:asciiTheme="minorEastAsia" w:hAnsiTheme="minorEastAsia" w:eastAsiaTheme="minorEastAsia" w:cstheme="minorEastAsia"/>
                <w:i w:val="0"/>
                <w:color w:val="FF0000"/>
                <w:sz w:val="24"/>
                <w:szCs w:val="24"/>
                <w:highlight w:val="none"/>
                <w:u w:val="none"/>
              </w:rPr>
            </w:pPr>
          </w:p>
        </w:tc>
      </w:tr>
      <w:tr>
        <w:tblPrEx>
          <w:shd w:val="clear" w:color="auto" w:fill="auto"/>
          <w:tblLayout w:type="fixed"/>
          <w:tblCellMar>
            <w:top w:w="0" w:type="dxa"/>
            <w:left w:w="0" w:type="dxa"/>
            <w:bottom w:w="0" w:type="dxa"/>
            <w:right w:w="0" w:type="dxa"/>
          </w:tblCellMar>
        </w:tblPrEx>
        <w:trPr>
          <w:trHeight w:val="3982" w:hRule="atLeast"/>
        </w:trPr>
        <w:tc>
          <w:tcPr>
            <w:tcW w:w="571"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FF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w:t>
            </w:r>
          </w:p>
        </w:tc>
        <w:tc>
          <w:tcPr>
            <w:tcW w:w="1445"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FF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视频展台</w:t>
            </w:r>
          </w:p>
        </w:tc>
        <w:tc>
          <w:tcPr>
            <w:tcW w:w="6561"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FF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1.采用 USB五伏电源直接供电，无需额外配置电源适配器，环保无辐射；箱内USB连线采用隐藏式设计，箱内无可见连线且USB口下出，有效防止积尘，且方便布线和返修。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 采用≥800万像素摄像头；</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 A4大小拍摄幅面，1080P动态视频预览达到30帧/秒；托板及挂墙部分采用金属加强，托板可承重3kg，整机壁挂式安装。</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 支持展台成像画面实时批注，预设多种笔划粗细及颜色供选择，且支持对展台成像画面联同批注内容进行同步缩放、移动。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 整机采用圆弧式设计，无锐角；同时托板采用磁吸吸附式机构，防止托板打落，方便打开及固定，避免机械式锁具故障率高的问题。</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 展示托板正上方具备LED补光灯，保证展示区域的亮度及展示效果，补光灯开关采用触摸按键设计，同时可通过交互智能平板中的软件直接控制开关；</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 带自动对焦摄像头；外壳在摄像头部分带保护镜片密封，防止灰尘沾染摄像头。</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 具有故障自动检测功能：在调用展台却无法出现镜头采集画面信号时，可自动出现检测链接，并给出导致性原因（如硬件连接、摄像头占用、配套软件版本等问题）。</w:t>
            </w:r>
          </w:p>
        </w:tc>
        <w:tc>
          <w:tcPr>
            <w:tcW w:w="572"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FF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c>
          <w:tcPr>
            <w:tcW w:w="571"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FF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44</w:t>
            </w:r>
          </w:p>
        </w:tc>
      </w:tr>
      <w:tr>
        <w:tblPrEx>
          <w:shd w:val="clear" w:color="auto" w:fill="auto"/>
          <w:tblLayout w:type="fixed"/>
          <w:tblCellMar>
            <w:top w:w="0" w:type="dxa"/>
            <w:left w:w="0" w:type="dxa"/>
            <w:bottom w:w="0" w:type="dxa"/>
            <w:right w:w="0" w:type="dxa"/>
          </w:tblCellMar>
        </w:tblPrEx>
        <w:trPr>
          <w:trHeight w:val="1264" w:hRule="atLeast"/>
        </w:trPr>
        <w:tc>
          <w:tcPr>
            <w:tcW w:w="5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FF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w:t>
            </w:r>
          </w:p>
        </w:tc>
        <w:tc>
          <w:tcPr>
            <w:tcW w:w="14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FF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推拉黑板</w:t>
            </w:r>
          </w:p>
        </w:tc>
        <w:tc>
          <w:tcPr>
            <w:tcW w:w="65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FF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1.双层结构，内层为两块固定书写板左右各一块，中间预留放置电子产品空间，外层为两块滑动书写板，开闭自如确保一体机的安全管理，支持电子产品居中放置。</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2.长度≥4000mm，高度可根据所配电子产品适当调整。安装完毕后教学书写板正面、侧面均不可露墙。</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3.正面左右两侧无边框设计，上下边框正面高度不超15mm，最大限度的增大书写面。</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4.采用金属烤漆,光泽度≤12光泽单位</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5.厚度≥14mm。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6.采用自动化流水线覆板作业，避免人工作业刷胶不均导致粘贴不牢、起鼓等现象。甲醛释放量≤0.2mg/L，符合GB 28231-2011《书写板安全卫生要求》</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7.边框：采用高强度香槟色电泳铝合金型材，横框规格≥57mm×78mm，立框规格≥29mm×100mm。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8.粉尘槽：应配有宽度≥30mm的粉尘槽，粉尘槽应与滑动系统分离，不影响滑动板滑动。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9.限位档：横框内部两侧安装限位档。</w:t>
            </w:r>
          </w:p>
        </w:tc>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FF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5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FF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44</w:t>
            </w:r>
          </w:p>
        </w:tc>
      </w:tr>
      <w:tr>
        <w:tblPrEx>
          <w:shd w:val="clear" w:color="auto" w:fill="auto"/>
          <w:tblLayout w:type="fixed"/>
          <w:tblCellMar>
            <w:top w:w="0" w:type="dxa"/>
            <w:left w:w="0" w:type="dxa"/>
            <w:bottom w:w="0" w:type="dxa"/>
            <w:right w:w="0" w:type="dxa"/>
          </w:tblCellMar>
        </w:tblPrEx>
        <w:trPr>
          <w:trHeight w:val="1554" w:hRule="atLeast"/>
        </w:trPr>
        <w:tc>
          <w:tcPr>
            <w:tcW w:w="5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FF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w:t>
            </w:r>
          </w:p>
        </w:tc>
        <w:tc>
          <w:tcPr>
            <w:tcW w:w="14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FF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集控软件</w:t>
            </w:r>
          </w:p>
        </w:tc>
        <w:tc>
          <w:tcPr>
            <w:tcW w:w="65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1、支持管理者开启掌上看班服务，开启/关闭掌上看班的管控功能；拥有掌上看班权限的老师可在移动端或PC客户端实时巡班，并进行基础远程管控。</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支持通过微信小程序，实时查看设备运行状态、异常情况；支持向在线设备下发指令，并可查看每个指令的执行情况；支持查看设备的基础使用数据，包含设备日均开机时长分布、设备活跃趋势分析、软件活跃度分析、软件使用时长排行、设备健康度排行。</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支持分析解读教师使用数据，提供信息化素养提升建议；支持根据各学科/设备/老师使用数据分析经验丰富的老师，并提供信息化素养提升建议；支持根据不同类型软件的使用明细分析本校常用软件，并提供软件普及、替换或拦截建议。（提供软件功能截图）</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支持自定义数据看板功能：支持定制功能，通过拖拽数据组件的方式，完成自定义数据中心；支持配置数据中心可见角色，支持设置多个可见角色；支持学校自定义不少于3个看板，默认支持配置教育治理，教师发展。</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支持点播巡视功能：支持根据班级课程表，自动获取正在上课或者即将上课的科目、老师列表，快速定位老师所在教室，实时远程听课；支持听课过程中针对本节课的教学过程进行评价，支持创建和使用多个评课表，并将评价记录于巡视记录。（提供软件功能截图）</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6、支持基建优化建议功能：支持解读设备运行数据，提供基建优化建议；支持根据网络带宽利用率分析网络稳定性并提供优化方案。</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支持多终端播放功能：支持面向班班通设备、班牌设备、校园屏显设备发送节目单指令；支持实时预览内容，支持设置按照每周循环播放、指定日期播放、自定义日期播放3种节目播放机制；支持播完即结束、指定时间循环播两种循环模式；支持同时添加不少于5个不同的播放周期，进行定时播放。</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五、AI备课系统</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1、课件主题识别：支持选择教学场景和课型，明确其创作需求和主题，同时允许上传云课件、云教案及本地文件作为主题识别的信息输入。并提供相应的案例体验，同时支持换一换功能，替换不同主题。</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2、课件目标生成：运用教学大模型自建的教学知识库，能够检索与创作主题相关的专业知识，并生成对应的课件目标。</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3、课件目标编辑：可根据实际教学个性化需求，对系统生成的课件目标进行添加、删除或修改。 </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教学大纲生成：根据已明确的课件目标，生成以思维导图形式呈现的至少三个层级主题的教学大纲，教学大纲内容可根据教学设计自动匹配课堂活动、思维导图和学科工具等互动工具。大纲页面支持整体按比例缩放、漫游的功能。</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教学大纲编辑：可个性化对教学大纲进行编辑，包括添加二级、三级主题以及对课件内容进行编辑；支持AI拓展和优化，提供智能拓展、跨学科、新课标等三种拓展方式，以及互动、吸引等优化方式。当新增主题后，可输入内容，输入后点击智能拓展、跨学科、新课标等选项，会根据输入的内容主题进一步生成大纲。修改后，支持撤回修改的功能。</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智能生成课件：基于已明确的教学大纲，生成完整的教学课件；支持智能扩展单页课件，允许手动输入描述和根据上下文智能推荐内容；支持对大纲节点进行编辑并同步生成更新课件；支持对生成文字进行润色、扩写、精简三中操作模式；支持修改、删除课件文字；支持更换课件生成的图片；支持通过拖动方式调整文字的布局；支持一键更换课件主题风格，演示预览课件，分享课件，一键复制教学设计；分享课件时，支持调整分享范围。</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7、生成教学设计：生成的教学设计，涵盖教学目标、教学重难点、教学过程，在教学过程中，会提供教学设计示意图。教学设计会与课件授课内容对应。</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8、课件智能编辑：支持课件页自动排版，可一键更换布局或挑选更多的智能布局模板。</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9、智能生成图片：支持一键配图，可输入图片提示词生成对应图片。</w:t>
            </w:r>
          </w:p>
          <w:p>
            <w:pPr>
              <w:keepNext w:val="0"/>
              <w:keepLines w:val="0"/>
              <w:widowControl/>
              <w:suppressLineNumbers w:val="0"/>
              <w:jc w:val="left"/>
              <w:textAlignment w:val="center"/>
              <w:rPr>
                <w:rFonts w:hint="eastAsia" w:asciiTheme="minorEastAsia" w:hAnsiTheme="minorEastAsia" w:eastAsiaTheme="minorEastAsia" w:cstheme="minorEastAsia"/>
                <w:i w:val="0"/>
                <w:color w:val="FF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10、视频在线播放：粘贴视频网页链接可一键解析视频，插入课件页后支持在线播放；支持本地上传视频插入课件页播放。</w:t>
            </w:r>
          </w:p>
        </w:tc>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FF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5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FF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46</w:t>
            </w:r>
          </w:p>
        </w:tc>
      </w:tr>
      <w:tr>
        <w:tblPrEx>
          <w:shd w:val="clear" w:color="auto" w:fill="auto"/>
          <w:tblLayout w:type="fixed"/>
          <w:tblCellMar>
            <w:top w:w="0" w:type="dxa"/>
            <w:left w:w="0" w:type="dxa"/>
            <w:bottom w:w="0" w:type="dxa"/>
            <w:right w:w="0" w:type="dxa"/>
          </w:tblCellMar>
        </w:tblPrEx>
        <w:trPr>
          <w:trHeight w:val="600" w:hRule="atLeast"/>
        </w:trPr>
        <w:tc>
          <w:tcPr>
            <w:tcW w:w="5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w:t>
            </w:r>
          </w:p>
        </w:tc>
        <w:tc>
          <w:tcPr>
            <w:tcW w:w="14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移动支架</w:t>
            </w:r>
          </w:p>
        </w:tc>
        <w:tc>
          <w:tcPr>
            <w:tcW w:w="65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86寸智能交互平板支架。</w:t>
            </w:r>
          </w:p>
        </w:tc>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c>
          <w:tcPr>
            <w:tcW w:w="5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w:t>
            </w:r>
          </w:p>
        </w:tc>
      </w:tr>
    </w:tbl>
    <w:p>
      <w:pPr>
        <w:pStyle w:val="2"/>
        <w:rPr>
          <w:rFonts w:hint="eastAsia" w:asciiTheme="minorEastAsia" w:hAnsiTheme="minorEastAsia" w:eastAsiaTheme="minorEastAsia" w:cstheme="minorEastAsia"/>
          <w:sz w:val="24"/>
          <w:szCs w:val="24"/>
          <w:highlight w:val="none"/>
        </w:rPr>
      </w:pPr>
    </w:p>
    <w:tbl>
      <w:tblPr>
        <w:tblStyle w:val="5"/>
        <w:tblW w:w="9657" w:type="dxa"/>
        <w:tblInd w:w="0" w:type="dxa"/>
        <w:shd w:val="clear" w:color="auto" w:fill="auto"/>
        <w:tblLayout w:type="fixed"/>
        <w:tblCellMar>
          <w:top w:w="0" w:type="dxa"/>
          <w:left w:w="0" w:type="dxa"/>
          <w:bottom w:w="0" w:type="dxa"/>
          <w:right w:w="0" w:type="dxa"/>
        </w:tblCellMar>
      </w:tblPr>
      <w:tblGrid>
        <w:gridCol w:w="971"/>
        <w:gridCol w:w="886"/>
        <w:gridCol w:w="6756"/>
        <w:gridCol w:w="462"/>
        <w:gridCol w:w="582"/>
      </w:tblGrid>
      <w:tr>
        <w:tblPrEx>
          <w:shd w:val="clear" w:color="auto" w:fill="auto"/>
          <w:tblLayout w:type="fixed"/>
          <w:tblCellMar>
            <w:top w:w="0" w:type="dxa"/>
            <w:left w:w="0" w:type="dxa"/>
            <w:bottom w:w="0" w:type="dxa"/>
            <w:right w:w="0" w:type="dxa"/>
          </w:tblCellMar>
        </w:tblPrEx>
        <w:trPr>
          <w:trHeight w:val="685" w:hRule="atLeast"/>
        </w:trPr>
        <w:tc>
          <w:tcPr>
            <w:tcW w:w="9657"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办公室办公电脑打印机</w:t>
            </w:r>
          </w:p>
        </w:tc>
      </w:tr>
      <w:tr>
        <w:tblPrEx>
          <w:shd w:val="clear" w:color="auto" w:fill="auto"/>
          <w:tblLayout w:type="fixed"/>
          <w:tblCellMar>
            <w:top w:w="0" w:type="dxa"/>
            <w:left w:w="0" w:type="dxa"/>
            <w:bottom w:w="0" w:type="dxa"/>
            <w:right w:w="0" w:type="dxa"/>
          </w:tblCellMar>
        </w:tblPrEx>
        <w:trPr>
          <w:trHeight w:val="1112" w:hRule="atLeast"/>
        </w:trPr>
        <w:tc>
          <w:tcPr>
            <w:tcW w:w="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序号</w:t>
            </w:r>
          </w:p>
        </w:tc>
        <w:tc>
          <w:tcPr>
            <w:tcW w:w="8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名称</w:t>
            </w:r>
          </w:p>
        </w:tc>
        <w:tc>
          <w:tcPr>
            <w:tcW w:w="675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技术参数</w:t>
            </w:r>
          </w:p>
        </w:tc>
        <w:tc>
          <w:tcPr>
            <w:tcW w:w="46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单位</w:t>
            </w:r>
          </w:p>
        </w:tc>
        <w:tc>
          <w:tcPr>
            <w:tcW w:w="58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数量</w:t>
            </w:r>
          </w:p>
        </w:tc>
      </w:tr>
      <w:tr>
        <w:tblPrEx>
          <w:shd w:val="clear" w:color="auto" w:fill="auto"/>
          <w:tblLayout w:type="fixed"/>
          <w:tblCellMar>
            <w:top w:w="0" w:type="dxa"/>
            <w:left w:w="0" w:type="dxa"/>
            <w:bottom w:w="0" w:type="dxa"/>
            <w:right w:w="0" w:type="dxa"/>
          </w:tblCellMar>
        </w:tblPrEx>
        <w:trPr>
          <w:trHeight w:val="1105"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办公电脑主机2</w:t>
            </w:r>
          </w:p>
        </w:tc>
        <w:tc>
          <w:tcPr>
            <w:tcW w:w="6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1、机型：国产处理器商用台式电脑；</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2、处理器：C86架构国产处理器，主频≥2.7GHz、核心≥8个，缓存≥16MB；</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3、主板：与处理器相匹配芯片组主板；</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4、内存：≥16GB DDR4 3200MHz 内存，≥4个内存插槽；</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5、硬盘：≥1TB 硬盘；支持扩展机械硬盘</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6、光驱：无光驱，预留光驱位；</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7、显卡：集成显卡，支持扩展独立显卡；</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8、音频：集成5.1声道高清声卡，≥5个音频接口；</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9、I/O扩展槽：≥3个PCIe标准插槽；</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10、</w:t>
            </w:r>
            <w:bookmarkStart w:id="2" w:name="OLE_LINK8"/>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I/O扩展接口：</w:t>
            </w:r>
            <w:bookmarkEnd w:id="2"/>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≥11个USB接口、防泼溅键盘、光电鼠标；</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11、电源：≥200W电源；</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12、BIOS：简体中文国产BIOS固件；</w:t>
            </w:r>
          </w:p>
          <w:p>
            <w:pPr>
              <w:keepNext w:val="0"/>
              <w:keepLines w:val="0"/>
              <w:widowControl/>
              <w:suppressLineNumbers w:val="0"/>
              <w:jc w:val="left"/>
              <w:textAlignment w:val="cente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13、支持独立操作系统之外的基于BIOS层系统备份与恢复功能</w:t>
            </w:r>
          </w:p>
        </w:tc>
        <w:tc>
          <w:tcPr>
            <w:tcW w:w="4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80</w:t>
            </w:r>
          </w:p>
        </w:tc>
        <w:tc>
          <w:tcPr>
            <w:tcW w:w="5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r>
      <w:tr>
        <w:tblPrEx>
          <w:shd w:val="clear" w:color="auto" w:fill="auto"/>
          <w:tblLayout w:type="fixed"/>
          <w:tblCellMar>
            <w:top w:w="0" w:type="dxa"/>
            <w:left w:w="0" w:type="dxa"/>
            <w:bottom w:w="0" w:type="dxa"/>
            <w:right w:w="0" w:type="dxa"/>
          </w:tblCellMar>
        </w:tblPrEx>
        <w:trPr>
          <w:trHeight w:val="1032"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w:t>
            </w: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办公显示器</w:t>
            </w:r>
          </w:p>
        </w:tc>
        <w:tc>
          <w:tcPr>
            <w:tcW w:w="6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1、屏幕尺寸：≥23.8英寸；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2、屏幕比例：16:9；视频接口：≥1 个 VGA≥1 个 HDMI；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3、分辨率：1920*1080；电源适配器输 AC,100~240V,50~60Hz,输出 DC； </w:t>
            </w:r>
          </w:p>
        </w:tc>
        <w:tc>
          <w:tcPr>
            <w:tcW w:w="4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80</w:t>
            </w:r>
          </w:p>
        </w:tc>
        <w:tc>
          <w:tcPr>
            <w:tcW w:w="5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r>
      <w:tr>
        <w:tblPrEx>
          <w:shd w:val="clear" w:color="auto" w:fill="auto"/>
          <w:tblLayout w:type="fixed"/>
          <w:tblCellMar>
            <w:top w:w="0" w:type="dxa"/>
            <w:left w:w="0" w:type="dxa"/>
            <w:bottom w:w="0" w:type="dxa"/>
            <w:right w:w="0" w:type="dxa"/>
          </w:tblCellMar>
        </w:tblPrEx>
        <w:trPr>
          <w:trHeight w:val="780"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w:t>
            </w: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键鼠</w:t>
            </w:r>
          </w:p>
        </w:tc>
        <w:tc>
          <w:tcPr>
            <w:tcW w:w="6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1、鼠标：按键数不小于 2 个，连接方式：有线；鼠标接口： USB；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2、键盘：按键数不少于 104 个，连接方式：有线；键盘接</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口：USB； </w:t>
            </w:r>
          </w:p>
        </w:tc>
        <w:tc>
          <w:tcPr>
            <w:tcW w:w="4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80</w:t>
            </w:r>
          </w:p>
        </w:tc>
        <w:tc>
          <w:tcPr>
            <w:tcW w:w="5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r>
      <w:tr>
        <w:tblPrEx>
          <w:shd w:val="clear" w:color="auto" w:fill="auto"/>
          <w:tblLayout w:type="fixed"/>
          <w:tblCellMar>
            <w:top w:w="0" w:type="dxa"/>
            <w:left w:w="0" w:type="dxa"/>
            <w:bottom w:w="0" w:type="dxa"/>
            <w:right w:w="0" w:type="dxa"/>
          </w:tblCellMar>
        </w:tblPrEx>
        <w:trPr>
          <w:trHeight w:val="3046"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w:t>
            </w: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操作系统</w:t>
            </w:r>
          </w:p>
        </w:tc>
        <w:tc>
          <w:tcPr>
            <w:tcW w:w="6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（1）支持飞腾、龙芯、兆芯、海光、申威、海思麒麟、鲲鹏等主流国产CPU，至少支持包括飞腾FT-2000/4、腾锐D2000、龙芯3A4000、龙芯3A5000、兆芯ZXC+、兆芯KX、鲲鹏920、海光2号、海思麒麟等系列处理器。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（2）支持Eclipse、Qt、VS code、PyCharm等开发工具并且支持C/C++、java、python、等多种开发语言。</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（3）支持国内外主流打印机、扫描仪、投影仪、摄像头等各类外设设备。</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（4）系统支持备份和恢复，支持对数据文件的备份和恢复、支持对系统分区的备份和恢复。</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（5）支持奇安信可信浏览器、360安全浏览器、Firefox网络浏览器等，支持业界主流的浏览器内核技术。</w:t>
            </w:r>
          </w:p>
        </w:tc>
        <w:tc>
          <w:tcPr>
            <w:tcW w:w="4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80</w:t>
            </w:r>
          </w:p>
        </w:tc>
        <w:tc>
          <w:tcPr>
            <w:tcW w:w="5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r>
      <w:tr>
        <w:tblPrEx>
          <w:shd w:val="clear" w:color="auto" w:fill="auto"/>
          <w:tblLayout w:type="fixed"/>
          <w:tblCellMar>
            <w:top w:w="0" w:type="dxa"/>
            <w:left w:w="0" w:type="dxa"/>
            <w:bottom w:w="0" w:type="dxa"/>
            <w:right w:w="0" w:type="dxa"/>
          </w:tblCellMar>
        </w:tblPrEx>
        <w:trPr>
          <w:trHeight w:val="3046"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w:t>
            </w: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办公软件</w:t>
            </w:r>
          </w:p>
        </w:tc>
        <w:tc>
          <w:tcPr>
            <w:tcW w:w="6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1.投标产品提供运行在LINUX操作系统上运行的office办公软件产品，包含文字处理、表格计算、幻灯片演示三个组件。</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2、文字模块支持截图取字功能，对截图和已有图片进行内容识别。</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3、表格模块支持在表格中一键插入求和、计数、平均值等常用公式。支持多列数据合并操作。支持单元格数据的循环引用。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4、演示模块支持智能图形（SmartArt），至少满足多种图示类型，如层次结构、列表、循环、流程等图形类型。</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5、支持提供公网云办公能力，支持通过网页、客户端、手机端等登陆教职工账号；支持切换个人账号、学校团队账号。支持登录学校团队账号时查看当前使用套餐版本，到期时间。</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6、支持管理员后台查看管理功能，包括但不限于通讯录管理、安全管理、日志管理、审批管理、应用管理等；</w:t>
            </w:r>
          </w:p>
        </w:tc>
        <w:tc>
          <w:tcPr>
            <w:tcW w:w="4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80</w:t>
            </w:r>
          </w:p>
        </w:tc>
        <w:tc>
          <w:tcPr>
            <w:tcW w:w="5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r>
      <w:tr>
        <w:tblPrEx>
          <w:shd w:val="clear" w:color="auto" w:fill="auto"/>
          <w:tblLayout w:type="fixed"/>
          <w:tblCellMar>
            <w:top w:w="0" w:type="dxa"/>
            <w:left w:w="0" w:type="dxa"/>
            <w:bottom w:w="0" w:type="dxa"/>
            <w:right w:w="0" w:type="dxa"/>
          </w:tblCellMar>
        </w:tblPrEx>
        <w:trPr>
          <w:trHeight w:val="2039"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w:t>
            </w: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版式软件</w:t>
            </w:r>
          </w:p>
        </w:tc>
        <w:tc>
          <w:tcPr>
            <w:tcW w:w="6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1)文件操作：提供OFD/PDF版式文档打开、保存、另存功能，可将打开文档导出为图片、PDF或TXT格式文档，导出为图片时自动分页保存。</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2)多文档支持：可打开SFD、GW、GD、PS、S2/S72/S92、CEB、流式、图片等格式文档直接阅览。</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3)文档水印：提供图文水印功能，可设置水印的字体、字号、角度等属性；提供动态水印功能，可将当前用户、时间等信息作为水印内容叠加到文档中。</w:t>
            </w:r>
          </w:p>
        </w:tc>
        <w:tc>
          <w:tcPr>
            <w:tcW w:w="4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80</w:t>
            </w:r>
          </w:p>
        </w:tc>
        <w:tc>
          <w:tcPr>
            <w:tcW w:w="5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r>
      <w:tr>
        <w:tblPrEx>
          <w:shd w:val="clear" w:color="auto" w:fill="auto"/>
          <w:tblLayout w:type="fixed"/>
          <w:tblCellMar>
            <w:top w:w="0" w:type="dxa"/>
            <w:left w:w="0" w:type="dxa"/>
            <w:bottom w:w="0" w:type="dxa"/>
            <w:right w:w="0" w:type="dxa"/>
          </w:tblCellMar>
        </w:tblPrEx>
        <w:trPr>
          <w:trHeight w:val="3802"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w:t>
            </w: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病毒防治类软件</w:t>
            </w:r>
          </w:p>
        </w:tc>
        <w:tc>
          <w:tcPr>
            <w:tcW w:w="6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1.软件支持支持主流Windows桌面及主流linux操作系统以及国产化操作系统，支持但不仅限于中标麒麟、银河麒麟、中科方德、统信、湖南麒麟、凝思等各种国产化操作系统；</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2.支持X86/ARM/MIPS/申威架构硬件平台，如：intel、飞腾、海光、兆芯、鲲鹏、龙芯、申威等平台；</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3.具备人工智能引擎，人工智能引擎支持PE/OFFICE/PDF常见文件类型威胁检测；</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4.支持添加文件路径或MD5值作为信任白名单，可针对病毒防护、病毒扫描放行，支持添加文件MD5值作为黑名单；</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5.支持手动添加文件作为黑名单，防止恶意进程黑名单启动；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6.软件支持在线升级病毒库，支持中/英/繁语言切换；</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7.支持查杀DOS、Windows等系统的ZIP、GZIP、ARJ、CAB、RAR、LZH、UPX、ASPACK、FSG等多种压缩包裹格式的文件；</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8.杀毒软件不得内置境外组织的杀毒引擎，杀毒软件与内置杀毒引擎同一品牌。</w:t>
            </w:r>
          </w:p>
        </w:tc>
        <w:tc>
          <w:tcPr>
            <w:tcW w:w="4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80</w:t>
            </w:r>
          </w:p>
        </w:tc>
        <w:tc>
          <w:tcPr>
            <w:tcW w:w="5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r>
      <w:tr>
        <w:tblPrEx>
          <w:tblLayout w:type="fixed"/>
          <w:tblCellMar>
            <w:top w:w="0" w:type="dxa"/>
            <w:left w:w="0" w:type="dxa"/>
            <w:bottom w:w="0" w:type="dxa"/>
            <w:right w:w="0" w:type="dxa"/>
          </w:tblCellMar>
        </w:tblPrEx>
        <w:trPr>
          <w:trHeight w:val="3550"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打印机</w:t>
            </w:r>
          </w:p>
        </w:tc>
        <w:tc>
          <w:tcPr>
            <w:tcW w:w="6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激光多功能一体机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1、黑白激光多功能一体机 (打印，复印，扫描)</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2、内存容量（标准）：256MB</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3、液晶显示：标配2行中/英文液晶显示</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4、标准纸盒输入量：250张；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5、打印速度：34PPM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6、标配有线/无线网络打印功能</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7、50页自动进稿器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8、打印分辨率：1200*1200dpi</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9、自动双面打印，身份证一键式复印</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10、支持手机智能打印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11、鼓粉分离技术，随机粉盒容量3000页，硒鼓容量15000页</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12、支持麒麟OS、UOS国产操作系统</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13、整机原厂1年保修</w:t>
            </w:r>
          </w:p>
        </w:tc>
        <w:tc>
          <w:tcPr>
            <w:tcW w:w="4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12</w:t>
            </w:r>
          </w:p>
        </w:tc>
        <w:tc>
          <w:tcPr>
            <w:tcW w:w="5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r>
      <w:tr>
        <w:tblPrEx>
          <w:shd w:val="clear" w:color="auto" w:fill="auto"/>
          <w:tblLayout w:type="fixed"/>
          <w:tblCellMar>
            <w:top w:w="0" w:type="dxa"/>
            <w:left w:w="0" w:type="dxa"/>
            <w:bottom w:w="0" w:type="dxa"/>
            <w:right w:w="0" w:type="dxa"/>
          </w:tblCellMar>
        </w:tblPrEx>
        <w:trPr>
          <w:trHeight w:val="6320"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打印机</w:t>
            </w:r>
          </w:p>
        </w:tc>
        <w:tc>
          <w:tcPr>
            <w:tcW w:w="6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1、彩色数码多功能一体机，涵盖功能：打印、复印、扫描, 处理器800MHz+133MHz</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2、液晶显示屏：中英文液晶显示屏</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3、打印速度：18页/分钟，黑彩同速，自动双面打印7面/分钟，月打印负荷4万页</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4、打印分辨率：物理分辨率：600*600 dpi；可达分辨率：2,400dpi(600*2400) quality</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5、打印语言：PCL5e、PCL5c、PCL6, BR-Script3, PDF Version 1.7, XPS Version 1.0</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6、首页打印输出时间黑白彩色：少于15秒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7、内存：512MB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8、接口：高速USB2.0; 支持2.4G/5G无线网络</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9、复印速度：18页/分钟，黑彩同速，复印分辨率:600* 600dpi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10、扫描：单面平板扫描，扫描分辨率（光学）：1200 *1200dpi（平板扫描）</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11、标准纸盒输入量：250页，纸张输出：150页（面朝下）+进纸托板1页</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12、介质类型：介质类型: 普通纸，薄纸，厚纸，再生纸，标签，信封，光面纸，铜版纸（60-163g/m2），尺寸：A4/A5/B5/A6/16K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13、耗材类型：鼓粉分离设计,随机粉盒黑色1000页，彩色1000页；硒鼓寿命：20,000页，有大容量粉盒可供后期选择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14、支持仅黑白打印、Mobile connect/Air print、远程打印、静音模式打印、加密打印、安全功能锁、红头文件打印168种红色可供选择</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15、整机保修三年</w:t>
            </w:r>
          </w:p>
        </w:tc>
        <w:tc>
          <w:tcPr>
            <w:tcW w:w="4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w:t>
            </w:r>
          </w:p>
        </w:tc>
        <w:tc>
          <w:tcPr>
            <w:tcW w:w="5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r>
      <w:tr>
        <w:tblPrEx>
          <w:shd w:val="clear" w:color="auto" w:fill="auto"/>
          <w:tblLayout w:type="fixed"/>
          <w:tblCellMar>
            <w:top w:w="0" w:type="dxa"/>
            <w:left w:w="0" w:type="dxa"/>
            <w:bottom w:w="0" w:type="dxa"/>
            <w:right w:w="0" w:type="dxa"/>
          </w:tblCellMar>
        </w:tblPrEx>
        <w:trPr>
          <w:trHeight w:val="8344" w:hRule="atLeast"/>
        </w:trPr>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10</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打印机</w:t>
            </w:r>
          </w:p>
        </w:tc>
        <w:tc>
          <w:tcPr>
            <w:tcW w:w="6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输出速度：打印和复印速度≥25页/分钟；</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文印输出：配备双面器，支持全自动双面复印、打印、彩色扫描；</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幅面：标配支持B6至A3幅面，最大可选购至SRA3幅面；</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处理器：标配1.46GHz高速英特尔处理器；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内存：≥2GB SOP内存+2GB复印机内存；</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硬盘：≥320GB（支持硬盘数据加密功能；多种数据擦除功能：DoD覆盖、多重字符覆盖；保证硬盘数据安全）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操作屏幕：≥10.1英寸彩色全触摸屏，内置安卓操作系统，支持智能/快速/传统的复印、扫描界面，方便用户日常使用；</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拓展端口：USB/SD卡插口；</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操作系统：支持MAC OS X、UNIX等操作系统直接打印；</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耗材：支持MP 3554c型PxP墨粉，含环保材料，最大幅度降低对环境的影响；</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纸张容量：标配供纸量≥2300页，标配信封供纸盘；供纸量可选购增至4700页；</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纸张重量：可支持52-300g/m²厚纸；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打印：分辨率≥1,200x1,200dpi；支持U盘打印功能；支持PCL5c/PCL6/PS3仿真/PDF直接打印仿真等打印语言；≥1260mm长纸打印，支持铜版纸等多种纸张类型；</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复印：预热时间≤18秒；首页复印时间≤4.6秒；25-400%变焦比率（支持1%微调）；</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扫描：支持推式扫描，可直接将扫描件推到电脑文件夹、邮箱或U盘/SD卡内；支持拉扫描，可从电脑端直接操作扫描；扫描速度≥80页/分钟；</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移动设备输出：支持手机、平板电脑等移动设备通过蓝牙/WIFI/APP等方式连接复印机，直接输出文印作业功能；</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分页功能：支持电子分页功能,可实现平行分页/十字分页功能；</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强化输出：支持复印页码智能生成（多个位置，多种方式智能添加页码）；支持智能书本拆分扫描（可将不同尺寸政务平台文件以扫描顺序发送至指定文件夹，便于后续无纸化管理）；支持坐席牌一键制作（多个模板，支持快速批量输出多张坐席牌，可显示单位名称、职称、姓名等信息）</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节能环保：支持定时开关机，安装智能安全管理器可支持远程关机； </w:t>
            </w:r>
          </w:p>
        </w:tc>
        <w:tc>
          <w:tcPr>
            <w:tcW w:w="4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5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r>
    </w:tbl>
    <w:p>
      <w:pPr>
        <w:pStyle w:val="2"/>
        <w:rPr>
          <w:rFonts w:hint="eastAsia" w:asciiTheme="minorEastAsia" w:hAnsiTheme="minorEastAsia" w:eastAsiaTheme="minorEastAsia" w:cstheme="minorEastAsia"/>
          <w:sz w:val="24"/>
          <w:szCs w:val="24"/>
          <w:highlight w:val="none"/>
        </w:rPr>
      </w:pPr>
    </w:p>
    <w:p>
      <w:pPr>
        <w:rPr>
          <w:rFonts w:hint="eastAsia" w:asciiTheme="minorEastAsia" w:hAnsiTheme="minorEastAsia" w:eastAsiaTheme="minorEastAsia" w:cstheme="minorEastAsia"/>
          <w:sz w:val="24"/>
          <w:szCs w:val="24"/>
          <w:highlight w:val="none"/>
        </w:rPr>
      </w:pPr>
    </w:p>
    <w:p>
      <w:pPr>
        <w:pStyle w:val="2"/>
        <w:rPr>
          <w:rFonts w:hint="eastAsia" w:asciiTheme="minorEastAsia" w:hAnsiTheme="minorEastAsia" w:eastAsiaTheme="minorEastAsia" w:cstheme="minorEastAsia"/>
          <w:sz w:val="24"/>
          <w:szCs w:val="24"/>
          <w:highlight w:val="none"/>
        </w:rPr>
      </w:pPr>
    </w:p>
    <w:p>
      <w:pPr>
        <w:rPr>
          <w:rFonts w:hint="eastAsia" w:asciiTheme="minorEastAsia" w:hAnsiTheme="minorEastAsia" w:eastAsiaTheme="minorEastAsia" w:cstheme="minorEastAsia"/>
          <w:sz w:val="24"/>
          <w:szCs w:val="24"/>
          <w:highlight w:val="none"/>
        </w:rPr>
      </w:pPr>
    </w:p>
    <w:p>
      <w:pPr>
        <w:pStyle w:val="2"/>
        <w:rPr>
          <w:rFonts w:hint="eastAsia" w:asciiTheme="minorEastAsia" w:hAnsiTheme="minorEastAsia" w:eastAsiaTheme="minorEastAsia" w:cstheme="minorEastAsia"/>
          <w:sz w:val="24"/>
          <w:szCs w:val="24"/>
          <w:highlight w:val="none"/>
        </w:rPr>
      </w:pPr>
    </w:p>
    <w:p>
      <w:pPr>
        <w:rPr>
          <w:rFonts w:hint="eastAsia" w:asciiTheme="minorEastAsia" w:hAnsiTheme="minorEastAsia" w:eastAsiaTheme="minorEastAsia" w:cstheme="minorEastAsia"/>
          <w:sz w:val="24"/>
          <w:szCs w:val="24"/>
          <w:highlight w:val="none"/>
        </w:rPr>
      </w:pPr>
    </w:p>
    <w:p>
      <w:pPr>
        <w:pStyle w:val="2"/>
        <w:rPr>
          <w:rFonts w:hint="eastAsia" w:asciiTheme="minorEastAsia" w:hAnsiTheme="minorEastAsia" w:eastAsiaTheme="minorEastAsia" w:cstheme="minorEastAsia"/>
          <w:sz w:val="24"/>
          <w:szCs w:val="24"/>
          <w:highlight w:val="none"/>
        </w:rPr>
      </w:pPr>
    </w:p>
    <w:p>
      <w:pPr>
        <w:rPr>
          <w:rFonts w:hint="eastAsia" w:asciiTheme="minorEastAsia" w:hAnsiTheme="minorEastAsia" w:eastAsiaTheme="minorEastAsia" w:cstheme="minorEastAsia"/>
          <w:sz w:val="24"/>
          <w:szCs w:val="24"/>
          <w:highlight w:val="none"/>
        </w:rPr>
      </w:pPr>
    </w:p>
    <w:p>
      <w:pPr>
        <w:pStyle w:val="2"/>
        <w:rPr>
          <w:rFonts w:hint="eastAsia" w:asciiTheme="minorEastAsia" w:hAnsiTheme="minorEastAsia" w:eastAsiaTheme="minorEastAsia" w:cstheme="minorEastAsia"/>
          <w:sz w:val="24"/>
          <w:szCs w:val="24"/>
          <w:highlight w:val="none"/>
        </w:rPr>
      </w:pPr>
    </w:p>
    <w:p>
      <w:pPr>
        <w:rPr>
          <w:rFonts w:hint="eastAsia" w:asciiTheme="minorEastAsia" w:hAnsiTheme="minorEastAsia" w:eastAsiaTheme="minorEastAsia" w:cstheme="minorEastAsia"/>
          <w:sz w:val="24"/>
          <w:szCs w:val="24"/>
          <w:highlight w:val="none"/>
        </w:rPr>
      </w:pPr>
    </w:p>
    <w:p>
      <w:pPr>
        <w:pStyle w:val="2"/>
        <w:rPr>
          <w:rFonts w:hint="eastAsia" w:asciiTheme="minorEastAsia" w:hAnsiTheme="minorEastAsia" w:eastAsiaTheme="minorEastAsia" w:cstheme="minorEastAsia"/>
          <w:sz w:val="24"/>
          <w:szCs w:val="24"/>
          <w:highlight w:val="none"/>
        </w:rPr>
      </w:pPr>
    </w:p>
    <w:p>
      <w:pPr>
        <w:rPr>
          <w:rFonts w:hint="eastAsia" w:asciiTheme="minorEastAsia" w:hAnsiTheme="minorEastAsia" w:eastAsiaTheme="minorEastAsia" w:cstheme="minorEastAsia"/>
          <w:sz w:val="24"/>
          <w:szCs w:val="24"/>
          <w:highlight w:val="none"/>
        </w:rPr>
      </w:pPr>
    </w:p>
    <w:p>
      <w:pPr>
        <w:pStyle w:val="2"/>
        <w:rPr>
          <w:rFonts w:hint="eastAsia" w:asciiTheme="minorEastAsia" w:hAnsiTheme="minorEastAsia" w:eastAsiaTheme="minorEastAsia" w:cstheme="minorEastAsia"/>
          <w:sz w:val="24"/>
          <w:szCs w:val="24"/>
          <w:highlight w:val="none"/>
        </w:rPr>
      </w:pPr>
    </w:p>
    <w:p>
      <w:pPr>
        <w:rPr>
          <w:rFonts w:hint="eastAsia" w:asciiTheme="minorEastAsia" w:hAnsiTheme="minorEastAsia" w:eastAsiaTheme="minorEastAsia" w:cstheme="minorEastAsia"/>
          <w:sz w:val="24"/>
          <w:szCs w:val="24"/>
          <w:highlight w:val="none"/>
        </w:rPr>
      </w:pPr>
    </w:p>
    <w:p>
      <w:pPr>
        <w:pStyle w:val="2"/>
        <w:rPr>
          <w:rFonts w:hint="eastAsia" w:asciiTheme="minorEastAsia" w:hAnsiTheme="minorEastAsia" w:eastAsiaTheme="minorEastAsia" w:cstheme="minorEastAsia"/>
          <w:sz w:val="24"/>
          <w:szCs w:val="24"/>
          <w:highlight w:val="none"/>
        </w:rPr>
      </w:pPr>
    </w:p>
    <w:p>
      <w:pPr>
        <w:rPr>
          <w:rFonts w:hint="eastAsia" w:asciiTheme="minorEastAsia" w:hAnsiTheme="minorEastAsia" w:eastAsiaTheme="minorEastAsia" w:cstheme="minorEastAsia"/>
          <w:sz w:val="24"/>
          <w:szCs w:val="24"/>
          <w:highlight w:val="none"/>
        </w:rPr>
      </w:pPr>
    </w:p>
    <w:tbl>
      <w:tblPr>
        <w:tblStyle w:val="5"/>
        <w:tblW w:w="9760" w:type="dxa"/>
        <w:tblInd w:w="0" w:type="dxa"/>
        <w:shd w:val="clear" w:color="auto" w:fill="auto"/>
        <w:tblLayout w:type="fixed"/>
        <w:tblCellMar>
          <w:top w:w="0" w:type="dxa"/>
          <w:left w:w="0" w:type="dxa"/>
          <w:bottom w:w="0" w:type="dxa"/>
          <w:right w:w="0" w:type="dxa"/>
        </w:tblCellMar>
      </w:tblPr>
      <w:tblGrid>
        <w:gridCol w:w="345"/>
        <w:gridCol w:w="592"/>
        <w:gridCol w:w="6338"/>
        <w:gridCol w:w="1378"/>
        <w:gridCol w:w="762"/>
        <w:gridCol w:w="345"/>
      </w:tblGrid>
      <w:tr>
        <w:tblPrEx>
          <w:shd w:val="clear" w:color="auto" w:fill="auto"/>
          <w:tblLayout w:type="fixed"/>
          <w:tblCellMar>
            <w:top w:w="0" w:type="dxa"/>
            <w:left w:w="0" w:type="dxa"/>
            <w:bottom w:w="0" w:type="dxa"/>
            <w:right w:w="0" w:type="dxa"/>
          </w:tblCellMar>
        </w:tblPrEx>
        <w:trPr>
          <w:trHeight w:val="820" w:hRule="atLeast"/>
        </w:trPr>
        <w:tc>
          <w:tcPr>
            <w:tcW w:w="976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智慧图书馆配置清单</w:t>
            </w:r>
          </w:p>
        </w:tc>
      </w:tr>
      <w:tr>
        <w:tblPrEx>
          <w:shd w:val="clear" w:color="auto" w:fill="auto"/>
          <w:tblLayout w:type="fixed"/>
          <w:tblCellMar>
            <w:top w:w="0" w:type="dxa"/>
            <w:left w:w="0" w:type="dxa"/>
            <w:bottom w:w="0" w:type="dxa"/>
            <w:right w:w="0" w:type="dxa"/>
          </w:tblCellMar>
        </w:tblPrEx>
        <w:trPr>
          <w:trHeight w:val="820" w:hRule="atLeast"/>
        </w:trPr>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序号</w:t>
            </w:r>
          </w:p>
        </w:tc>
        <w:tc>
          <w:tcPr>
            <w:tcW w:w="5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设备名称</w:t>
            </w:r>
          </w:p>
        </w:tc>
        <w:tc>
          <w:tcPr>
            <w:tcW w:w="63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参数/功能</w:t>
            </w:r>
          </w:p>
        </w:tc>
        <w:tc>
          <w:tcPr>
            <w:tcW w:w="13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参考图片</w:t>
            </w:r>
          </w:p>
        </w:tc>
        <w:tc>
          <w:tcPr>
            <w:tcW w:w="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数量</w:t>
            </w:r>
          </w:p>
        </w:tc>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b/>
                <w:i w:val="0"/>
                <w:color w:val="000000"/>
                <w:sz w:val="24"/>
                <w:szCs w:val="24"/>
                <w:highlight w:val="none"/>
                <w:u w:val="none"/>
              </w:rPr>
            </w:pPr>
            <w:r>
              <w:rPr>
                <w:rFonts w:hint="eastAsia" w:asciiTheme="minorEastAsia" w:hAnsiTheme="minorEastAsia" w:eastAsiaTheme="minorEastAsia" w:cstheme="minorEastAsia"/>
                <w:b/>
                <w:i w:val="0"/>
                <w:snapToGrid w:val="0"/>
                <w:color w:val="000000"/>
                <w:kern w:val="0"/>
                <w:sz w:val="24"/>
                <w:szCs w:val="24"/>
                <w:highlight w:val="none"/>
                <w:u w:val="none"/>
                <w:lang w:val="en-US" w:eastAsia="zh-CN" w:bidi="ar"/>
              </w:rPr>
              <w:t>单位</w:t>
            </w:r>
          </w:p>
        </w:tc>
      </w:tr>
      <w:tr>
        <w:tblPrEx>
          <w:shd w:val="clear" w:color="auto" w:fill="auto"/>
          <w:tblLayout w:type="fixed"/>
          <w:tblCellMar>
            <w:top w:w="0" w:type="dxa"/>
            <w:left w:w="0" w:type="dxa"/>
            <w:bottom w:w="0" w:type="dxa"/>
            <w:right w:w="0" w:type="dxa"/>
          </w:tblCellMar>
        </w:tblPrEx>
        <w:trPr>
          <w:trHeight w:val="3983" w:hRule="atLeast"/>
        </w:trPr>
        <w:tc>
          <w:tcPr>
            <w:tcW w:w="3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5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图书</w:t>
            </w:r>
          </w:p>
        </w:tc>
        <w:tc>
          <w:tcPr>
            <w:tcW w:w="63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（一）纸质图书</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1、图书配置：</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（1）供应商应保证所供图书均为国家正式出版物；要求投标图书必须适合于学校教师及学生使用的原装正版、健康有益的图书，杜绝色情、淫秽书刊，图书为全新正版图书。</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所有图书质量必须符合国家相关标准，且必须保证所供图书全部为全新、未经使用过的正版出版物。如发生用无合法版权或使用过的二手书充数，则供应商必须承担因侵犯专利权、版权或其他知识产权而被提起的诉讼和索赔并承担相应的法律责任。</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（3）中标后采购人根据投标单位提供的图书目录选择所需图书及复本数(不超过6本)确定具体供货清单，确定供货的图书清单供货率不得低于90%。</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2、图书质量要求：</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（1）所有图书质量符合《中华人民共和国产品质量法》和新闻出版署《图书质量管理规定》；图书印刷质量执行《中华人民共和国产品质量法》和新闻出版总署《图书质量管理规定》的规定。</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（2）封面印刷套印准确，字、图、点、线印迹清楚，不花、不毛、不糊，实地版墨包均匀，无回胶印，背面不脏。</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（3）插图印刷</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①套印准确、层次分明、轮廓实，电分制版无浮雕印。</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②网点清晰饱满，小点不秃、大点光洁不糊，质感好。</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③墨色均匀实，色彩鲜艳有光泽，肤色正，接版准确，色调深浅一致。</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（4）正文印刷</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①压力：压力适度，全书前后轻重一致。</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②墨色：全书前后一致，浓淡适度。</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③套印：版面端正，正反套印准确。</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④文字：文字、标点清晰，笔锋挺秀，无缺笔断划，标题黑实不花，小字不糊不瞎。</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⑤书目无脏污，破损，无钉花，野黑。</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（5）装订</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①开本尺寸符合设计要求，套收规格一致，成品切方正，无明显刀花，无连接页、折角、破头。</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②书背平整，无空背、起泡、明显皱纹，书脊字居中封面齐色，边框要色正。</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③全书页码折正，书面平服，无皱折（八字折等）</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④骑马钉、平钉的钉脚不翘，无断丝，凸肚，钉距匀称，坚实牢固易翻不脱页</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（6）图书包装用纸要有足够的厚度和韧性，包装应规范，以免运输过程造成破损。</w:t>
            </w:r>
          </w:p>
        </w:tc>
        <w:tc>
          <w:tcPr>
            <w:tcW w:w="137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76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33750</w:t>
            </w:r>
          </w:p>
        </w:tc>
        <w:tc>
          <w:tcPr>
            <w:tcW w:w="3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本</w:t>
            </w:r>
          </w:p>
        </w:tc>
      </w:tr>
      <w:tr>
        <w:tblPrEx>
          <w:shd w:val="clear" w:color="auto" w:fill="auto"/>
          <w:tblLayout w:type="fixed"/>
          <w:tblCellMar>
            <w:top w:w="0" w:type="dxa"/>
            <w:left w:w="0" w:type="dxa"/>
            <w:bottom w:w="0" w:type="dxa"/>
            <w:right w:w="0" w:type="dxa"/>
          </w:tblCellMar>
        </w:tblPrEx>
        <w:trPr>
          <w:trHeight w:val="3260" w:hRule="atLeast"/>
        </w:trPr>
        <w:tc>
          <w:tcPr>
            <w:tcW w:w="3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63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Theme="minorEastAsia" w:hAnsiTheme="minorEastAsia" w:eastAsiaTheme="minorEastAsia" w:cstheme="minorEastAsia"/>
                <w:i w:val="0"/>
                <w:color w:val="000000"/>
                <w:sz w:val="24"/>
                <w:szCs w:val="24"/>
                <w:highlight w:val="none"/>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7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3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r>
      <w:tr>
        <w:tblPrEx>
          <w:shd w:val="clear" w:color="auto" w:fill="auto"/>
          <w:tblLayout w:type="fixed"/>
          <w:tblCellMar>
            <w:top w:w="0" w:type="dxa"/>
            <w:left w:w="0" w:type="dxa"/>
            <w:bottom w:w="0" w:type="dxa"/>
            <w:right w:w="0" w:type="dxa"/>
          </w:tblCellMar>
        </w:tblPrEx>
        <w:trPr>
          <w:trHeight w:val="607" w:hRule="atLeast"/>
        </w:trPr>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w:t>
            </w:r>
          </w:p>
        </w:tc>
        <w:tc>
          <w:tcPr>
            <w:tcW w:w="5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图书编目</w:t>
            </w:r>
          </w:p>
        </w:tc>
        <w:tc>
          <w:tcPr>
            <w:tcW w:w="63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图书编目及数据加工录入到图书管理系统中</w:t>
            </w:r>
          </w:p>
        </w:tc>
        <w:tc>
          <w:tcPr>
            <w:tcW w:w="13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40000</w:t>
            </w:r>
          </w:p>
        </w:tc>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本</w:t>
            </w:r>
          </w:p>
        </w:tc>
      </w:tr>
      <w:tr>
        <w:tblPrEx>
          <w:shd w:val="clear" w:color="auto" w:fill="auto"/>
          <w:tblLayout w:type="fixed"/>
          <w:tblCellMar>
            <w:top w:w="0" w:type="dxa"/>
            <w:left w:w="0" w:type="dxa"/>
            <w:bottom w:w="0" w:type="dxa"/>
            <w:right w:w="0" w:type="dxa"/>
          </w:tblCellMar>
        </w:tblPrEx>
        <w:trPr>
          <w:trHeight w:val="780" w:hRule="atLeast"/>
        </w:trPr>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w:t>
            </w:r>
          </w:p>
        </w:tc>
        <w:tc>
          <w:tcPr>
            <w:tcW w:w="5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AI视觉图书条码加工</w:t>
            </w:r>
          </w:p>
        </w:tc>
        <w:tc>
          <w:tcPr>
            <w:tcW w:w="63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书侧面重新粘贴视觉用的条码，方便自助借还及盘点定位</w:t>
            </w:r>
          </w:p>
        </w:tc>
        <w:tc>
          <w:tcPr>
            <w:tcW w:w="13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40000</w:t>
            </w:r>
          </w:p>
        </w:tc>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本</w:t>
            </w:r>
          </w:p>
        </w:tc>
      </w:tr>
      <w:tr>
        <w:tblPrEx>
          <w:shd w:val="clear" w:color="auto" w:fill="auto"/>
          <w:tblLayout w:type="fixed"/>
          <w:tblCellMar>
            <w:top w:w="0" w:type="dxa"/>
            <w:left w:w="0" w:type="dxa"/>
            <w:bottom w:w="0" w:type="dxa"/>
            <w:right w:w="0" w:type="dxa"/>
          </w:tblCellMar>
        </w:tblPrEx>
        <w:trPr>
          <w:trHeight w:val="5729" w:hRule="atLeast"/>
        </w:trPr>
        <w:tc>
          <w:tcPr>
            <w:tcW w:w="3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w:t>
            </w:r>
          </w:p>
        </w:tc>
        <w:tc>
          <w:tcPr>
            <w:tcW w:w="5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智慧图书馆管理平台</w:t>
            </w:r>
          </w:p>
        </w:tc>
        <w:tc>
          <w:tcPr>
            <w:tcW w:w="63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1、系统架构：要求基于Web的B/S系统架构；采用Windows IIS发布系统和SQL Server数据库(可支持MySql，Oracle等关系型数据库)，管理系统功能全部基于浏览器操作，无须安装客户端，方便易用；</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2、图书管理系统功能里的多级管理：管理平台要求采用多级分层管理，以组织/单位为顶层，以部门为最小管理单元，形成可实现多种应用需求的系统集成平台；</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3、接口扩展：要求对外提供标准的REST接口，方便第三方系统对接，同时可无缝对接校园一卡通，无须二次办证；</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4、流通管理系统：要求包括图书查询、剔旧、借还、预借、催还、超期提醒、罚款、书标打印、馆藏地迁移、图书转借、读者荐购以及图书层架标管理功能；</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5、图书管理系统功能里高效采编：要求可以通过手动或扫描输入ISBN码；须提供标准模版批量导入数据，同步Marc数据，实现自动编目功能；</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图书批量管理：要求具有按批次查找书刊，并对整个批次图书进行批量删除操作，轻松处理异常入库书刊功能；须具有续借和批量借阅、归还书刊功能，按需求可查看书刊流通记录，并可导出未归还书刊、借阅记录等数据功能；</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7、书刊查询：要求具有按书刊状态（外借、在库、丢失、污损、已剔旧、异常借书、已移除、已预借）统计借阅记录，方便追踪书刊动向功能，也可对书刊信息进行变更，包括变更书刊条码、标签、价格、名称、馆藏地、状态等信息；    </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8、书刊预借：要求具有预借功能，可查看预借详情,直接将预借人员修改为借阅人员并批量导出表格的功能；</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9、批量剃旧：要求具有批量图书剃旧功能，可在平台使用模板导入、点检设备上传数据和手动勾选图书进行剔旧；</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10、书刊管理：要求具有在线盘点书刊、转移书刊馆藏地、对书刊进行剔旧等功能，对已剔旧书刊将禁止流通；</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11、催还、罚款：要求具有自动筛选即将到期未归还书刊，并将催还信息推送至读者端微信小程序功能；须对超期书刊自动计算罚款金额，并支持读者扫码支付罚金；</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12、微信卡包：要求具有管理员设置微信卡包配置功能，包括：商户名称、卡券名、logo等，读者可在微信小程序端申领电子借阅证到微信卡包中，通过微信卡包中的二维码直接在设备上扫描登录；</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13、书标打印：要求具有通过ISBN、正题名、条形码、馆藏地、批次等条件查询打印的书签功能，支持自定义书标规格；须具有按条码升降序排列打印、单选或批量打印书标功能；</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14、图书转借管理：要求具有通过组织类型、时间等查询转借信息，管理员可手动确认转借和取消订单的功能 ；</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15、图书退订：要求具有记录图书退订信息功能，根据组织、日期、批次号、退订人、ISBN、正题名、作者、出版社查询信息，可新增、删除、导出数据；</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16、数据统计及导出：要求具有书刊查询列表导出、书刊流通记录导出、书刊借阅排行导出、书刊超期列表导出、超期催还记录导出、罚款管理记录导出、退款审核记录导出、交易流水记录导出、读者信息列表导出、读者借阅排行导出、读者借阅率导出、流通数据排行导出、流通日志表格导出、馆藏流通率导出、借阅利用率导出、图书分类统计及图书荐购数据导出，完善的数据统计及导出Excel文档功能，便于汇总查漏补缺；</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17、数据查看：要求具有查看校验短信数据功能，可按组织、验证码、验证码类型、发送日期和手机号生成记录；具有查看交易流水功能，可按组织、日期、收退款、交易类型、交易渠道、交易状态和读者证号生成记录；</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18、读者管理：要求具有恢复已删除读者功能（针对admin权限用户）；</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19、自助办证记录：要求具有记录通过设备和微信办理证件的读者信息，可通过组织、日期、姓名、借阅证号、读者标签和设备码等查办证信息；</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20、层架管理：要求具有新增上架功能，在管理平台上即可上架图书；</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21、信息发布：管理员可以选择不同馆藏地编辑本馆概况及读者须知内容，可新增新闻、通知、活动发布馆藏地（须支持多选），可添加友情链接，插入音频、图片和可设计字体等功能；</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22、书刊推荐，要求具有输入ISBN或书名选择馆藏地进行推荐的功能；</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23、书刊排行：要求可统计书刊从书架上取出的次数，按组织单位和馆藏地以周、月、年等周期生成排行榜；</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24、售书管理：要求具有图书上架，查看在售商品，查看已售商品的功能；</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25、商品上架：要求具有按ISBN、正题名、主题词、责任者查询图书，设置售书价格、选择组织上架功能； </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26、商品查询：要求具有按组织单位、ISBN、正题名查询在售图书详情功能；可按组织单位、时间查询已售图书的订单详情；</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27、读者移动端：要求微信小程序具有图书查询、预约、超期、罚款、购买、图书评分等信息查看功能，并支持在借书刊的查看、续借和购买；</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28、读者移动端信息查看：要求可以通过小程序查看新书推荐、热门阅读、催还信息及查看学校推送的通知、活动、新闻等信息功能；</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29、读者移动端在线支付：要求具有查看读者账单，在线通过微信或支付宝进行缴交罚款、缴交押金、退款操作的功能且缴交的款项支持原路退回账号功能；</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30、读者移动端图书转借：读者通过微信小程序搜索书名/作者、条码、ISBN、或直接扫描条码查找图书，如图书处于外借状态，可在线向当前借阅者提交转借申请，当前借阅者可选择接受转借或拒绝借出图书，转借物流支持“面对面扫码收货”及“邮寄转借”两种方式；</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31、读者移动端图书推荐：通过小程序,在我的推荐中输入书名/ISBN或者扫描ISBN条码搜索推荐图书并点击推荐，即可推荐数据库中已有图书；对未搜索到的推荐图书可通过表单填写图书书名、作者、ISBN、出版社等相关信息并点击推荐即可；</w:t>
            </w:r>
          </w:p>
          <w:p>
            <w:pPr>
              <w:keepNext w:val="0"/>
              <w:keepLines w:val="0"/>
              <w:widowControl/>
              <w:suppressLineNumbers w:val="0"/>
              <w:jc w:val="left"/>
              <w:textAlignment w:val="top"/>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32、读者移动端图书借阅：小程序须具有扫码功能，扫描设备屏幕上的图书二维码即可查看图书详情，完成图书借阅操作的功能；</w:t>
            </w:r>
          </w:p>
          <w:p>
            <w:pPr>
              <w:keepNext w:val="0"/>
              <w:keepLines w:val="0"/>
              <w:widowControl/>
              <w:suppressLineNumbers w:val="0"/>
              <w:jc w:val="left"/>
              <w:textAlignment w:val="top"/>
              <w:rPr>
                <w:rFonts w:hint="eastAsia" w:asciiTheme="minorEastAsia" w:hAnsiTheme="minorEastAsia" w:eastAsiaTheme="minorEastAsia" w:cstheme="minorEastAsia"/>
                <w:i w:val="0"/>
                <w:color w:val="FF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33、AI测评：系统要求可接入AI大数据，针对读者已借阅图书自动生成测评题目，帮助读者完成阅读评测。测评提供包含但不限于单选题、多选题、排序题、判断题等题型。读者答题时，系统可选择优美背景音乐效或语音读题。</w:t>
            </w:r>
          </w:p>
        </w:tc>
        <w:tc>
          <w:tcPr>
            <w:tcW w:w="137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软件</w:t>
            </w:r>
          </w:p>
        </w:tc>
        <w:tc>
          <w:tcPr>
            <w:tcW w:w="76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3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r>
      <w:tr>
        <w:tblPrEx>
          <w:shd w:val="clear" w:color="auto" w:fill="auto"/>
          <w:tblLayout w:type="fixed"/>
          <w:tblCellMar>
            <w:top w:w="0" w:type="dxa"/>
            <w:left w:w="0" w:type="dxa"/>
            <w:bottom w:w="0" w:type="dxa"/>
            <w:right w:w="0" w:type="dxa"/>
          </w:tblCellMar>
        </w:tblPrEx>
        <w:trPr>
          <w:trHeight w:val="5729" w:hRule="atLeast"/>
        </w:trPr>
        <w:tc>
          <w:tcPr>
            <w:tcW w:w="3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63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left"/>
              <w:rPr>
                <w:rFonts w:hint="eastAsia" w:asciiTheme="minorEastAsia" w:hAnsiTheme="minorEastAsia" w:eastAsiaTheme="minorEastAsia" w:cstheme="minorEastAsia"/>
                <w:i w:val="0"/>
                <w:color w:val="FF0000"/>
                <w:sz w:val="24"/>
                <w:szCs w:val="24"/>
                <w:highlight w:val="none"/>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7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3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r>
      <w:tr>
        <w:tblPrEx>
          <w:shd w:val="clear" w:color="auto" w:fill="auto"/>
          <w:tblLayout w:type="fixed"/>
          <w:tblCellMar>
            <w:top w:w="0" w:type="dxa"/>
            <w:left w:w="0" w:type="dxa"/>
            <w:bottom w:w="0" w:type="dxa"/>
            <w:right w:w="0" w:type="dxa"/>
          </w:tblCellMar>
        </w:tblPrEx>
        <w:trPr>
          <w:trHeight w:val="5399" w:hRule="atLeast"/>
        </w:trPr>
        <w:tc>
          <w:tcPr>
            <w:tcW w:w="3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63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left"/>
              <w:rPr>
                <w:rFonts w:hint="eastAsia" w:asciiTheme="minorEastAsia" w:hAnsiTheme="minorEastAsia" w:eastAsiaTheme="minorEastAsia" w:cstheme="minorEastAsia"/>
                <w:i w:val="0"/>
                <w:color w:val="FF0000"/>
                <w:sz w:val="24"/>
                <w:szCs w:val="24"/>
                <w:highlight w:val="none"/>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7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3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r>
      <w:tr>
        <w:tblPrEx>
          <w:shd w:val="clear" w:color="auto" w:fill="auto"/>
          <w:tblLayout w:type="fixed"/>
          <w:tblCellMar>
            <w:top w:w="0" w:type="dxa"/>
            <w:left w:w="0" w:type="dxa"/>
            <w:bottom w:w="0" w:type="dxa"/>
            <w:right w:w="0" w:type="dxa"/>
          </w:tblCellMar>
        </w:tblPrEx>
        <w:trPr>
          <w:trHeight w:val="2601" w:hRule="atLeast"/>
        </w:trPr>
        <w:tc>
          <w:tcPr>
            <w:tcW w:w="3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5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63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left"/>
              <w:rPr>
                <w:rFonts w:hint="eastAsia" w:asciiTheme="minorEastAsia" w:hAnsiTheme="minorEastAsia" w:eastAsiaTheme="minorEastAsia" w:cstheme="minorEastAsia"/>
                <w:i w:val="0"/>
                <w:color w:val="FF0000"/>
                <w:sz w:val="24"/>
                <w:szCs w:val="24"/>
                <w:highlight w:val="none"/>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7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3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r>
      <w:tr>
        <w:tblPrEx>
          <w:shd w:val="clear" w:color="auto" w:fill="auto"/>
          <w:tblLayout w:type="fixed"/>
          <w:tblCellMar>
            <w:top w:w="0" w:type="dxa"/>
            <w:left w:w="0" w:type="dxa"/>
            <w:bottom w:w="0" w:type="dxa"/>
            <w:right w:w="0" w:type="dxa"/>
          </w:tblCellMar>
        </w:tblPrEx>
        <w:trPr>
          <w:trHeight w:val="3295" w:hRule="atLeast"/>
        </w:trPr>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w:t>
            </w:r>
          </w:p>
        </w:tc>
        <w:tc>
          <w:tcPr>
            <w:tcW w:w="5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AI图书馆安全门</w:t>
            </w:r>
          </w:p>
        </w:tc>
        <w:tc>
          <w:tcPr>
            <w:tcW w:w="63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1.检测磁条长度：钴基磁条6cm以上</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2.监测高度：≥1500mm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3.监测宽度：单通道：700-900(mm)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4.外形尺寸：≥1480*540*40(mm)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5.磁条兼容：可监测6CM以上的磁条。</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6.通道宽度：使用磁条，通道距离可达到80-90ＣＭ。</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7.综合灵敏度：采用电磁波防盗技术，盲区小，综合灵敏度在98%以上。</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8.图书馆安全门功能里的信号联动：每片安全门支持 不少于 5 路数字信号联动输出，其中一路可直接控制市电220V 电压的通断，可接摄像头、大屏显示器、电视等输出端，实现直观的监控和管理</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9.设备系统：具有高侦测性能系统，能够进行三维监测，要求无误报，无漏报；</w:t>
            </w:r>
          </w:p>
        </w:tc>
        <w:tc>
          <w:tcPr>
            <w:tcW w:w="13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sz w:val="24"/>
                <w:szCs w:val="24"/>
                <w:highlight w:val="none"/>
              </w:rPr>
              <w:drawing>
                <wp:inline distT="0" distB="0" distL="114300" distR="114300">
                  <wp:extent cx="766445" cy="1353185"/>
                  <wp:effectExtent l="0" t="0" r="14605" b="18415"/>
                  <wp:docPr id="14"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0"/>
                          <pic:cNvPicPr>
                            <a:picLocks noChangeAspect="1"/>
                          </pic:cNvPicPr>
                        </pic:nvPicPr>
                        <pic:blipFill>
                          <a:blip r:embed="rId16"/>
                          <a:stretch>
                            <a:fillRect/>
                          </a:stretch>
                        </pic:blipFill>
                        <pic:spPr>
                          <a:xfrm>
                            <a:off x="0" y="0"/>
                            <a:ext cx="766445" cy="1353185"/>
                          </a:xfrm>
                          <a:prstGeom prst="rect">
                            <a:avLst/>
                          </a:prstGeom>
                          <a:noFill/>
                          <a:ln>
                            <a:noFill/>
                          </a:ln>
                        </pic:spPr>
                      </pic:pic>
                    </a:graphicData>
                  </a:graphic>
                </wp:inline>
              </w:drawing>
            </w:r>
          </w:p>
        </w:tc>
        <w:tc>
          <w:tcPr>
            <w:tcW w:w="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w:t>
            </w:r>
          </w:p>
        </w:tc>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片</w:t>
            </w:r>
          </w:p>
        </w:tc>
      </w:tr>
      <w:tr>
        <w:tblPrEx>
          <w:shd w:val="clear" w:color="auto" w:fill="auto"/>
          <w:tblLayout w:type="fixed"/>
          <w:tblCellMar>
            <w:top w:w="0" w:type="dxa"/>
            <w:left w:w="0" w:type="dxa"/>
            <w:bottom w:w="0" w:type="dxa"/>
            <w:right w:w="0" w:type="dxa"/>
          </w:tblCellMar>
        </w:tblPrEx>
        <w:trPr>
          <w:trHeight w:val="3547" w:hRule="atLeast"/>
        </w:trPr>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w:t>
            </w:r>
          </w:p>
        </w:tc>
        <w:tc>
          <w:tcPr>
            <w:tcW w:w="5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控制主机</w:t>
            </w:r>
          </w:p>
        </w:tc>
        <w:tc>
          <w:tcPr>
            <w:tcW w:w="63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1、CPU：采用国产自主可控芯片，主频≥2.7GHz ， ≥8核处理器 8线程。；</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2、内存：≥16 G DDR4内存或以上。最大可支持拓展64GB；</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3、硬盘：≥512G M.2 SSD硬盘，支持升级1TB SSD；支持扩展机械硬盘；</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4、网络通信：≥ 1个1000M以太网卡，网口支持wake on LAN；</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5、前置面板：USB3.0≥1个（USB 3.2 Gen1）；USB2.0≥1个；音频输入≥1，音频输出≥1；</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6、后置面板：USB3.0≥2个（USB 3.2 Gen2）；USB2.0≥4个；HDMI输出≥1；音频输入≥1；音频输出≥1；RJ45≥1；</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7.内部插槽：PCIEX16≥1（支持拓展独立显卡）；PCIEX1≥1；M.2≥2；SATA≥2；</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8.机箱体积：≥18L；</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9、电源：≤300W 节能稳压电源；</w:t>
            </w:r>
          </w:p>
        </w:tc>
        <w:tc>
          <w:tcPr>
            <w:tcW w:w="13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Theme="minorEastAsia" w:hAnsiTheme="minorEastAsia" w:eastAsiaTheme="minorEastAsia" w:cstheme="minorEastAsia"/>
                <w:i w:val="0"/>
                <w:color w:val="000000"/>
                <w:sz w:val="24"/>
                <w:szCs w:val="24"/>
                <w:highlight w:val="none"/>
                <w:u w:val="none"/>
              </w:rPr>
            </w:pPr>
          </w:p>
        </w:tc>
        <w:tc>
          <w:tcPr>
            <w:tcW w:w="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r>
      <w:tr>
        <w:tblPrEx>
          <w:shd w:val="clear" w:color="auto" w:fill="auto"/>
          <w:tblLayout w:type="fixed"/>
          <w:tblCellMar>
            <w:top w:w="0" w:type="dxa"/>
            <w:left w:w="0" w:type="dxa"/>
            <w:bottom w:w="0" w:type="dxa"/>
            <w:right w:w="0" w:type="dxa"/>
          </w:tblCellMar>
        </w:tblPrEx>
        <w:trPr>
          <w:trHeight w:val="1031" w:hRule="atLeast"/>
        </w:trPr>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w:t>
            </w:r>
          </w:p>
        </w:tc>
        <w:tc>
          <w:tcPr>
            <w:tcW w:w="5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控制显示器</w:t>
            </w:r>
          </w:p>
        </w:tc>
        <w:tc>
          <w:tcPr>
            <w:tcW w:w="63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1、屏幕尺寸：≥23.8英寸；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2、屏幕比例：16:9；视频接口：≥1 个 VGA≥1 个 HDMI；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3、分辨率：1920*1080；电源适配器输 AC,100~240V,50~60Hz,输出 DC； </w:t>
            </w:r>
          </w:p>
        </w:tc>
        <w:tc>
          <w:tcPr>
            <w:tcW w:w="13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Theme="minorEastAsia" w:hAnsiTheme="minorEastAsia" w:eastAsiaTheme="minorEastAsia" w:cstheme="minorEastAsia"/>
                <w:i w:val="0"/>
                <w:color w:val="000000"/>
                <w:sz w:val="24"/>
                <w:szCs w:val="24"/>
                <w:highlight w:val="none"/>
                <w:u w:val="none"/>
              </w:rPr>
            </w:pPr>
          </w:p>
        </w:tc>
        <w:tc>
          <w:tcPr>
            <w:tcW w:w="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r>
      <w:tr>
        <w:tblPrEx>
          <w:shd w:val="clear" w:color="auto" w:fill="auto"/>
          <w:tblLayout w:type="fixed"/>
          <w:tblCellMar>
            <w:top w:w="0" w:type="dxa"/>
            <w:left w:w="0" w:type="dxa"/>
            <w:bottom w:w="0" w:type="dxa"/>
            <w:right w:w="0" w:type="dxa"/>
          </w:tblCellMar>
        </w:tblPrEx>
        <w:trPr>
          <w:trHeight w:val="1031" w:hRule="atLeast"/>
        </w:trPr>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w:t>
            </w:r>
          </w:p>
        </w:tc>
        <w:tc>
          <w:tcPr>
            <w:tcW w:w="5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键鼠</w:t>
            </w:r>
          </w:p>
        </w:tc>
        <w:tc>
          <w:tcPr>
            <w:tcW w:w="63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1、鼠标：按键数不小于 2 个，连接方式：有线；鼠标接口： USB； </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2、键盘：按键数不少于 104 个，连接方式：有线；键盘接</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 xml:space="preserve">口：USB； </w:t>
            </w:r>
          </w:p>
        </w:tc>
        <w:tc>
          <w:tcPr>
            <w:tcW w:w="13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Theme="minorEastAsia" w:hAnsiTheme="minorEastAsia" w:eastAsiaTheme="minorEastAsia" w:cstheme="minorEastAsia"/>
                <w:i w:val="0"/>
                <w:color w:val="000000"/>
                <w:sz w:val="24"/>
                <w:szCs w:val="24"/>
                <w:highlight w:val="none"/>
                <w:u w:val="none"/>
              </w:rPr>
            </w:pPr>
          </w:p>
        </w:tc>
        <w:tc>
          <w:tcPr>
            <w:tcW w:w="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r>
      <w:tr>
        <w:tblPrEx>
          <w:shd w:val="clear" w:color="auto" w:fill="auto"/>
          <w:tblLayout w:type="fixed"/>
          <w:tblCellMar>
            <w:top w:w="0" w:type="dxa"/>
            <w:left w:w="0" w:type="dxa"/>
            <w:bottom w:w="0" w:type="dxa"/>
            <w:right w:w="0" w:type="dxa"/>
          </w:tblCellMar>
        </w:tblPrEx>
        <w:trPr>
          <w:trHeight w:val="4302" w:hRule="atLeast"/>
        </w:trPr>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9</w:t>
            </w:r>
          </w:p>
        </w:tc>
        <w:tc>
          <w:tcPr>
            <w:tcW w:w="5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操作系统</w:t>
            </w:r>
          </w:p>
        </w:tc>
        <w:tc>
          <w:tcPr>
            <w:tcW w:w="63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国产操作系统需要具备以下功能：</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（1）支持飞腾、龙芯、兆芯、海光、申威、海思麒麟、鲲鹏等主流国产CPU。</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（2）支持Eclipse、Qt、VS code、PyCharm等开发工具并且支持C/C++、java、python、等多种开发语言。</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（3）支持国内外主流打印机、扫描仪、投影仪、摄像头等各类外设设备。</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（4）系统支持备份和恢复。</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（5）支持奇安信可信浏览器、360安全浏览器、Firefox网络浏览器等，支持业界主流的浏览器内核技术。</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（6）具备自研的智能数据管理工具，支持根据筛选条件或关键字、自然语言指令等创建新的映射空间进行文件和数据的管理；支持文本文件智能摘要抽取、智能标签抽取等功能。</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（7）具备AI辅助功能并集成商业版本地模型（模型参数量不低于3B），保证授权模型的合法合规性、稳定性和安全性，提供系统问答、文本写作、文本润色、整理周报、中英互译、系统控制等功能。</w:t>
            </w:r>
          </w:p>
        </w:tc>
        <w:tc>
          <w:tcPr>
            <w:tcW w:w="13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Theme="minorEastAsia" w:hAnsiTheme="minorEastAsia" w:eastAsiaTheme="minorEastAsia" w:cstheme="minorEastAsia"/>
                <w:i w:val="0"/>
                <w:color w:val="000000"/>
                <w:sz w:val="24"/>
                <w:szCs w:val="24"/>
                <w:highlight w:val="none"/>
                <w:u w:val="none"/>
              </w:rPr>
            </w:pPr>
          </w:p>
        </w:tc>
        <w:tc>
          <w:tcPr>
            <w:tcW w:w="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r>
      <w:tr>
        <w:tblPrEx>
          <w:shd w:val="clear" w:color="auto" w:fill="auto"/>
          <w:tblLayout w:type="fixed"/>
          <w:tblCellMar>
            <w:top w:w="0" w:type="dxa"/>
            <w:left w:w="0" w:type="dxa"/>
            <w:bottom w:w="0" w:type="dxa"/>
            <w:right w:w="0" w:type="dxa"/>
          </w:tblCellMar>
        </w:tblPrEx>
        <w:trPr>
          <w:trHeight w:val="2289" w:hRule="atLeast"/>
        </w:trPr>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10</w:t>
            </w:r>
          </w:p>
        </w:tc>
        <w:tc>
          <w:tcPr>
            <w:tcW w:w="5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办公软件</w:t>
            </w:r>
          </w:p>
        </w:tc>
        <w:tc>
          <w:tcPr>
            <w:tcW w:w="63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办公套件支持Linux系统设计，集成文字、表格、演示三大组件，支持多标签窗口管理与.doc/.docx/.wps等全格式兼容。核心功能上，文字模块具备截图取字、七语互译及划词翻译，智能目录可自动识别结构生成导航；演示模块支持SmartArt图形、文档打包及录屏转视频。依托公网云服务，提供≥10GB/人存储空间，支持Web/移动端多端协同，实现文档秒级同步、外链分享及OCR扫描建表。同时内置表单采集与后台管理，包括但不限于通讯录管理、安全管理、日志管理、审批管理、应用管理等；全方位满足数字化办公需求。</w:t>
            </w:r>
          </w:p>
        </w:tc>
        <w:tc>
          <w:tcPr>
            <w:tcW w:w="13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Theme="minorEastAsia" w:hAnsiTheme="minorEastAsia" w:eastAsiaTheme="minorEastAsia" w:cstheme="minorEastAsia"/>
                <w:i w:val="0"/>
                <w:color w:val="000000"/>
                <w:sz w:val="24"/>
                <w:szCs w:val="24"/>
                <w:highlight w:val="none"/>
                <w:u w:val="none"/>
              </w:rPr>
            </w:pPr>
          </w:p>
        </w:tc>
        <w:tc>
          <w:tcPr>
            <w:tcW w:w="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r>
      <w:tr>
        <w:tblPrEx>
          <w:shd w:val="clear" w:color="auto" w:fill="auto"/>
          <w:tblLayout w:type="fixed"/>
          <w:tblCellMar>
            <w:top w:w="0" w:type="dxa"/>
            <w:left w:w="0" w:type="dxa"/>
            <w:bottom w:w="0" w:type="dxa"/>
            <w:right w:w="0" w:type="dxa"/>
          </w:tblCellMar>
        </w:tblPrEx>
        <w:trPr>
          <w:trHeight w:val="2289" w:hRule="atLeast"/>
        </w:trPr>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11</w:t>
            </w:r>
          </w:p>
        </w:tc>
        <w:tc>
          <w:tcPr>
            <w:tcW w:w="5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版式软件</w:t>
            </w:r>
          </w:p>
        </w:tc>
        <w:tc>
          <w:tcPr>
            <w:tcW w:w="63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支持OFD/PDF版式文件的打开、保存及导出为图片、PDF、TXT等多格式转换，并支持SFD、SEP、CEB、S2/S72/S92等近百种流版式文档的直接阅览。阅读体验上，提供翻页、缩放、缩略图、大纲及双文档同屏比对功能；编辑与批注方面，支持版式修订、手写签批（含压感笔锋、跨页签批）、图形与文本注释及注释导入导出。</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支持国密HTTPS传输、国密时间戳、脱离第三方的电子签章验证（含骑缝章、批量盖章）及图文/动态水印；同时提供保存、打印、复制、截屏等细粒度权限管控。此外，产品支持B/S与C/S双架构集成，提供完善二次开发接口，可无缝融入各类业务系统</w:t>
            </w:r>
          </w:p>
        </w:tc>
        <w:tc>
          <w:tcPr>
            <w:tcW w:w="13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Theme="minorEastAsia" w:hAnsiTheme="minorEastAsia" w:eastAsiaTheme="minorEastAsia" w:cstheme="minorEastAsia"/>
                <w:i w:val="0"/>
                <w:color w:val="000000"/>
                <w:sz w:val="24"/>
                <w:szCs w:val="24"/>
                <w:highlight w:val="none"/>
                <w:u w:val="none"/>
              </w:rPr>
            </w:pPr>
          </w:p>
        </w:tc>
        <w:tc>
          <w:tcPr>
            <w:tcW w:w="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r>
      <w:tr>
        <w:tblPrEx>
          <w:shd w:val="clear" w:color="auto" w:fill="auto"/>
          <w:tblLayout w:type="fixed"/>
          <w:tblCellMar>
            <w:top w:w="0" w:type="dxa"/>
            <w:left w:w="0" w:type="dxa"/>
            <w:bottom w:w="0" w:type="dxa"/>
            <w:right w:w="0" w:type="dxa"/>
          </w:tblCellMar>
        </w:tblPrEx>
        <w:trPr>
          <w:trHeight w:val="1282" w:hRule="atLeast"/>
        </w:trPr>
        <w:tc>
          <w:tcPr>
            <w:tcW w:w="345"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12</w:t>
            </w:r>
          </w:p>
        </w:tc>
        <w:tc>
          <w:tcPr>
            <w:tcW w:w="592"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病毒防治类软件</w:t>
            </w:r>
          </w:p>
        </w:tc>
        <w:tc>
          <w:tcPr>
            <w:tcW w:w="6338"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适配国产化终端，提供多层次安全防护。支持压缩包、安装包及复合文档深度查杀，具备实时监控、定时与全盘扫描能力。防非授权退出与自保护机制，严防用户或第三方软件强制破坏。支持自动/手动升级，可智能处置病毒并隔离备份，同时提供顽固文件强制删除功能，确保系统安全纯净。</w:t>
            </w:r>
          </w:p>
        </w:tc>
        <w:tc>
          <w:tcPr>
            <w:tcW w:w="1378"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Theme="minorEastAsia" w:hAnsiTheme="minorEastAsia" w:eastAsiaTheme="minorEastAsia" w:cstheme="minorEastAsia"/>
                <w:i w:val="0"/>
                <w:color w:val="000000"/>
                <w:sz w:val="24"/>
                <w:szCs w:val="24"/>
                <w:highlight w:val="none"/>
                <w:u w:val="none"/>
              </w:rPr>
            </w:pPr>
          </w:p>
        </w:tc>
        <w:tc>
          <w:tcPr>
            <w:tcW w:w="762"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345"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套</w:t>
            </w:r>
          </w:p>
        </w:tc>
      </w:tr>
      <w:tr>
        <w:tblPrEx>
          <w:shd w:val="clear" w:color="auto" w:fill="auto"/>
          <w:tblLayout w:type="fixed"/>
          <w:tblCellMar>
            <w:top w:w="0" w:type="dxa"/>
            <w:left w:w="0" w:type="dxa"/>
            <w:bottom w:w="0" w:type="dxa"/>
            <w:right w:w="0" w:type="dxa"/>
          </w:tblCellMar>
        </w:tblPrEx>
        <w:trPr>
          <w:trHeight w:val="2528" w:hRule="atLeast"/>
        </w:trPr>
        <w:tc>
          <w:tcPr>
            <w:tcW w:w="345" w:type="dxa"/>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13</w:t>
            </w:r>
          </w:p>
        </w:tc>
        <w:tc>
          <w:tcPr>
            <w:tcW w:w="592" w:type="dxa"/>
            <w:vMerge w:val="restart"/>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图书检索查询机</w:t>
            </w:r>
          </w:p>
        </w:tc>
        <w:tc>
          <w:tcPr>
            <w:tcW w:w="6338" w:type="dxa"/>
            <w:vMerge w:val="restart"/>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left"/>
              <w:textAlignment w:val="top"/>
              <w:rPr>
                <w:rFonts w:hint="eastAsia" w:asciiTheme="minorEastAsia" w:hAnsiTheme="minorEastAsia" w:eastAsiaTheme="minorEastAsia" w:cstheme="minorEastAsia"/>
                <w:i w:val="0"/>
                <w:color w:val="000000"/>
                <w:sz w:val="24"/>
                <w:szCs w:val="24"/>
                <w:highlight w:val="none"/>
                <w:u w:val="none"/>
              </w:rPr>
            </w:pPr>
            <w:r>
              <w:rPr>
                <w:rStyle w:val="9"/>
                <w:rFonts w:hint="eastAsia" w:asciiTheme="minorEastAsia" w:hAnsiTheme="minorEastAsia" w:eastAsiaTheme="minorEastAsia" w:cstheme="minorEastAsia"/>
                <w:snapToGrid w:val="0"/>
                <w:color w:val="000000"/>
                <w:sz w:val="24"/>
                <w:szCs w:val="24"/>
                <w:highlight w:val="none"/>
                <w:lang w:val="en-US" w:eastAsia="zh-CN" w:bidi="ar"/>
              </w:rPr>
              <w:t>1、检索查询机为读者提供基本的信息查询功能，读者可以检索图书馆内的馆藏信息，也可浏览图书馆最新公布信息，联网后还可登录网站进行咨询和获取图书馆提供的数字资源等。</w:t>
            </w:r>
            <w:r>
              <w:rPr>
                <w:rStyle w:val="9"/>
                <w:rFonts w:hint="eastAsia" w:asciiTheme="minorEastAsia" w:hAnsiTheme="minorEastAsia" w:eastAsiaTheme="minorEastAsia" w:cstheme="minorEastAsia"/>
                <w:snapToGrid w:val="0"/>
                <w:color w:val="000000"/>
                <w:sz w:val="24"/>
                <w:szCs w:val="24"/>
                <w:highlight w:val="none"/>
                <w:lang w:val="en-US" w:eastAsia="zh-CN" w:bidi="ar"/>
              </w:rPr>
              <w:br w:type="textWrapping"/>
            </w:r>
            <w:r>
              <w:rPr>
                <w:rStyle w:val="9"/>
                <w:rFonts w:hint="eastAsia" w:asciiTheme="minorEastAsia" w:hAnsiTheme="minorEastAsia" w:eastAsiaTheme="minorEastAsia" w:cstheme="minorEastAsia"/>
                <w:snapToGrid w:val="0"/>
                <w:color w:val="000000"/>
                <w:sz w:val="24"/>
                <w:szCs w:val="24"/>
                <w:highlight w:val="none"/>
                <w:lang w:val="en-US" w:eastAsia="zh-CN" w:bidi="ar"/>
              </w:rPr>
              <w:t>2、屏幕规格：≥长700mm×宽400mm×厚35mm；</w:t>
            </w:r>
            <w:r>
              <w:rPr>
                <w:rStyle w:val="9"/>
                <w:rFonts w:hint="eastAsia" w:asciiTheme="minorEastAsia" w:hAnsiTheme="minorEastAsia" w:eastAsiaTheme="minorEastAsia" w:cstheme="minorEastAsia"/>
                <w:snapToGrid w:val="0"/>
                <w:color w:val="000000"/>
                <w:sz w:val="24"/>
                <w:szCs w:val="24"/>
                <w:highlight w:val="none"/>
                <w:lang w:val="en-US" w:eastAsia="zh-CN" w:bidi="ar"/>
              </w:rPr>
              <w:br w:type="textWrapping"/>
            </w:r>
            <w:r>
              <w:rPr>
                <w:rStyle w:val="9"/>
                <w:rFonts w:hint="eastAsia" w:asciiTheme="minorEastAsia" w:hAnsiTheme="minorEastAsia" w:eastAsiaTheme="minorEastAsia" w:cstheme="minorEastAsia"/>
                <w:snapToGrid w:val="0"/>
                <w:color w:val="000000"/>
                <w:sz w:val="24"/>
                <w:szCs w:val="24"/>
                <w:highlight w:val="none"/>
                <w:lang w:val="en-US" w:eastAsia="zh-CN" w:bidi="ar"/>
              </w:rPr>
              <w:t>3、材质：铝型材，冷轧钢板、不易变形、机柜与固定背板部件结合紧密；</w:t>
            </w:r>
            <w:r>
              <w:rPr>
                <w:rStyle w:val="9"/>
                <w:rFonts w:hint="eastAsia" w:asciiTheme="minorEastAsia" w:hAnsiTheme="minorEastAsia" w:eastAsiaTheme="minorEastAsia" w:cstheme="minorEastAsia"/>
                <w:snapToGrid w:val="0"/>
                <w:color w:val="000000"/>
                <w:sz w:val="24"/>
                <w:szCs w:val="24"/>
                <w:highlight w:val="none"/>
                <w:lang w:val="en-US" w:eastAsia="zh-CN" w:bidi="ar"/>
              </w:rPr>
              <w:br w:type="textWrapping"/>
            </w:r>
            <w:r>
              <w:rPr>
                <w:rStyle w:val="9"/>
                <w:rFonts w:hint="eastAsia" w:asciiTheme="minorEastAsia" w:hAnsiTheme="minorEastAsia" w:eastAsiaTheme="minorEastAsia" w:cstheme="minorEastAsia"/>
                <w:snapToGrid w:val="0"/>
                <w:color w:val="000000"/>
                <w:sz w:val="24"/>
                <w:szCs w:val="24"/>
                <w:highlight w:val="none"/>
                <w:lang w:val="en-US" w:eastAsia="zh-CN" w:bidi="ar"/>
              </w:rPr>
              <w:t>4、屏幕尺寸：32寸（16:9）及以上红外多点触摸LED液晶屏；定位精度：≤2mm；</w:t>
            </w:r>
            <w:r>
              <w:rPr>
                <w:rStyle w:val="9"/>
                <w:rFonts w:hint="eastAsia" w:asciiTheme="minorEastAsia" w:hAnsiTheme="minorEastAsia" w:eastAsiaTheme="minorEastAsia" w:cstheme="minorEastAsia"/>
                <w:snapToGrid w:val="0"/>
                <w:color w:val="000000"/>
                <w:sz w:val="24"/>
                <w:szCs w:val="24"/>
                <w:highlight w:val="none"/>
                <w:lang w:val="en-US" w:eastAsia="zh-CN" w:bidi="ar"/>
              </w:rPr>
              <w:br w:type="textWrapping"/>
            </w:r>
            <w:r>
              <w:rPr>
                <w:rStyle w:val="9"/>
                <w:rFonts w:hint="eastAsia" w:asciiTheme="minorEastAsia" w:hAnsiTheme="minorEastAsia" w:eastAsiaTheme="minorEastAsia" w:cstheme="minorEastAsia"/>
                <w:snapToGrid w:val="0"/>
                <w:color w:val="000000"/>
                <w:sz w:val="24"/>
                <w:szCs w:val="24"/>
                <w:highlight w:val="none"/>
                <w:lang w:val="en-US" w:eastAsia="zh-CN" w:bidi="ar"/>
              </w:rPr>
              <w:t>5、主机配置：因特尔酷睿I3处理器及以上，内存：≥4GDDR3，系统存储：128GSSD及以上；</w:t>
            </w:r>
            <w:r>
              <w:rPr>
                <w:rStyle w:val="9"/>
                <w:rFonts w:hint="eastAsia" w:asciiTheme="minorEastAsia" w:hAnsiTheme="minorEastAsia" w:eastAsiaTheme="minorEastAsia" w:cstheme="minorEastAsia"/>
                <w:snapToGrid w:val="0"/>
                <w:color w:val="000000"/>
                <w:sz w:val="24"/>
                <w:szCs w:val="24"/>
                <w:highlight w:val="none"/>
                <w:lang w:val="en-US" w:eastAsia="zh-CN" w:bidi="ar"/>
              </w:rPr>
              <w:br w:type="textWrapping"/>
            </w:r>
            <w:r>
              <w:rPr>
                <w:rStyle w:val="9"/>
                <w:rFonts w:hint="eastAsia" w:asciiTheme="minorEastAsia" w:hAnsiTheme="minorEastAsia" w:eastAsiaTheme="minorEastAsia" w:cstheme="minorEastAsia"/>
                <w:snapToGrid w:val="0"/>
                <w:color w:val="000000"/>
                <w:sz w:val="24"/>
                <w:szCs w:val="24"/>
                <w:highlight w:val="none"/>
                <w:lang w:val="en-US" w:eastAsia="zh-CN" w:bidi="ar"/>
              </w:rPr>
              <w:t>6、接口配置：LAN有线网口 RJ45八芯标准接口，WiFi 2.4GHz，USB*1，HDMI(out)*1；</w:t>
            </w:r>
            <w:r>
              <w:rPr>
                <w:rStyle w:val="9"/>
                <w:rFonts w:hint="eastAsia" w:asciiTheme="minorEastAsia" w:hAnsiTheme="minorEastAsia" w:eastAsiaTheme="minorEastAsia" w:cstheme="minorEastAsia"/>
                <w:snapToGrid w:val="0"/>
                <w:color w:val="000000"/>
                <w:sz w:val="24"/>
                <w:szCs w:val="24"/>
                <w:highlight w:val="none"/>
                <w:lang w:val="en-US" w:eastAsia="zh-CN" w:bidi="ar"/>
              </w:rPr>
              <w:br w:type="textWrapping"/>
            </w:r>
            <w:r>
              <w:rPr>
                <w:rStyle w:val="9"/>
                <w:rFonts w:hint="eastAsia" w:asciiTheme="minorEastAsia" w:hAnsiTheme="minorEastAsia" w:eastAsiaTheme="minorEastAsia" w:cstheme="minorEastAsia"/>
                <w:snapToGrid w:val="0"/>
                <w:color w:val="000000"/>
                <w:sz w:val="24"/>
                <w:szCs w:val="24"/>
                <w:highlight w:val="none"/>
                <w:lang w:val="en-US" w:eastAsia="zh-CN" w:bidi="ar"/>
              </w:rPr>
              <w:t>7、整机功率：≤200W；</w:t>
            </w:r>
            <w:r>
              <w:rPr>
                <w:rStyle w:val="9"/>
                <w:rFonts w:hint="eastAsia" w:asciiTheme="minorEastAsia" w:hAnsiTheme="minorEastAsia" w:eastAsiaTheme="minorEastAsia" w:cstheme="minorEastAsia"/>
                <w:snapToGrid w:val="0"/>
                <w:color w:val="000000"/>
                <w:sz w:val="24"/>
                <w:szCs w:val="24"/>
                <w:highlight w:val="none"/>
                <w:lang w:val="en-US" w:eastAsia="zh-CN" w:bidi="ar"/>
              </w:rPr>
              <w:br w:type="textWrapping"/>
            </w:r>
            <w:r>
              <w:rPr>
                <w:rStyle w:val="9"/>
                <w:rFonts w:hint="eastAsia" w:asciiTheme="minorEastAsia" w:hAnsiTheme="minorEastAsia" w:eastAsiaTheme="minorEastAsia" w:cstheme="minorEastAsia"/>
                <w:snapToGrid w:val="0"/>
                <w:color w:val="000000"/>
                <w:sz w:val="24"/>
                <w:szCs w:val="24"/>
                <w:highlight w:val="none"/>
                <w:lang w:val="en-US" w:eastAsia="zh-CN" w:bidi="ar"/>
              </w:rPr>
              <w:t>8、工作温度：-10℃～50℃；</w:t>
            </w:r>
            <w:r>
              <w:rPr>
                <w:rStyle w:val="9"/>
                <w:rFonts w:hint="eastAsia" w:asciiTheme="minorEastAsia" w:hAnsiTheme="minorEastAsia" w:eastAsiaTheme="minorEastAsia" w:cstheme="minorEastAsia"/>
                <w:snapToGrid w:val="0"/>
                <w:color w:val="000000"/>
                <w:sz w:val="24"/>
                <w:szCs w:val="24"/>
                <w:highlight w:val="none"/>
                <w:lang w:val="en-US" w:eastAsia="zh-CN" w:bidi="ar"/>
              </w:rPr>
              <w:br w:type="textWrapping"/>
            </w:r>
            <w:r>
              <w:rPr>
                <w:rStyle w:val="9"/>
                <w:rFonts w:hint="eastAsia" w:asciiTheme="minorEastAsia" w:hAnsiTheme="minorEastAsia" w:eastAsiaTheme="minorEastAsia" w:cstheme="minorEastAsia"/>
                <w:snapToGrid w:val="0"/>
                <w:color w:val="000000"/>
                <w:sz w:val="24"/>
                <w:szCs w:val="24"/>
                <w:highlight w:val="none"/>
                <w:lang w:val="en-US" w:eastAsia="zh-CN" w:bidi="ar"/>
              </w:rPr>
              <w:t>9、储存温度：-20℃～60℃；</w:t>
            </w:r>
            <w:r>
              <w:rPr>
                <w:rStyle w:val="9"/>
                <w:rFonts w:hint="eastAsia" w:asciiTheme="minorEastAsia" w:hAnsiTheme="minorEastAsia" w:eastAsiaTheme="minorEastAsia" w:cstheme="minorEastAsia"/>
                <w:snapToGrid w:val="0"/>
                <w:color w:val="000000"/>
                <w:sz w:val="24"/>
                <w:szCs w:val="24"/>
                <w:highlight w:val="none"/>
                <w:lang w:val="en-US" w:eastAsia="zh-CN" w:bidi="ar"/>
              </w:rPr>
              <w:br w:type="textWrapping"/>
            </w:r>
            <w:r>
              <w:rPr>
                <w:rStyle w:val="9"/>
                <w:rFonts w:hint="eastAsia" w:asciiTheme="minorEastAsia" w:hAnsiTheme="minorEastAsia" w:eastAsiaTheme="minorEastAsia" w:cstheme="minorEastAsia"/>
                <w:snapToGrid w:val="0"/>
                <w:color w:val="000000"/>
                <w:sz w:val="24"/>
                <w:szCs w:val="24"/>
                <w:highlight w:val="none"/>
                <w:lang w:val="en-US" w:eastAsia="zh-CN" w:bidi="ar"/>
              </w:rPr>
              <w:t>10、相对湿度：5%～80%；</w:t>
            </w:r>
            <w:r>
              <w:rPr>
                <w:rStyle w:val="9"/>
                <w:rFonts w:hint="eastAsia" w:asciiTheme="minorEastAsia" w:hAnsiTheme="minorEastAsia" w:eastAsiaTheme="minorEastAsia" w:cstheme="minorEastAsia"/>
                <w:snapToGrid w:val="0"/>
                <w:color w:val="000000"/>
                <w:sz w:val="24"/>
                <w:szCs w:val="24"/>
                <w:highlight w:val="none"/>
                <w:lang w:val="en-US" w:eastAsia="zh-CN" w:bidi="ar"/>
              </w:rPr>
              <w:br w:type="textWrapping"/>
            </w:r>
            <w:r>
              <w:rPr>
                <w:rStyle w:val="9"/>
                <w:rFonts w:hint="eastAsia" w:asciiTheme="minorEastAsia" w:hAnsiTheme="minorEastAsia" w:eastAsiaTheme="minorEastAsia" w:cstheme="minorEastAsia"/>
                <w:snapToGrid w:val="0"/>
                <w:color w:val="000000"/>
                <w:sz w:val="24"/>
                <w:szCs w:val="24"/>
                <w:highlight w:val="none"/>
                <w:lang w:val="en-US" w:eastAsia="zh-CN" w:bidi="ar"/>
              </w:rPr>
              <w:t>11、功放：立体功效，2*10W音箱，内磁式；</w:t>
            </w:r>
            <w:r>
              <w:rPr>
                <w:rStyle w:val="9"/>
                <w:rFonts w:hint="eastAsia" w:asciiTheme="minorEastAsia" w:hAnsiTheme="minorEastAsia" w:eastAsiaTheme="minorEastAsia" w:cstheme="minorEastAsia"/>
                <w:snapToGrid w:val="0"/>
                <w:color w:val="000000"/>
                <w:sz w:val="24"/>
                <w:szCs w:val="24"/>
                <w:highlight w:val="none"/>
                <w:lang w:val="en-US" w:eastAsia="zh-CN" w:bidi="ar"/>
              </w:rPr>
              <w:br w:type="textWrapping"/>
            </w:r>
            <w:r>
              <w:rPr>
                <w:rStyle w:val="9"/>
                <w:rFonts w:hint="eastAsia" w:asciiTheme="minorEastAsia" w:hAnsiTheme="minorEastAsia" w:eastAsiaTheme="minorEastAsia" w:cstheme="minorEastAsia"/>
                <w:snapToGrid w:val="0"/>
                <w:color w:val="000000"/>
                <w:sz w:val="24"/>
                <w:szCs w:val="24"/>
                <w:highlight w:val="none"/>
                <w:lang w:val="en-US" w:eastAsia="zh-CN" w:bidi="ar"/>
              </w:rPr>
              <w:t>12、分辨率：1920*1080</w:t>
            </w:r>
            <w:r>
              <w:rPr>
                <w:rStyle w:val="9"/>
                <w:rFonts w:hint="eastAsia" w:asciiTheme="minorEastAsia" w:hAnsiTheme="minorEastAsia" w:eastAsiaTheme="minorEastAsia" w:cstheme="minorEastAsia"/>
                <w:snapToGrid w:val="0"/>
                <w:color w:val="000000"/>
                <w:sz w:val="24"/>
                <w:szCs w:val="24"/>
                <w:highlight w:val="none"/>
                <w:lang w:val="en-US" w:eastAsia="zh-CN" w:bidi="ar"/>
              </w:rPr>
              <w:br w:type="textWrapping"/>
            </w:r>
            <w:r>
              <w:rPr>
                <w:rStyle w:val="9"/>
                <w:rFonts w:hint="eastAsia" w:asciiTheme="minorEastAsia" w:hAnsiTheme="minorEastAsia" w:eastAsiaTheme="minorEastAsia" w:cstheme="minorEastAsia"/>
                <w:snapToGrid w:val="0"/>
                <w:color w:val="000000"/>
                <w:sz w:val="24"/>
                <w:szCs w:val="24"/>
                <w:highlight w:val="none"/>
                <w:lang w:val="en-US" w:eastAsia="zh-CN" w:bidi="ar"/>
              </w:rPr>
              <w:t>13、通过此系统可进行图书信息、借阅情况等的查询，该系统还具有预约、催还、续借等功能；</w:t>
            </w:r>
            <w:r>
              <w:rPr>
                <w:rStyle w:val="9"/>
                <w:rFonts w:hint="eastAsia" w:asciiTheme="minorEastAsia" w:hAnsiTheme="minorEastAsia" w:eastAsiaTheme="minorEastAsia" w:cstheme="minorEastAsia"/>
                <w:snapToGrid w:val="0"/>
                <w:color w:val="000000"/>
                <w:sz w:val="24"/>
                <w:szCs w:val="24"/>
                <w:highlight w:val="none"/>
                <w:lang w:val="en-US" w:eastAsia="zh-CN" w:bidi="ar"/>
              </w:rPr>
              <w:br w:type="textWrapping"/>
            </w:r>
            <w:r>
              <w:rPr>
                <w:rStyle w:val="9"/>
                <w:rFonts w:hint="eastAsia" w:asciiTheme="minorEastAsia" w:hAnsiTheme="minorEastAsia" w:eastAsiaTheme="minorEastAsia" w:cstheme="minorEastAsia"/>
                <w:snapToGrid w:val="0"/>
                <w:color w:val="000000"/>
                <w:sz w:val="24"/>
                <w:szCs w:val="24"/>
                <w:highlight w:val="none"/>
                <w:lang w:val="en-US" w:eastAsia="zh-CN" w:bidi="ar"/>
              </w:rPr>
              <w:t>14、读者可以查询所有馆藏书刊的馆藏地信息、书刊信息状态。该查询系统提供了题名、著者、索取号、出版社等多个检索入口；</w:t>
            </w:r>
            <w:r>
              <w:rPr>
                <w:rStyle w:val="9"/>
                <w:rFonts w:hint="eastAsia" w:asciiTheme="minorEastAsia" w:hAnsiTheme="minorEastAsia" w:eastAsiaTheme="minorEastAsia" w:cstheme="minorEastAsia"/>
                <w:snapToGrid w:val="0"/>
                <w:color w:val="000000"/>
                <w:sz w:val="24"/>
                <w:szCs w:val="24"/>
                <w:highlight w:val="none"/>
                <w:lang w:val="en-US" w:eastAsia="zh-CN" w:bidi="ar"/>
              </w:rPr>
              <w:br w:type="textWrapping"/>
            </w:r>
            <w:r>
              <w:rPr>
                <w:rStyle w:val="9"/>
                <w:rFonts w:hint="eastAsia" w:asciiTheme="minorEastAsia" w:hAnsiTheme="minorEastAsia" w:eastAsiaTheme="minorEastAsia" w:cstheme="minorEastAsia"/>
                <w:snapToGrid w:val="0"/>
                <w:color w:val="000000"/>
                <w:sz w:val="24"/>
                <w:szCs w:val="24"/>
                <w:highlight w:val="none"/>
                <w:lang w:val="en-US" w:eastAsia="zh-CN" w:bidi="ar"/>
              </w:rPr>
              <w:t>15、读者可以输入证件号和密码，登陆该查询系统，查看本人的适用规则、借阅书刊信息、借阅历史等；</w:t>
            </w:r>
            <w:r>
              <w:rPr>
                <w:rStyle w:val="9"/>
                <w:rFonts w:hint="eastAsia" w:asciiTheme="minorEastAsia" w:hAnsiTheme="minorEastAsia" w:eastAsiaTheme="minorEastAsia" w:cstheme="minorEastAsia"/>
                <w:snapToGrid w:val="0"/>
                <w:color w:val="000000"/>
                <w:sz w:val="24"/>
                <w:szCs w:val="24"/>
                <w:highlight w:val="none"/>
                <w:lang w:val="en-US" w:eastAsia="zh-CN" w:bidi="ar"/>
              </w:rPr>
              <w:br w:type="textWrapping"/>
            </w:r>
            <w:r>
              <w:rPr>
                <w:rStyle w:val="9"/>
                <w:rFonts w:hint="eastAsia" w:asciiTheme="minorEastAsia" w:hAnsiTheme="minorEastAsia" w:eastAsiaTheme="minorEastAsia" w:cstheme="minorEastAsia"/>
                <w:snapToGrid w:val="0"/>
                <w:color w:val="000000"/>
                <w:sz w:val="24"/>
                <w:szCs w:val="24"/>
                <w:highlight w:val="none"/>
                <w:lang w:val="en-US" w:eastAsia="zh-CN" w:bidi="ar"/>
              </w:rPr>
              <w:t>16、可以显示所有馆藏地近期到馆的新图书，用户可以设置查询的指定馆藏地或时间；</w:t>
            </w:r>
            <w:r>
              <w:rPr>
                <w:rStyle w:val="9"/>
                <w:rFonts w:hint="eastAsia" w:asciiTheme="minorEastAsia" w:hAnsiTheme="minorEastAsia" w:eastAsiaTheme="minorEastAsia" w:cstheme="minorEastAsia"/>
                <w:snapToGrid w:val="0"/>
                <w:color w:val="000000"/>
                <w:sz w:val="24"/>
                <w:szCs w:val="24"/>
                <w:highlight w:val="none"/>
                <w:lang w:val="en-US" w:eastAsia="zh-CN" w:bidi="ar"/>
              </w:rPr>
              <w:br w:type="textWrapping"/>
            </w:r>
            <w:r>
              <w:rPr>
                <w:rStyle w:val="9"/>
                <w:rFonts w:hint="eastAsia" w:asciiTheme="minorEastAsia" w:hAnsiTheme="minorEastAsia" w:eastAsiaTheme="minorEastAsia" w:cstheme="minorEastAsia"/>
                <w:snapToGrid w:val="0"/>
                <w:color w:val="000000"/>
                <w:sz w:val="24"/>
                <w:szCs w:val="24"/>
                <w:highlight w:val="none"/>
                <w:lang w:val="en-US" w:eastAsia="zh-CN" w:bidi="ar"/>
              </w:rPr>
              <w:t>17、服务器根据读者适用规则自动检测读者借阅图书是否超期，并将超期读者的姓名等信息显示在相关页面中，提醒读者到图书馆办理还书手续。</w:t>
            </w:r>
            <w:r>
              <w:rPr>
                <w:rStyle w:val="9"/>
                <w:rFonts w:hint="eastAsia" w:asciiTheme="minorEastAsia" w:hAnsiTheme="minorEastAsia" w:eastAsiaTheme="minorEastAsia" w:cstheme="minorEastAsia"/>
                <w:snapToGrid w:val="0"/>
                <w:color w:val="000000"/>
                <w:sz w:val="24"/>
                <w:szCs w:val="24"/>
                <w:highlight w:val="none"/>
                <w:lang w:val="en-US" w:eastAsia="zh-CN" w:bidi="ar"/>
              </w:rPr>
              <w:br w:type="textWrapping"/>
            </w:r>
            <w:r>
              <w:rPr>
                <w:rStyle w:val="10"/>
                <w:rFonts w:hint="eastAsia" w:asciiTheme="minorEastAsia" w:hAnsiTheme="minorEastAsia" w:eastAsiaTheme="minorEastAsia" w:cstheme="minorEastAsia"/>
                <w:snapToGrid w:val="0"/>
                <w:color w:val="000000"/>
                <w:sz w:val="24"/>
                <w:szCs w:val="24"/>
                <w:highlight w:val="none"/>
                <w:lang w:val="en-US" w:eastAsia="zh-CN" w:bidi="ar"/>
              </w:rPr>
              <w:t>18、阅读评测：要求设备具备阅读评测功能，读者可在设备上进行阅读能力测评，获得自己的阅读综合能力值与评语，其中综合能力值包含但不限于：信息检索、信息运用、创新求异、赏析评鉴、解释推理等五个维度，系统会根据评测结果对该读者进行精准的书籍推荐。</w:t>
            </w:r>
            <w:r>
              <w:rPr>
                <w:rStyle w:val="10"/>
                <w:rFonts w:hint="eastAsia" w:asciiTheme="minorEastAsia" w:hAnsiTheme="minorEastAsia" w:eastAsiaTheme="minorEastAsia" w:cstheme="minorEastAsia"/>
                <w:snapToGrid w:val="0"/>
                <w:color w:val="000000"/>
                <w:sz w:val="24"/>
                <w:szCs w:val="24"/>
                <w:highlight w:val="none"/>
                <w:lang w:val="en-US" w:eastAsia="zh-CN" w:bidi="ar"/>
              </w:rPr>
              <w:br w:type="textWrapping"/>
            </w:r>
            <w:r>
              <w:rPr>
                <w:rStyle w:val="10"/>
                <w:rFonts w:hint="eastAsia" w:asciiTheme="minorEastAsia" w:hAnsiTheme="minorEastAsia" w:eastAsiaTheme="minorEastAsia" w:cstheme="minorEastAsia"/>
                <w:snapToGrid w:val="0"/>
                <w:color w:val="000000"/>
                <w:sz w:val="24"/>
                <w:szCs w:val="24"/>
                <w:highlight w:val="none"/>
                <w:lang w:val="en-US" w:eastAsia="zh-CN" w:bidi="ar"/>
              </w:rPr>
              <w:t>19、全科知识竞赛：要求设备具备全科知识答题竞赛功能，读者可在设备上进行全科知识答题竞赛，题目包含但不限于语文、数学、地理、历史等多个学科；检验读者知识储备，提升阅读乐趣。</w:t>
            </w:r>
          </w:p>
        </w:tc>
        <w:tc>
          <w:tcPr>
            <w:tcW w:w="1378" w:type="dxa"/>
            <w:vMerge w:val="restart"/>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sz w:val="24"/>
                <w:szCs w:val="24"/>
                <w:highlight w:val="none"/>
              </w:rPr>
              <w:drawing>
                <wp:inline distT="0" distB="0" distL="114300" distR="114300">
                  <wp:extent cx="1002030" cy="1182370"/>
                  <wp:effectExtent l="0" t="0" r="7620" b="17780"/>
                  <wp:docPr id="15"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1"/>
                          <pic:cNvPicPr>
                            <a:picLocks noChangeAspect="1"/>
                          </pic:cNvPicPr>
                        </pic:nvPicPr>
                        <pic:blipFill>
                          <a:blip r:embed="rId17"/>
                          <a:stretch>
                            <a:fillRect/>
                          </a:stretch>
                        </pic:blipFill>
                        <pic:spPr>
                          <a:xfrm>
                            <a:off x="0" y="0"/>
                            <a:ext cx="1002030" cy="1182370"/>
                          </a:xfrm>
                          <a:prstGeom prst="rect">
                            <a:avLst/>
                          </a:prstGeom>
                          <a:noFill/>
                          <a:ln>
                            <a:noFill/>
                          </a:ln>
                        </pic:spPr>
                      </pic:pic>
                    </a:graphicData>
                  </a:graphic>
                </wp:inline>
              </w:drawing>
            </w:r>
          </w:p>
        </w:tc>
        <w:tc>
          <w:tcPr>
            <w:tcW w:w="762" w:type="dxa"/>
            <w:vMerge w:val="restart"/>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345" w:type="dxa"/>
            <w:vMerge w:val="restart"/>
            <w:tcBorders>
              <w:top w:val="single" w:color="auto" w:sz="4" w:space="0"/>
              <w:left w:val="single" w:color="000000"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r>
      <w:tr>
        <w:tblPrEx>
          <w:shd w:val="clear" w:color="auto" w:fill="auto"/>
          <w:tblLayout w:type="fixed"/>
          <w:tblCellMar>
            <w:top w:w="0" w:type="dxa"/>
            <w:left w:w="0" w:type="dxa"/>
            <w:bottom w:w="0" w:type="dxa"/>
            <w:right w:w="0" w:type="dxa"/>
          </w:tblCellMar>
        </w:tblPrEx>
        <w:trPr>
          <w:trHeight w:val="312" w:hRule="atLeast"/>
        </w:trPr>
        <w:tc>
          <w:tcPr>
            <w:tcW w:w="345" w:type="dxa"/>
            <w:vMerge w:val="continue"/>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592" w:type="dxa"/>
            <w:vMerge w:val="continue"/>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6338" w:type="dxa"/>
            <w:vMerge w:val="continue"/>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top"/>
          </w:tcPr>
          <w:p>
            <w:pPr>
              <w:jc w:val="left"/>
              <w:rPr>
                <w:rFonts w:hint="eastAsia" w:asciiTheme="minorEastAsia" w:hAnsiTheme="minorEastAsia" w:eastAsiaTheme="minorEastAsia" w:cstheme="minorEastAsia"/>
                <w:i w:val="0"/>
                <w:color w:val="000000"/>
                <w:sz w:val="24"/>
                <w:szCs w:val="24"/>
                <w:highlight w:val="none"/>
                <w:u w:val="none"/>
              </w:rPr>
            </w:pPr>
          </w:p>
        </w:tc>
        <w:tc>
          <w:tcPr>
            <w:tcW w:w="1378" w:type="dxa"/>
            <w:vMerge w:val="continue"/>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762" w:type="dxa"/>
            <w:vMerge w:val="continue"/>
            <w:tcBorders>
              <w:top w:val="single" w:color="auto"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345" w:type="dxa"/>
            <w:vMerge w:val="continue"/>
            <w:tcBorders>
              <w:top w:val="single" w:color="auto" w:sz="4" w:space="0"/>
              <w:left w:val="single" w:color="000000"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r>
      <w:tr>
        <w:tblPrEx>
          <w:shd w:val="clear" w:color="auto" w:fill="auto"/>
          <w:tblLayout w:type="fixed"/>
          <w:tblCellMar>
            <w:top w:w="0" w:type="dxa"/>
            <w:left w:w="0" w:type="dxa"/>
            <w:bottom w:w="0" w:type="dxa"/>
            <w:right w:w="0" w:type="dxa"/>
          </w:tblCellMar>
        </w:tblPrEx>
        <w:trPr>
          <w:trHeight w:val="664" w:hRule="atLeast"/>
        </w:trPr>
        <w:tc>
          <w:tcPr>
            <w:tcW w:w="345"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14</w:t>
            </w:r>
          </w:p>
        </w:tc>
        <w:tc>
          <w:tcPr>
            <w:tcW w:w="592"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层架标签</w:t>
            </w:r>
          </w:p>
        </w:tc>
        <w:tc>
          <w:tcPr>
            <w:tcW w:w="6338"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1、层架标签能够方便的贴在书架上，包括各种材质的书架，如金属或者木制书架。</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2、产品尺寸:≥80mm*15mm*5mm；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3、适用于图书馆的通用书架，表面可打印相关信息，标识层架信息，方便读者识别书籍层架位置</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4、支持后台系统AI定位提供数据。</w:t>
            </w:r>
          </w:p>
        </w:tc>
        <w:tc>
          <w:tcPr>
            <w:tcW w:w="1378"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sz w:val="24"/>
                <w:szCs w:val="24"/>
                <w:highlight w:val="none"/>
              </w:rPr>
              <w:drawing>
                <wp:inline distT="0" distB="0" distL="114300" distR="114300">
                  <wp:extent cx="1002030" cy="343535"/>
                  <wp:effectExtent l="0" t="0" r="7620" b="18415"/>
                  <wp:docPr id="16"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2"/>
                          <pic:cNvPicPr>
                            <a:picLocks noChangeAspect="1"/>
                          </pic:cNvPicPr>
                        </pic:nvPicPr>
                        <pic:blipFill>
                          <a:blip r:embed="rId18"/>
                          <a:stretch>
                            <a:fillRect/>
                          </a:stretch>
                        </pic:blipFill>
                        <pic:spPr>
                          <a:xfrm>
                            <a:off x="0" y="0"/>
                            <a:ext cx="1002030" cy="343535"/>
                          </a:xfrm>
                          <a:prstGeom prst="rect">
                            <a:avLst/>
                          </a:prstGeom>
                          <a:noFill/>
                          <a:ln>
                            <a:noFill/>
                          </a:ln>
                        </pic:spPr>
                      </pic:pic>
                    </a:graphicData>
                  </a:graphic>
                </wp:inline>
              </w:drawing>
            </w:r>
          </w:p>
        </w:tc>
        <w:tc>
          <w:tcPr>
            <w:tcW w:w="762"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800</w:t>
            </w:r>
          </w:p>
        </w:tc>
        <w:tc>
          <w:tcPr>
            <w:tcW w:w="345"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个</w:t>
            </w:r>
          </w:p>
        </w:tc>
      </w:tr>
      <w:tr>
        <w:tblPrEx>
          <w:shd w:val="clear" w:color="auto" w:fill="auto"/>
          <w:tblLayout w:type="fixed"/>
          <w:tblCellMar>
            <w:top w:w="0" w:type="dxa"/>
            <w:left w:w="0" w:type="dxa"/>
            <w:bottom w:w="0" w:type="dxa"/>
            <w:right w:w="0" w:type="dxa"/>
          </w:tblCellMar>
        </w:tblPrEx>
        <w:trPr>
          <w:trHeight w:val="820" w:hRule="atLeast"/>
        </w:trPr>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15</w:t>
            </w:r>
          </w:p>
        </w:tc>
        <w:tc>
          <w:tcPr>
            <w:tcW w:w="5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路由器</w:t>
            </w:r>
          </w:p>
        </w:tc>
        <w:tc>
          <w:tcPr>
            <w:tcW w:w="6338"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1、有线传输率：千兆端口</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2、无线网络支持频率：≥2.4G</w:t>
            </w:r>
          </w:p>
        </w:tc>
        <w:tc>
          <w:tcPr>
            <w:tcW w:w="1378"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4"/>
                <w:szCs w:val="24"/>
                <w:highlight w:val="none"/>
                <w:u w:val="none"/>
              </w:rPr>
            </w:pPr>
          </w:p>
        </w:tc>
        <w:tc>
          <w:tcPr>
            <w:tcW w:w="7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r>
      <w:tr>
        <w:tblPrEx>
          <w:shd w:val="clear" w:color="auto" w:fill="auto"/>
          <w:tblLayout w:type="fixed"/>
          <w:tblCellMar>
            <w:top w:w="0" w:type="dxa"/>
            <w:left w:w="0" w:type="dxa"/>
            <w:bottom w:w="0" w:type="dxa"/>
            <w:right w:w="0" w:type="dxa"/>
          </w:tblCellMar>
        </w:tblPrEx>
        <w:trPr>
          <w:trHeight w:val="2047" w:hRule="atLeast"/>
        </w:trPr>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16</w:t>
            </w:r>
          </w:p>
        </w:tc>
        <w:tc>
          <w:tcPr>
            <w:tcW w:w="592"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AI充消检验一体机</w:t>
            </w:r>
          </w:p>
        </w:tc>
        <w:tc>
          <w:tcPr>
            <w:tcW w:w="6338" w:type="dxa"/>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1、工作电压：AC: 22V土10%、 50Hz</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2、检测功耗：≤ 10W</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3、充敏功率：≤95W</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4、消敏功率：≤95W</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5、尺寸：≧336*222*91mm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6、磁条检测高度：≤20mm</w:t>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7、报警形式：声响、灯闪</w:t>
            </w:r>
          </w:p>
        </w:tc>
        <w:tc>
          <w:tcPr>
            <w:tcW w:w="1378" w:type="dxa"/>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pPr>
              <w:rPr>
                <w:rFonts w:hint="eastAsia" w:asciiTheme="minorEastAsia" w:hAnsiTheme="minorEastAsia" w:eastAsiaTheme="minorEastAsia" w:cstheme="minorEastAsia"/>
                <w:i w:val="0"/>
                <w:color w:val="000000"/>
                <w:sz w:val="24"/>
                <w:szCs w:val="24"/>
                <w:highlight w:val="none"/>
                <w:u w:val="none"/>
              </w:rPr>
            </w:pPr>
          </w:p>
        </w:tc>
        <w:tc>
          <w:tcPr>
            <w:tcW w:w="762" w:type="dxa"/>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1</w:t>
            </w:r>
          </w:p>
        </w:tc>
        <w:tc>
          <w:tcPr>
            <w:tcW w:w="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color w:val="000000"/>
                <w:sz w:val="24"/>
                <w:szCs w:val="24"/>
                <w:highlight w:val="none"/>
                <w:u w:val="none"/>
              </w:rPr>
            </w:pPr>
            <w:r>
              <w:rPr>
                <w:rFonts w:hint="eastAsia" w:asciiTheme="minorEastAsia" w:hAnsiTheme="minorEastAsia" w:eastAsiaTheme="minorEastAsia" w:cstheme="minorEastAsia"/>
                <w:i w:val="0"/>
                <w:snapToGrid w:val="0"/>
                <w:color w:val="000000"/>
                <w:kern w:val="0"/>
                <w:sz w:val="24"/>
                <w:szCs w:val="24"/>
                <w:highlight w:val="none"/>
                <w:u w:val="none"/>
                <w:lang w:val="en-US" w:eastAsia="zh-CN" w:bidi="ar"/>
              </w:rPr>
              <w:t>台</w:t>
            </w:r>
          </w:p>
        </w:tc>
      </w:tr>
    </w:tbl>
    <w:p>
      <w:pPr>
        <w:pStyle w:val="2"/>
        <w:rPr>
          <w:highlight w:val="none"/>
        </w:rPr>
      </w:pPr>
    </w:p>
    <w:p>
      <w:pPr>
        <w:keepNext w:val="0"/>
        <w:keepLines w:val="0"/>
        <w:pageBreakBefore w:val="0"/>
        <w:widowControl w:val="0"/>
        <w:kinsoku w:val="0"/>
        <w:wordWrap/>
        <w:overflowPunct/>
        <w:topLinePunct w:val="0"/>
        <w:autoSpaceDE w:val="0"/>
        <w:autoSpaceDN w:val="0"/>
        <w:bidi w:val="0"/>
        <w:adjustRightInd w:val="0"/>
        <w:snapToGrid w:val="0"/>
        <w:spacing w:line="440" w:lineRule="exact"/>
        <w:textAlignment w:val="baseline"/>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eastAsia="zh-CN"/>
        </w:rPr>
        <w:t>注：1、以上技术需求为采购人最低需求，必须全部满足， 投标人也可提供更优的技术需求参与投标</w:t>
      </w:r>
      <w:r>
        <w:rPr>
          <w:rFonts w:hint="eastAsia" w:asciiTheme="minorEastAsia" w:hAnsiTheme="minorEastAsia" w:eastAsiaTheme="minorEastAsia" w:cstheme="minorEastAsia"/>
          <w:b/>
          <w:bCs/>
          <w:color w:val="auto"/>
          <w:sz w:val="24"/>
          <w:szCs w:val="24"/>
          <w:highlight w:val="none"/>
          <w:lang w:val="en-US" w:eastAsia="zh-CN"/>
        </w:rPr>
        <w:t>但应符合设计要求</w:t>
      </w:r>
      <w:r>
        <w:rPr>
          <w:rFonts w:hint="eastAsia" w:asciiTheme="minorEastAsia" w:hAnsiTheme="minorEastAsia" w:eastAsiaTheme="minorEastAsia" w:cstheme="minorEastAsia"/>
          <w:b/>
          <w:bCs/>
          <w:color w:val="auto"/>
          <w:sz w:val="24"/>
          <w:szCs w:val="24"/>
          <w:highlight w:val="none"/>
          <w:lang w:eastAsia="zh-CN"/>
        </w:rPr>
        <w:t>。</w:t>
      </w:r>
    </w:p>
    <w:p>
      <w:pPr>
        <w:pageBreakBefore w:val="0"/>
        <w:widowControl w:val="0"/>
        <w:wordWrap/>
        <w:overflowPunct/>
        <w:topLinePunct w:val="0"/>
        <w:bidi w:val="0"/>
        <w:spacing w:line="245" w:lineRule="auto"/>
        <w:rPr>
          <w:b/>
          <w:bCs/>
          <w:color w:val="auto"/>
          <w:spacing w:val="0"/>
          <w:w w:val="100"/>
          <w:position w:val="0"/>
          <w:highlight w:val="none"/>
          <w:lang w:eastAsia="zh-CN"/>
        </w:rPr>
      </w:pPr>
    </w:p>
    <w:p>
      <w:pPr>
        <w:pageBreakBefore w:val="0"/>
        <w:widowControl w:val="0"/>
        <w:numPr>
          <w:ilvl w:val="0"/>
          <w:numId w:val="0"/>
        </w:numPr>
        <w:wordWrap/>
        <w:overflowPunct/>
        <w:topLinePunct w:val="0"/>
        <w:bidi w:val="0"/>
        <w:spacing w:line="245" w:lineRule="auto"/>
        <w:rPr>
          <w:rFonts w:hint="default"/>
          <w:b/>
          <w:bCs/>
          <w:color w:val="auto"/>
          <w:spacing w:val="0"/>
          <w:w w:val="100"/>
          <w:position w:val="0"/>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t>2、招标代理机构或采购人在签订政府采购合同前有权要求预中标(成交)供应商提供核心产品的佐证材料原件予以核查，未提供或提供的与投标文件中不一致视同为虚假响应（招标代理机构或采购人有权向第三方检测机构及相关部门进行报告核验，成交供应商须无条件配合）。若投标单位提供虚假佐证材料的取消其中标资格，报送相关部门依法严肃处理。</w:t>
      </w:r>
    </w:p>
    <w:p>
      <w:pPr>
        <w:pStyle w:val="2"/>
        <w:ind w:left="0" w:leftChars="0" w:firstLine="0" w:firstLineChars="0"/>
        <w:rPr>
          <w:rFonts w:hint="default"/>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t>3、所投电脑，报账时需提供“安全可靠测评”截图或检测报告当附件。</w:t>
      </w:r>
      <w:r>
        <w:rPr>
          <w:rFonts w:hint="eastAsia" w:ascii="宋体" w:hAnsi="宋体" w:eastAsia="宋体" w:cs="宋体"/>
          <w:b/>
          <w:bCs/>
          <w:i w:val="0"/>
          <w:iCs w:val="0"/>
          <w:color w:val="auto"/>
          <w:kern w:val="0"/>
          <w:sz w:val="24"/>
          <w:szCs w:val="24"/>
          <w:highlight w:val="none"/>
          <w:u w:val="none"/>
          <w:lang w:val="en-US" w:eastAsia="zh-CN" w:bidi="ar"/>
        </w:rPr>
        <w:t xml:space="preserve"> </w:t>
      </w:r>
    </w:p>
    <w:p>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（二） 商务条件</w:t>
      </w:r>
    </w:p>
    <w:p>
      <w:pPr>
        <w:pageBreakBefore w:val="0"/>
        <w:widowControl w:val="0"/>
        <w:wordWrap/>
        <w:overflowPunct/>
        <w:topLinePunct w:val="0"/>
        <w:bidi w:val="0"/>
        <w:spacing w:line="249" w:lineRule="auto"/>
        <w:rPr>
          <w:color w:val="auto"/>
          <w:spacing w:val="0"/>
          <w:w w:val="100"/>
          <w:position w:val="0"/>
          <w:highlight w:val="none"/>
          <w:lang w:eastAsia="zh-CN"/>
        </w:rPr>
      </w:pP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1、交付时间：</w:t>
      </w:r>
      <w:r>
        <w:rPr>
          <w:rFonts w:hint="eastAsia" w:ascii="宋体" w:hAnsi="宋体" w:eastAsia="宋体" w:cs="宋体"/>
          <w:snapToGrid w:val="0"/>
          <w:color w:val="auto"/>
          <w:kern w:val="0"/>
          <w:sz w:val="24"/>
          <w:szCs w:val="24"/>
          <w:highlight w:val="none"/>
          <w:lang w:val="en-US" w:eastAsia="zh-CN" w:bidi="ar"/>
        </w:rPr>
        <w:t>合同签订生效之日起30日内供货安装调试完毕并交付使用。</w:t>
      </w:r>
      <w:r>
        <w:rPr>
          <w:rFonts w:hint="eastAsia" w:ascii="宋体" w:hAnsi="宋体" w:eastAsia="宋体" w:cs="宋体"/>
          <w:i w:val="0"/>
          <w:iCs w:val="0"/>
          <w:color w:val="auto"/>
          <w:kern w:val="0"/>
          <w:sz w:val="24"/>
          <w:szCs w:val="24"/>
          <w:highlight w:val="none"/>
          <w:u w:val="none"/>
          <w:lang w:val="en-US" w:eastAsia="zh-CN" w:bidi="ar"/>
        </w:rPr>
        <w:t xml:space="preserve">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2、质量保修期和售后服务要求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2.1提供三年的质量保修期（国家、行业及生产厂家另有规定高于三年的，从其规定），质保期从货物安装调试完毕并经采购人验收合格之日起计算。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2.2成交供应商要求配有较强的专业技术队伍，要能够提供不低于同档次备用设备服务，不能影响用户使用。提供免费的故障处理、性能调优、技术咨询、维护和现场巡检等服务，以及其他的技术支持工作。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3、付款方式：</w:t>
      </w:r>
      <w:r>
        <w:rPr>
          <w:rFonts w:hint="eastAsia" w:asciiTheme="minorEastAsia" w:hAnsiTheme="minorEastAsia" w:eastAsiaTheme="minorEastAsia" w:cstheme="minorEastAsia"/>
          <w:color w:val="auto"/>
          <w:sz w:val="24"/>
          <w:szCs w:val="24"/>
          <w:highlight w:val="none"/>
          <w:lang w:val="en-US" w:eastAsia="zh-CN"/>
        </w:rPr>
        <w:t>合同签订生效后，所有设备安装调试完毕且全部验收合格后，支付至合同金额的 97%。 剩余3%一年后不计息付清。以上付款时间均在收到发票后 10 个工作日内完成支付。</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4、履行地点要求：采购单位指定地点。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5、验收要求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5.1项目整体完成并稳定运行后采购人组织进行项目验收。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5.2验收标准：按照国家及行业相关标准、采购文件规定、合同约定等标准进行验收，如验收达不到规定要求，对采购人造成一定的损失，成交供应商应承担一切责任，并赔偿所造成的损失。项目验收要求及处罚标准，合同另行约定。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5.3成交供应商须在验收之前提供完整的资料。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5.4成交供应商所提供货物、服务质量、技术参数、性能指标以及安装质量不符合合同规定标准的，采购人有权拒收；因此产生的一切经济损失由成交供应商承担，相关权利义务、违约金，合同另行约定。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5.5如果成交供应商没有按照采购文件规定的时间交货，采购人依据相关法律法规的规定可以解除合同，因此产生的一切损失由成交供应商自行承担，并承担相应的法律责任，相关权利义务、违约金，合同另行约定。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6、货物验收、安装、调试: 按照要求，成交供应商负责派专业技术人员到现场进行安装、调试，并负责调试至采购人验收合格；对验收不合格的，采购人不予验收，成交供应商应承担相应费用。成交供应商提供 7×24 小时的故障服务受理，且接到故障通知后：6小时内到现场处理。</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7、培训要求：项目安装调试完成后，由成交供应商免费为采购方技术人员进行调试、操作、仪器维护、故障排除等方面的现场培训，除现场安装培训外，成交供应商应联系好并免费提供技术咨询服务。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8、成交供应商应保证采购人在使用该系统及货物或其任何一部分时不受第三方提出侵犯其专利权、商标权等知识产权或其他权利的起诉。如果任何第三方提出侵权指控或赔偿要求，成交供应商必须与第三方交涉，并承担发生和可能发生的一切损失、费用和法律责任，相关权利义务，合同另行约定。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9、成交供应商在项目实施或服务过程中发生的重大人员、产品质量事故，或因成交供应商管理不善等原因造成的人员伤亡等责任事故均由成交供应商负责，采购人不承担任何法律及经济责任。 </w:t>
      </w:r>
    </w:p>
    <w:p>
      <w:pPr>
        <w:keepNext w:val="0"/>
        <w:keepLines w:val="0"/>
        <w:widowControl/>
        <w:suppressLineNumbers w:val="0"/>
        <w:spacing w:line="360" w:lineRule="auto"/>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10、如采购人在项目的实施过程中对采购货物的需求如数量、型号等发生变化，结算时按实际计量，单价按成交单价计算（但不得违背相关法规）。 </w:t>
      </w:r>
    </w:p>
    <w:p>
      <w:r>
        <w:rPr>
          <w:rFonts w:hint="eastAsia" w:ascii="宋体" w:hAnsi="宋体" w:eastAsia="宋体" w:cs="宋体"/>
          <w:i w:val="0"/>
          <w:iCs w:val="0"/>
          <w:color w:val="auto"/>
          <w:kern w:val="0"/>
          <w:sz w:val="24"/>
          <w:szCs w:val="24"/>
          <w:highlight w:val="none"/>
          <w:u w:val="none"/>
          <w:lang w:val="en-US" w:eastAsia="zh-CN" w:bidi="ar"/>
        </w:rPr>
        <w:t>11、本项目开标一览表中报总价，所有货物、配套材料、辅材、专用工具、备品 备件、包装、运输、转运、安装、调试、检测、验收、培训、售后服务、税金等完成本项目所需的一切费用均应包含在投标报价中。</w:t>
      </w:r>
      <w:r>
        <w:rPr>
          <w:rFonts w:hint="eastAsia" w:ascii="宋体" w:hAnsi="宋体" w:eastAsia="宋体" w:cs="宋体"/>
          <w:color w:val="auto"/>
          <w:kern w:val="0"/>
          <w:sz w:val="20"/>
          <w:szCs w:val="20"/>
          <w:highlight w:val="none"/>
          <w:lang w:val="en-US" w:eastAsia="zh-CN" w:bidi="ar"/>
        </w:rPr>
        <w:t xml:space="preserve"> </w:t>
      </w:r>
    </w:p>
    <w:sectPr>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lang w:eastAsia="zh-CN"/>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lang w:eastAsia="zh-CN"/>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JntT3MVAgAAFQQAAA4AAAAAAAAA&#10;AQAgAAAAHwEAAGRycy9lMm9Eb2MueG1sUEsFBgAAAAAGAAYAWQEAAKYFA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59</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805239B"/>
    <w:rsid w:val="37D41C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Body Text First Indent"/>
    <w:basedOn w:val="3"/>
    <w:next w:val="1"/>
    <w:qFormat/>
    <w:uiPriority w:val="0"/>
    <w:pPr>
      <w:ind w:firstLine="420" w:firstLineChars="100"/>
    </w:pPr>
  </w:style>
  <w:style w:type="paragraph" w:styleId="3">
    <w:name w:val="Body Text"/>
    <w:basedOn w:val="1"/>
    <w:next w:val="1"/>
    <w:qFormat/>
    <w:uiPriority w:val="0"/>
    <w:rPr>
      <w:rFonts w:ascii="仿宋" w:hAnsi="仿宋" w:eastAsia="仿宋" w:cs="仿宋"/>
      <w:sz w:val="30"/>
      <w:szCs w:val="30"/>
    </w:rPr>
  </w:style>
  <w:style w:type="paragraph" w:styleId="4">
    <w:name w:val="footer"/>
    <w:basedOn w:val="1"/>
    <w:qFormat/>
    <w:uiPriority w:val="0"/>
    <w:pPr>
      <w:tabs>
        <w:tab w:val="center" w:pos="4153"/>
        <w:tab w:val="right" w:pos="8306"/>
      </w:tabs>
    </w:pPr>
    <w:rPr>
      <w:sz w:val="18"/>
    </w:rPr>
  </w:style>
  <w:style w:type="table" w:customStyle="1" w:styleId="7">
    <w:name w:val="Table Normal"/>
    <w:semiHidden/>
    <w:unhideWhenUsed/>
    <w:qFormat/>
    <w:uiPriority w:val="0"/>
    <w:tblPr>
      <w:tblLayout w:type="fixed"/>
      <w:tblCellMar>
        <w:top w:w="0" w:type="dxa"/>
        <w:left w:w="0" w:type="dxa"/>
        <w:bottom w:w="0" w:type="dxa"/>
        <w:right w:w="0" w:type="dxa"/>
      </w:tblCellMar>
    </w:tblPr>
  </w:style>
  <w:style w:type="paragraph" w:customStyle="1" w:styleId="8">
    <w:name w:val="Table Text"/>
    <w:basedOn w:val="1"/>
    <w:semiHidden/>
    <w:qFormat/>
    <w:uiPriority w:val="0"/>
  </w:style>
  <w:style w:type="character" w:customStyle="1" w:styleId="9">
    <w:name w:val="font21"/>
    <w:basedOn w:val="6"/>
    <w:qFormat/>
    <w:uiPriority w:val="0"/>
    <w:rPr>
      <w:rFonts w:hint="eastAsia" w:ascii="宋体" w:hAnsi="宋体" w:eastAsia="宋体" w:cs="宋体"/>
      <w:color w:val="000000"/>
      <w:sz w:val="20"/>
      <w:szCs w:val="20"/>
      <w:u w:val="none"/>
    </w:rPr>
  </w:style>
  <w:style w:type="character" w:customStyle="1" w:styleId="10">
    <w:name w:val="font11"/>
    <w:basedOn w:val="6"/>
    <w:qFormat/>
    <w:uiPriority w:val="0"/>
    <w:rPr>
      <w:rFonts w:hint="eastAsia" w:ascii="宋体" w:hAnsi="宋体" w:eastAsia="宋体" w:cs="宋体"/>
      <w:color w:val="FF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13.png"/><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2026-06-18T08:22:00Z</dcterms:created>
  <dc:creator>Administrator</dc:creator>
  <cp:lastModifiedBy>Administrator</cp:lastModifiedBy>
  <dcterms:modified xsi:type="dcterms:W3CDTF">2026-06-18T09:55:40Z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