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1364F">
      <w:pPr>
        <w:pageBreakBefore w:val="0"/>
        <w:widowControl w:val="0"/>
        <w:wordWrap/>
        <w:overflowPunct/>
        <w:topLinePunct w:val="0"/>
        <w:bidi w:val="0"/>
        <w:spacing w:before="63" w:line="224" w:lineRule="auto"/>
        <w:jc w:val="center"/>
        <w:rPr>
          <w:color w:val="auto"/>
          <w:spacing w:val="0"/>
          <w:w w:val="100"/>
          <w:position w:val="0"/>
          <w:highlight w:val="none"/>
          <w:lang w:eastAsia="zh-CN"/>
        </w:rPr>
      </w:pP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采购需求</w:t>
      </w:r>
    </w:p>
    <w:p w14:paraId="55EE8BFF">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color w:val="auto"/>
          <w:spacing w:val="0"/>
          <w:w w:val="100"/>
          <w:position w:val="0"/>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一览</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表</w:t>
      </w:r>
    </w:p>
    <w:tbl>
      <w:tblPr>
        <w:tblStyle w:val="12"/>
        <w:tblpPr w:leftFromText="180" w:rightFromText="180" w:vertAnchor="text" w:horzAnchor="page" w:tblpXSpec="center" w:tblpY="255"/>
        <w:tblOverlap w:val="never"/>
        <w:tblW w:w="910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1737" w:type="dxa"/>
            <w:tcBorders>
              <w:right w:val="nil"/>
            </w:tcBorders>
          </w:tcPr>
          <w:p w14:paraId="40267216">
            <w:pPr>
              <w:pageBreakBefore w:val="0"/>
              <w:widowControl w:val="0"/>
              <w:wordWrap/>
              <w:overflowPunct/>
              <w:topLinePunct w:val="0"/>
              <w:bidi w:val="0"/>
              <w:spacing w:before="183" w:line="360" w:lineRule="auto"/>
              <w:ind w:left="1091"/>
              <w:rPr>
                <w:rFonts w:ascii="宋体" w:hAnsi="宋体" w:eastAsia="宋体" w:cs="宋体"/>
                <w:color w:val="auto"/>
                <w:spacing w:val="0"/>
                <w:w w:val="100"/>
                <w:position w:val="0"/>
                <w:sz w:val="24"/>
                <w:szCs w:val="24"/>
                <w:highlight w:val="none"/>
              </w:rPr>
            </w:pPr>
            <w:r>
              <w:rPr>
                <w:color w:val="auto"/>
                <w:spacing w:val="0"/>
                <w:w w:val="100"/>
                <w:position w:val="0"/>
                <w:sz w:val="24"/>
                <w:szCs w:val="24"/>
                <w:highlight w:val="none"/>
              </w:rPr>
              <w:drawing>
                <wp:anchor distT="0" distB="0" distL="0" distR="0" simplePos="0" relativeHeight="251660288" behindDoc="1" locked="0" layoutInCell="1" allowOverlap="1">
                  <wp:simplePos x="0" y="0"/>
                  <wp:positionH relativeFrom="column">
                    <wp:posOffset>43180</wp:posOffset>
                  </wp:positionH>
                  <wp:positionV relativeFrom="paragraph">
                    <wp:posOffset>33655</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highlight w:val="none"/>
              </w:rPr>
              <w:t>名</w:t>
            </w:r>
          </w:p>
          <w:p w14:paraId="1DB9A859">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1A0ABBBA">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42FB7C05">
            <w:pPr>
              <w:pageBreakBefore w:val="0"/>
              <w:widowControl w:val="0"/>
              <w:wordWrap/>
              <w:overflowPunct/>
              <w:topLinePunct w:val="0"/>
              <w:bidi w:val="0"/>
              <w:spacing w:before="78" w:line="360"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14:paraId="3CC81F50">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17FBCE88">
            <w:pPr>
              <w:pageBreakBefore w:val="0"/>
              <w:widowControl w:val="0"/>
              <w:wordWrap/>
              <w:overflowPunct/>
              <w:topLinePunct w:val="0"/>
              <w:bidi w:val="0"/>
              <w:spacing w:before="78" w:line="36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14:paraId="641D948D">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7AA9A68E">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7CB2990A">
            <w:pPr>
              <w:pStyle w:val="13"/>
              <w:pageBreakBefore w:val="0"/>
              <w:widowControl w:val="0"/>
              <w:wordWrap/>
              <w:overflowPunct/>
              <w:topLinePunct w:val="0"/>
              <w:bidi w:val="0"/>
              <w:spacing w:line="360" w:lineRule="auto"/>
              <w:rPr>
                <w:color w:val="auto"/>
                <w:spacing w:val="0"/>
                <w:w w:val="100"/>
                <w:position w:val="0"/>
                <w:sz w:val="24"/>
                <w:szCs w:val="24"/>
                <w:highlight w:val="none"/>
              </w:rPr>
            </w:pPr>
          </w:p>
          <w:p w14:paraId="4419B0BC">
            <w:pPr>
              <w:pageBreakBefore w:val="0"/>
              <w:widowControl w:val="0"/>
              <w:wordWrap/>
              <w:overflowPunct/>
              <w:topLinePunct w:val="0"/>
              <w:bidi w:val="0"/>
              <w:spacing w:before="78" w:line="360"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tcPr>
          <w:p w14:paraId="3DBCAADE">
            <w:pPr>
              <w:pStyle w:val="13"/>
              <w:pageBreakBefore w:val="0"/>
              <w:widowControl w:val="0"/>
              <w:wordWrap/>
              <w:overflowPunct/>
              <w:topLinePunct w:val="0"/>
              <w:bidi w:val="0"/>
              <w:spacing w:line="360" w:lineRule="auto"/>
              <w:rPr>
                <w:rFonts w:hint="eastAsia"/>
                <w:color w:val="auto"/>
                <w:spacing w:val="0"/>
                <w:w w:val="100"/>
                <w:position w:val="0"/>
                <w:sz w:val="24"/>
                <w:szCs w:val="24"/>
                <w:highlight w:val="none"/>
              </w:rPr>
            </w:pPr>
          </w:p>
          <w:p w14:paraId="67DC32D7">
            <w:pPr>
              <w:pStyle w:val="13"/>
              <w:pageBreakBefore w:val="0"/>
              <w:widowControl w:val="0"/>
              <w:wordWrap/>
              <w:overflowPunct/>
              <w:topLinePunct w:val="0"/>
              <w:bidi w:val="0"/>
              <w:spacing w:line="360" w:lineRule="auto"/>
              <w:rPr>
                <w:rFonts w:hint="eastAsia"/>
                <w:color w:val="auto"/>
                <w:spacing w:val="0"/>
                <w:w w:val="100"/>
                <w:position w:val="0"/>
                <w:sz w:val="24"/>
                <w:szCs w:val="24"/>
                <w:highlight w:val="none"/>
              </w:rPr>
            </w:pPr>
          </w:p>
          <w:p w14:paraId="2657EB14">
            <w:pPr>
              <w:pStyle w:val="13"/>
              <w:pageBreakBefore w:val="0"/>
              <w:widowControl w:val="0"/>
              <w:wordWrap/>
              <w:overflowPunct/>
              <w:topLinePunct w:val="0"/>
              <w:bidi w:val="0"/>
              <w:spacing w:line="360" w:lineRule="auto"/>
              <w:rPr>
                <w:rFonts w:hint="eastAsia"/>
                <w:color w:val="auto"/>
                <w:spacing w:val="0"/>
                <w:w w:val="100"/>
                <w:position w:val="0"/>
                <w:sz w:val="24"/>
                <w:szCs w:val="24"/>
                <w:highlight w:val="none"/>
              </w:rPr>
            </w:pPr>
          </w:p>
          <w:p w14:paraId="420B682B">
            <w:pPr>
              <w:pStyle w:val="13"/>
              <w:pageBreakBefore w:val="0"/>
              <w:widowControl w:val="0"/>
              <w:wordWrap/>
              <w:overflowPunct/>
              <w:topLinePunct w:val="0"/>
              <w:bidi w:val="0"/>
              <w:spacing w:line="360" w:lineRule="auto"/>
              <w:rPr>
                <w:rFonts w:hint="eastAsia"/>
                <w:color w:val="auto"/>
                <w:spacing w:val="0"/>
                <w:w w:val="100"/>
                <w:position w:val="0"/>
                <w:sz w:val="24"/>
                <w:szCs w:val="24"/>
                <w:highlight w:val="none"/>
              </w:rPr>
            </w:pPr>
          </w:p>
          <w:p w14:paraId="027E60BF">
            <w:pPr>
              <w:pStyle w:val="13"/>
              <w:pageBreakBefore w:val="0"/>
              <w:widowControl w:val="0"/>
              <w:wordWrap/>
              <w:overflowPunct/>
              <w:topLinePunct w:val="0"/>
              <w:bidi w:val="0"/>
              <w:spacing w:line="360" w:lineRule="auto"/>
              <w:ind w:firstLine="720" w:firstLineChars="300"/>
              <w:rPr>
                <w:rFonts w:hint="eastAsia" w:eastAsia="宋体"/>
                <w:color w:val="auto"/>
                <w:spacing w:val="0"/>
                <w:w w:val="100"/>
                <w:position w:val="0"/>
                <w:sz w:val="24"/>
                <w:szCs w:val="24"/>
                <w:highlight w:val="none"/>
                <w:lang w:eastAsia="zh-CN"/>
              </w:rPr>
            </w:pPr>
            <w:r>
              <w:rPr>
                <w:rFonts w:hint="eastAsia" w:eastAsia="宋体"/>
                <w:color w:val="auto"/>
                <w:spacing w:val="0"/>
                <w:w w:val="100"/>
                <w:position w:val="0"/>
                <w:sz w:val="24"/>
                <w:szCs w:val="24"/>
                <w:highlight w:val="none"/>
                <w:lang w:eastAsia="zh-CN"/>
              </w:rPr>
              <w:t>吉安市妇幼保健院无线胎监一拖四等设备采购</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38" w:type="dxa"/>
            <w:gridSpan w:val="2"/>
          </w:tcPr>
          <w:p w14:paraId="123F6119">
            <w:pPr>
              <w:pageBreakBefore w:val="0"/>
              <w:widowControl w:val="0"/>
              <w:wordWrap/>
              <w:overflowPunct/>
              <w:topLinePunct w:val="0"/>
              <w:bidi w:val="0"/>
              <w:spacing w:before="253" w:line="360"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14:paraId="50433C51">
            <w:pPr>
              <w:pStyle w:val="13"/>
              <w:pageBreakBefore w:val="0"/>
              <w:widowControl w:val="0"/>
              <w:wordWrap/>
              <w:overflowPunct/>
              <w:topLinePunct w:val="0"/>
              <w:bidi w:val="0"/>
              <w:spacing w:line="360" w:lineRule="auto"/>
              <w:jc w:val="center"/>
              <w:rPr>
                <w:rFonts w:hint="default" w:eastAsia="宋体"/>
                <w:color w:val="auto"/>
                <w:spacing w:val="0"/>
                <w:w w:val="100"/>
                <w:position w:val="0"/>
                <w:sz w:val="24"/>
                <w:szCs w:val="24"/>
                <w:highlight w:val="none"/>
                <w:lang w:val="en-US" w:eastAsia="zh-CN"/>
              </w:rPr>
            </w:pPr>
            <w:r>
              <w:rPr>
                <w:rFonts w:hint="eastAsia" w:eastAsia="宋体"/>
                <w:color w:val="auto"/>
                <w:spacing w:val="0"/>
                <w:w w:val="100"/>
                <w:position w:val="0"/>
                <w:sz w:val="24"/>
                <w:szCs w:val="24"/>
                <w:highlight w:val="none"/>
                <w:lang w:val="en-US" w:eastAsia="zh-CN"/>
              </w:rPr>
              <w:t>1批</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38" w:type="dxa"/>
            <w:gridSpan w:val="2"/>
          </w:tcPr>
          <w:p w14:paraId="6F15DEBD">
            <w:pPr>
              <w:pageBreakBefore w:val="0"/>
              <w:widowControl w:val="0"/>
              <w:wordWrap/>
              <w:overflowPunct/>
              <w:topLinePunct w:val="0"/>
              <w:bidi w:val="0"/>
              <w:spacing w:before="253" w:line="360"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14:paraId="4C162A4E">
            <w:pPr>
              <w:pStyle w:val="13"/>
              <w:pageBreakBefore w:val="0"/>
              <w:widowControl w:val="0"/>
              <w:wordWrap/>
              <w:overflowPunct/>
              <w:topLinePunct w:val="0"/>
              <w:bidi w:val="0"/>
              <w:spacing w:line="360" w:lineRule="auto"/>
              <w:jc w:val="center"/>
              <w:rPr>
                <w:rFonts w:hint="default" w:eastAsia="宋体"/>
                <w:color w:val="auto"/>
                <w:spacing w:val="0"/>
                <w:w w:val="100"/>
                <w:position w:val="0"/>
                <w:sz w:val="24"/>
                <w:szCs w:val="24"/>
                <w:highlight w:val="none"/>
                <w:lang w:val="en-US" w:eastAsia="zh-CN"/>
              </w:rPr>
            </w:pPr>
            <w:r>
              <w:rPr>
                <w:rFonts w:hint="eastAsia" w:eastAsia="宋体"/>
                <w:color w:val="auto"/>
                <w:spacing w:val="0"/>
                <w:w w:val="100"/>
                <w:position w:val="0"/>
                <w:sz w:val="24"/>
                <w:szCs w:val="24"/>
                <w:highlight w:val="none"/>
                <w:lang w:val="en-US" w:eastAsia="zh-CN"/>
              </w:rPr>
              <w:t>合同签订后30天内</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38" w:type="dxa"/>
            <w:gridSpan w:val="2"/>
          </w:tcPr>
          <w:p w14:paraId="5ED9F9A8">
            <w:pPr>
              <w:pageBreakBefore w:val="0"/>
              <w:widowControl w:val="0"/>
              <w:wordWrap/>
              <w:overflowPunct/>
              <w:topLinePunct w:val="0"/>
              <w:bidi w:val="0"/>
              <w:spacing w:before="256" w:line="36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14:paraId="4AA19BD4">
            <w:pPr>
              <w:pStyle w:val="13"/>
              <w:pageBreakBefore w:val="0"/>
              <w:widowControl w:val="0"/>
              <w:wordWrap/>
              <w:overflowPunct/>
              <w:topLinePunct w:val="0"/>
              <w:bidi w:val="0"/>
              <w:spacing w:line="360" w:lineRule="auto"/>
              <w:jc w:val="center"/>
              <w:rPr>
                <w:rFonts w:hint="default" w:eastAsia="宋体"/>
                <w:color w:val="auto"/>
                <w:spacing w:val="0"/>
                <w:w w:val="100"/>
                <w:position w:val="0"/>
                <w:sz w:val="24"/>
                <w:szCs w:val="24"/>
                <w:highlight w:val="none"/>
                <w:lang w:val="en-US" w:eastAsia="zh-CN"/>
              </w:rPr>
            </w:pPr>
            <w:r>
              <w:rPr>
                <w:rFonts w:hint="eastAsia" w:eastAsia="宋体"/>
                <w:color w:val="auto"/>
                <w:spacing w:val="0"/>
                <w:w w:val="100"/>
                <w:position w:val="0"/>
                <w:sz w:val="24"/>
                <w:szCs w:val="24"/>
                <w:highlight w:val="none"/>
                <w:lang w:val="en-US" w:eastAsia="zh-CN"/>
              </w:rPr>
              <w:t>吉安市妇幼保健院住院部10楼产科</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38" w:type="dxa"/>
            <w:gridSpan w:val="2"/>
          </w:tcPr>
          <w:p w14:paraId="5960AB6C">
            <w:pPr>
              <w:pageBreakBefore w:val="0"/>
              <w:widowControl w:val="0"/>
              <w:wordWrap/>
              <w:overflowPunct/>
              <w:topLinePunct w:val="0"/>
              <w:bidi w:val="0"/>
              <w:spacing w:before="256" w:line="360" w:lineRule="auto"/>
              <w:ind w:left="1189"/>
              <w:rPr>
                <w:rFonts w:ascii="宋体" w:hAnsi="宋体" w:eastAsia="宋体" w:cs="宋体"/>
                <w:color w:val="auto"/>
                <w:spacing w:val="0"/>
                <w:w w:val="100"/>
                <w:position w:val="0"/>
                <w:sz w:val="24"/>
                <w:szCs w:val="24"/>
                <w:highlight w:val="none"/>
              </w:rPr>
            </w:pPr>
          </w:p>
          <w:p w14:paraId="6AA25FED">
            <w:pPr>
              <w:pageBreakBefore w:val="0"/>
              <w:widowControl w:val="0"/>
              <w:wordWrap/>
              <w:overflowPunct/>
              <w:topLinePunct w:val="0"/>
              <w:bidi w:val="0"/>
              <w:spacing w:before="256" w:line="360" w:lineRule="auto"/>
              <w:ind w:left="1189"/>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tcPr>
          <w:p w14:paraId="35768CA4">
            <w:pPr>
              <w:pStyle w:val="13"/>
              <w:pageBreakBefore w:val="0"/>
              <w:widowControl w:val="0"/>
              <w:wordWrap/>
              <w:overflowPunct/>
              <w:topLinePunct w:val="0"/>
              <w:bidi w:val="0"/>
              <w:spacing w:line="360" w:lineRule="auto"/>
              <w:rPr>
                <w:color w:val="auto"/>
                <w:spacing w:val="0"/>
                <w:w w:val="100"/>
                <w:position w:val="0"/>
                <w:sz w:val="24"/>
                <w:szCs w:val="24"/>
                <w:highlight w:val="none"/>
              </w:rPr>
            </w:pPr>
            <w:r>
              <w:rPr>
                <w:rFonts w:hint="eastAsia"/>
                <w:color w:val="auto"/>
                <w:spacing w:val="0"/>
                <w:w w:val="100"/>
                <w:position w:val="0"/>
                <w:sz w:val="24"/>
                <w:szCs w:val="24"/>
                <w:highlight w:val="none"/>
              </w:rPr>
              <w:t>本项目为交钥匙项目;报价包含设备、材料、装卸费、安装、调试费、检测验收费、场内二次搬运费、保管、维修备件、专用设施设备、管理费、利润、税金、技术资料及检测、验收费用、软件更新升级费用、质量保修期内维修费用和相关技术服务费用等在内的一切费用。</w:t>
            </w:r>
          </w:p>
        </w:tc>
      </w:tr>
    </w:tbl>
    <w:p w14:paraId="4A9A6DDB">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bookmarkStart w:id="0" w:name="bookmark81"/>
      <w:bookmarkEnd w:id="0"/>
    </w:p>
    <w:p w14:paraId="0144430A">
      <w:pP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br w:type="page"/>
      </w:r>
    </w:p>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p>
    <w:p w14:paraId="50EC529F">
      <w:pPr>
        <w:pageBreakBefore w:val="0"/>
        <w:widowControl w:val="0"/>
        <w:wordWrap/>
        <w:overflowPunct/>
        <w:topLinePunct w:val="0"/>
        <w:bidi w:val="0"/>
        <w:spacing w:line="258" w:lineRule="auto"/>
        <w:rPr>
          <w:color w:val="auto"/>
          <w:spacing w:val="0"/>
          <w:w w:val="100"/>
          <w:position w:val="0"/>
          <w:highlight w:val="none"/>
        </w:rPr>
      </w:pPr>
    </w:p>
    <w:p w14:paraId="407FBD91">
      <w:pPr>
        <w:pageBreakBefore w:val="0"/>
        <w:widowControl w:val="0"/>
        <w:wordWrap/>
        <w:overflowPunct/>
        <w:topLinePunct w:val="0"/>
        <w:bidi w:val="0"/>
        <w:spacing w:before="78" w:line="219" w:lineRule="auto"/>
        <w:rPr>
          <w:rFonts w:hint="eastAsia" w:ascii="宋体" w:hAnsi="宋体" w:eastAsia="宋体" w:cs="宋体"/>
          <w:b/>
          <w:bCs/>
          <w:color w:val="auto"/>
          <w:spacing w:val="0"/>
          <w:w w:val="100"/>
          <w:position w:val="0"/>
          <w:sz w:val="24"/>
          <w:szCs w:val="24"/>
          <w:highlight w:val="none"/>
        </w:rPr>
      </w:pPr>
      <w:r>
        <w:rPr>
          <w:rFonts w:ascii="宋体" w:hAnsi="宋体" w:eastAsia="宋体" w:cs="宋体"/>
          <w:b/>
          <w:bCs/>
          <w:color w:val="auto"/>
          <w:spacing w:val="0"/>
          <w:w w:val="100"/>
          <w:position w:val="0"/>
          <w:sz w:val="24"/>
          <w:szCs w:val="24"/>
          <w:highlight w:val="none"/>
        </w:rPr>
        <w:t xml:space="preserve">（一） </w:t>
      </w:r>
      <w:r>
        <w:rPr>
          <w:rFonts w:hint="eastAsia" w:ascii="宋体" w:hAnsi="宋体" w:eastAsia="宋体" w:cs="宋体"/>
          <w:b/>
          <w:bCs/>
          <w:color w:val="auto"/>
          <w:spacing w:val="0"/>
          <w:w w:val="100"/>
          <w:position w:val="0"/>
          <w:sz w:val="24"/>
          <w:szCs w:val="24"/>
          <w:highlight w:val="none"/>
        </w:rPr>
        <w:t>采购清单</w:t>
      </w:r>
    </w:p>
    <w:p w14:paraId="27A5C741">
      <w:pPr>
        <w:pageBreakBefore w:val="0"/>
        <w:widowControl w:val="0"/>
        <w:wordWrap/>
        <w:overflowPunct/>
        <w:topLinePunct w:val="0"/>
        <w:bidi w:val="0"/>
        <w:spacing w:line="242" w:lineRule="auto"/>
        <w:rPr>
          <w:rFonts w:hint="eastAsia" w:ascii="宋体" w:hAnsi="宋体" w:eastAsia="宋体" w:cs="宋体"/>
          <w:color w:val="auto"/>
          <w:spacing w:val="0"/>
          <w:w w:val="100"/>
          <w:position w:val="0"/>
          <w:sz w:val="24"/>
          <w:szCs w:val="24"/>
          <w:highlight w:val="none"/>
        </w:rPr>
      </w:pPr>
    </w:p>
    <w:tbl>
      <w:tblPr>
        <w:tblStyle w:val="9"/>
        <w:tblW w:w="97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2136"/>
        <w:gridCol w:w="844"/>
        <w:gridCol w:w="784"/>
        <w:gridCol w:w="5278"/>
      </w:tblGrid>
      <w:tr w14:paraId="2E0F5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0" w:type="auto"/>
            <w:vAlign w:val="center"/>
          </w:tcPr>
          <w:p w14:paraId="47C9714D">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序号</w:t>
            </w:r>
          </w:p>
        </w:tc>
        <w:tc>
          <w:tcPr>
            <w:tcW w:w="0" w:type="auto"/>
            <w:vAlign w:val="center"/>
          </w:tcPr>
          <w:p w14:paraId="5DD93EDE">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项目名称</w:t>
            </w:r>
          </w:p>
        </w:tc>
        <w:tc>
          <w:tcPr>
            <w:tcW w:w="844" w:type="dxa"/>
            <w:vAlign w:val="center"/>
          </w:tcPr>
          <w:p w14:paraId="51E5A220">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单位</w:t>
            </w:r>
          </w:p>
        </w:tc>
        <w:tc>
          <w:tcPr>
            <w:tcW w:w="784" w:type="dxa"/>
            <w:vAlign w:val="center"/>
          </w:tcPr>
          <w:p w14:paraId="07410154">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数量</w:t>
            </w:r>
          </w:p>
        </w:tc>
        <w:tc>
          <w:tcPr>
            <w:tcW w:w="5278" w:type="dxa"/>
            <w:vAlign w:val="center"/>
          </w:tcPr>
          <w:p w14:paraId="452FD880">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备注</w:t>
            </w:r>
          </w:p>
        </w:tc>
      </w:tr>
      <w:tr w14:paraId="74030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0" w:type="auto"/>
            <w:vAlign w:val="center"/>
          </w:tcPr>
          <w:p w14:paraId="49FE3AF6">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1</w:t>
            </w:r>
          </w:p>
        </w:tc>
        <w:tc>
          <w:tcPr>
            <w:tcW w:w="0" w:type="auto"/>
            <w:vAlign w:val="center"/>
          </w:tcPr>
          <w:p w14:paraId="24614456">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bCs/>
                <w:kern w:val="2"/>
                <w:sz w:val="24"/>
                <w:szCs w:val="24"/>
                <w:highlight w:val="none"/>
                <w:vertAlign w:val="baseline"/>
                <w:lang w:val="en-US" w:eastAsia="zh-CN" w:bidi="ar"/>
              </w:rPr>
              <w:t>中央监护管理系统</w:t>
            </w:r>
          </w:p>
        </w:tc>
        <w:tc>
          <w:tcPr>
            <w:tcW w:w="844" w:type="dxa"/>
            <w:vAlign w:val="center"/>
          </w:tcPr>
          <w:p w14:paraId="6E47F304">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套</w:t>
            </w:r>
          </w:p>
        </w:tc>
        <w:tc>
          <w:tcPr>
            <w:tcW w:w="784" w:type="dxa"/>
            <w:vAlign w:val="center"/>
          </w:tcPr>
          <w:p w14:paraId="20751583">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2</w:t>
            </w:r>
          </w:p>
        </w:tc>
        <w:tc>
          <w:tcPr>
            <w:tcW w:w="5278" w:type="dxa"/>
            <w:vAlign w:val="center"/>
          </w:tcPr>
          <w:p w14:paraId="185F9948">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color w:val="auto"/>
                <w:sz w:val="24"/>
                <w:szCs w:val="24"/>
                <w:highlight w:val="none"/>
                <w:lang w:val="en-US" w:eastAsia="zh-CN"/>
              </w:rPr>
              <w:t>（含布网）</w:t>
            </w:r>
          </w:p>
        </w:tc>
      </w:tr>
      <w:tr w14:paraId="42C8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0" w:type="auto"/>
            <w:vAlign w:val="center"/>
          </w:tcPr>
          <w:p w14:paraId="34443B50">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2</w:t>
            </w:r>
          </w:p>
        </w:tc>
        <w:tc>
          <w:tcPr>
            <w:tcW w:w="0" w:type="auto"/>
            <w:vAlign w:val="center"/>
          </w:tcPr>
          <w:p w14:paraId="2E711098">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无线胎儿监护仪</w:t>
            </w:r>
          </w:p>
        </w:tc>
        <w:tc>
          <w:tcPr>
            <w:tcW w:w="844" w:type="dxa"/>
            <w:vAlign w:val="center"/>
          </w:tcPr>
          <w:p w14:paraId="4B0669A5">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台</w:t>
            </w:r>
          </w:p>
        </w:tc>
        <w:tc>
          <w:tcPr>
            <w:tcW w:w="784" w:type="dxa"/>
            <w:vAlign w:val="center"/>
          </w:tcPr>
          <w:p w14:paraId="1E603890">
            <w:pPr>
              <w:pStyle w:val="4"/>
              <w:widowControl w:val="0"/>
              <w:spacing w:line="360" w:lineRule="auto"/>
              <w:jc w:val="center"/>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8</w:t>
            </w:r>
          </w:p>
        </w:tc>
        <w:tc>
          <w:tcPr>
            <w:tcW w:w="5278" w:type="dxa"/>
            <w:vAlign w:val="center"/>
          </w:tcPr>
          <w:p w14:paraId="724CE05A">
            <w:pPr>
              <w:pStyle w:val="4"/>
              <w:widowControl w:val="0"/>
              <w:spacing w:line="360" w:lineRule="auto"/>
              <w:jc w:val="center"/>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8台组成两套，每套含：两台单胎、一台双胎、一台母胎</w:t>
            </w:r>
          </w:p>
        </w:tc>
      </w:tr>
      <w:tr w14:paraId="54F54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0" w:type="auto"/>
            <w:vAlign w:val="center"/>
          </w:tcPr>
          <w:p w14:paraId="5C220B06">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3</w:t>
            </w:r>
          </w:p>
        </w:tc>
        <w:tc>
          <w:tcPr>
            <w:tcW w:w="0" w:type="auto"/>
            <w:vAlign w:val="center"/>
          </w:tcPr>
          <w:p w14:paraId="0EAF6E15">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b w:val="0"/>
                <w:bCs/>
                <w:color w:val="000000"/>
                <w:sz w:val="24"/>
                <w:szCs w:val="24"/>
                <w:highlight w:val="none"/>
                <w:lang w:val="en-US" w:eastAsia="zh-CN"/>
              </w:rPr>
              <w:t>病人监护仪</w:t>
            </w:r>
          </w:p>
        </w:tc>
        <w:tc>
          <w:tcPr>
            <w:tcW w:w="844" w:type="dxa"/>
            <w:vAlign w:val="center"/>
          </w:tcPr>
          <w:p w14:paraId="173F1AA1">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台</w:t>
            </w:r>
          </w:p>
        </w:tc>
        <w:tc>
          <w:tcPr>
            <w:tcW w:w="784" w:type="dxa"/>
            <w:vAlign w:val="center"/>
          </w:tcPr>
          <w:p w14:paraId="71B9DD12">
            <w:pPr>
              <w:pStyle w:val="4"/>
              <w:widowControl w:val="0"/>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1</w:t>
            </w:r>
          </w:p>
        </w:tc>
        <w:tc>
          <w:tcPr>
            <w:tcW w:w="5278" w:type="dxa"/>
            <w:vAlign w:val="center"/>
          </w:tcPr>
          <w:p w14:paraId="4994EDD8">
            <w:pPr>
              <w:pStyle w:val="4"/>
              <w:widowControl w:val="0"/>
              <w:spacing w:line="360" w:lineRule="auto"/>
              <w:jc w:val="center"/>
              <w:rPr>
                <w:rFonts w:hint="default"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最高限价30000元</w:t>
            </w:r>
          </w:p>
        </w:tc>
      </w:tr>
    </w:tbl>
    <w:p w14:paraId="047D991F">
      <w:pPr>
        <w:pStyle w:val="4"/>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4FF21D65">
      <w:pPr>
        <w:pStyle w:val="5"/>
        <w:numPr>
          <w:ilvl w:val="0"/>
          <w:numId w:val="1"/>
        </w:numPr>
        <w:ind w:left="0" w:leftChars="0" w:firstLine="0" w:firstLineChars="0"/>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技术需求</w:t>
      </w:r>
    </w:p>
    <w:p w14:paraId="0E70176E">
      <w:pPr>
        <w:pStyle w:val="5"/>
        <w:numPr>
          <w:ilvl w:val="0"/>
          <w:numId w:val="0"/>
        </w:numPr>
        <w:ind w:leftChars="0"/>
        <w:rPr>
          <w:rFonts w:hint="default" w:ascii="宋体" w:hAnsi="宋体" w:eastAsia="宋体" w:cs="宋体"/>
          <w:b/>
          <w:bCs/>
          <w:sz w:val="24"/>
          <w:szCs w:val="24"/>
          <w:highlight w:val="none"/>
          <w:lang w:val="en-US" w:eastAsia="zh-CN"/>
        </w:rPr>
      </w:pPr>
    </w:p>
    <w:p w14:paraId="55CCB6DA">
      <w:pPr>
        <w:pageBreakBefore w:val="0"/>
        <w:widowControl w:val="0"/>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 xml:space="preserve">1.中央监护管理系统（2套） </w:t>
      </w:r>
    </w:p>
    <w:p w14:paraId="3EE00C3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1.1 监护功能：</w:t>
      </w:r>
    </w:p>
    <w:p w14:paraId="4BB182D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（1）全产程、实时、多床位显示和记录床边监护仪的数字和曲线，自动判断有效监护数据进行智能显示和报警，床边工作状态、信号质量、监护信息等，一目了然；</w:t>
      </w:r>
    </w:p>
    <w:p w14:paraId="5E83C7F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（2）智能走纸技术，自动记录有效数据，即使无人值守也可以很好地完成监护过程；</w:t>
      </w:r>
    </w:p>
    <w:p w14:paraId="1FB0512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 xml:space="preserve">（3）胎监/母胎监护/母亲监护三种监护版面，根据床边机监护数据，自适应界面更改，适合产前监护、产时监护、产后监护不同需要； </w:t>
      </w:r>
    </w:p>
    <w:p w14:paraId="1964B99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1.2 操作系统：</w:t>
      </w:r>
    </w:p>
    <w:p w14:paraId="10FE4D9D">
      <w:pPr>
        <w:pageBreakBefore w:val="0"/>
        <w:widowControl w:val="0"/>
        <w:wordWrap/>
        <w:overflowPunct/>
        <w:topLinePunct w:val="0"/>
        <w:bidi w:val="0"/>
        <w:spacing w:line="360" w:lineRule="auto"/>
        <w:ind w:firstLine="240" w:firstLineChars="100"/>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可根据医院需求在界面中定制化管理操作按键，可增加、删除快捷操作按键，可优先常用快捷操作功能；</w:t>
      </w:r>
    </w:p>
    <w:p w14:paraId="14ECCA5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1.3 存储功能：</w:t>
      </w:r>
    </w:p>
    <w:p w14:paraId="12BCA09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（1）具有强大的数据库，全程CTG浏览，便于快速了解整体监护情况，贮存全产程所有数据，提供完整的分娩记录，并可选段诊断、打印；</w:t>
      </w:r>
    </w:p>
    <w:p w14:paraId="0CBF380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（2）回放功能：支持自动播放CTG，可回放24小时CTG和母亲生命体征趋势；</w:t>
      </w:r>
    </w:p>
    <w:p w14:paraId="3089095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（3）掉电保护功能：每分钟自动暂存；</w:t>
      </w:r>
    </w:p>
    <w:p w14:paraId="1EF7AFB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（4）可显示胎儿/母亲参数、血气分析参数等；</w:t>
      </w:r>
    </w:p>
    <w:p w14:paraId="5524B57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1.4 报警功能：</w:t>
      </w:r>
    </w:p>
    <w:p w14:paraId="2FB83E0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（1）符合国际标准的三级声光自动母亲/胎儿参数报警功能，报警界限根据需要可调节</w:t>
      </w:r>
    </w:p>
    <w:p w14:paraId="047F17E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（2）SOV（信号重合）报警功能，母亲和胎儿心率重合报警，双台信号重合报警</w:t>
      </w:r>
    </w:p>
    <w:p w14:paraId="680F996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1.5 分析功能：</w:t>
      </w:r>
    </w:p>
    <w:p w14:paraId="042074C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（1）配备专家分析功能，支持国内主流KREBS、Fischer、改良Fischer和NST四种评分标准。</w:t>
      </w:r>
    </w:p>
    <w:p w14:paraId="7BEBF14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（2）配置产时胎心监护三类图形评估标准和报告系统，系统支持自动分析并提供临床处置建议。</w:t>
      </w:r>
    </w:p>
    <w:p w14:paraId="0DDA2A0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（3）配置CTG分析功能。</w:t>
      </w:r>
    </w:p>
    <w:p w14:paraId="17EF971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（4）提供打印设置小工具，可以对打印模板中的部分内容进行个性化设置，包括报告布局，边距，字号、CTG曲线背景网格、胎心安全区域背景色及曲线颜色和粗细等，方便临床应用。</w:t>
      </w:r>
    </w:p>
    <w:p w14:paraId="59431DEA">
      <w:pPr>
        <w:pageBreakBefore w:val="0"/>
        <w:widowControl w:val="0"/>
        <w:wordWrap/>
        <w:overflowPunct/>
        <w:topLinePunct w:val="0"/>
        <w:bidi w:val="0"/>
        <w:spacing w:line="242" w:lineRule="auto"/>
        <w:rPr>
          <w:rFonts w:hint="eastAsia" w:ascii="宋体" w:hAnsi="宋体" w:eastAsia="宋体" w:cs="宋体"/>
          <w:color w:val="auto"/>
          <w:spacing w:val="0"/>
          <w:w w:val="100"/>
          <w:position w:val="0"/>
          <w:sz w:val="24"/>
          <w:szCs w:val="24"/>
          <w:highlight w:val="none"/>
          <w:lang w:val="en-US" w:eastAsia="zh-CN"/>
        </w:rPr>
      </w:pPr>
    </w:p>
    <w:p w14:paraId="28C4887C">
      <w:pPr>
        <w:pageBreakBefore w:val="0"/>
        <w:widowControl w:val="0"/>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2 无线胎儿监护仪（8台）</w:t>
      </w:r>
    </w:p>
    <w:p w14:paraId="15EFBB3F">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 一体化无线胎监，监护参数：胎心率（FHR1、FHR2），宫缩压力（TOCO），胎动（FM）；</w:t>
      </w:r>
    </w:p>
    <w:p w14:paraId="1BB8BDD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2.2 支持配置母参模块（针对母胎配置）；</w:t>
      </w:r>
    </w:p>
    <w:p w14:paraId="0EDD41E5">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2.3 ≥7晶片1MHz超声胎心探头，超声波束声强：Iob&lt;3.6 mW/cm2；</w:t>
      </w:r>
    </w:p>
    <w:p w14:paraId="15A31FCB">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2.4 TOCO探头监测宫缩的同时监测母亲心率曲线，有效识别母亲心率信号干扰；</w:t>
      </w:r>
      <w:r>
        <w:rPr>
          <w:rFonts w:hint="eastAsia" w:ascii="宋体" w:hAnsi="宋体" w:eastAsia="宋体" w:cs="宋体"/>
          <w:b/>
          <w:bCs/>
          <w:color w:val="auto"/>
          <w:spacing w:val="0"/>
          <w:w w:val="100"/>
          <w:position w:val="0"/>
          <w:sz w:val="24"/>
          <w:szCs w:val="24"/>
          <w:highlight w:val="none"/>
          <w:lang w:val="en-US" w:eastAsia="zh-CN"/>
        </w:rPr>
        <w:t>（投标文件须提供产品说明书原件扫描件加盖投标人公章）</w:t>
      </w:r>
    </w:p>
    <w:p w14:paraId="2E402E8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2.5 支持升级三胎监测，支持多胎胎心率重合报警(SOV)；</w:t>
      </w:r>
    </w:p>
    <w:p w14:paraId="241AD19B">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2.6 支持多胎监护波形的分离打印；</w:t>
      </w:r>
    </w:p>
    <w:p w14:paraId="583046D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2.7 胎动：自动胎动检测，显示并打印胎儿活动图；</w:t>
      </w:r>
    </w:p>
    <w:p w14:paraId="3D621F8A">
      <w:pPr>
        <w:pageBreakBefore w:val="0"/>
        <w:widowControl w:val="0"/>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2.8 支持无线充电，无线探头无充电触点；</w:t>
      </w:r>
      <w:r>
        <w:rPr>
          <w:rFonts w:hint="eastAsia" w:ascii="宋体" w:hAnsi="宋体" w:eastAsia="宋体" w:cs="宋体"/>
          <w:b/>
          <w:bCs/>
          <w:color w:val="auto"/>
          <w:spacing w:val="0"/>
          <w:w w:val="100"/>
          <w:position w:val="0"/>
          <w:sz w:val="24"/>
          <w:szCs w:val="24"/>
          <w:highlight w:val="none"/>
          <w:lang w:val="en-US" w:eastAsia="zh-CN"/>
        </w:rPr>
        <w:t>（投标文件须提供探头实物图片及产品说明书扫描件加盖投标人公章）</w:t>
      </w:r>
    </w:p>
    <w:p w14:paraId="17C9F42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2.9 支持无线探头10min以上的断线续传；</w:t>
      </w:r>
    </w:p>
    <w:p w14:paraId="74B6A36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2.10 支持波形储存时长≥2000小时；</w:t>
      </w:r>
    </w:p>
    <w:p w14:paraId="5A494BD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2.11 ＞12英寸高清晰TFT触摸屏设计；</w:t>
      </w:r>
    </w:p>
    <w:p w14:paraId="782773D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2.12 支持全键盘中文孕妇信息输入，支持USB接口，支持接入扫码枪；</w:t>
      </w:r>
    </w:p>
    <w:p w14:paraId="095AA1C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2.13 支持CTG预警，针对正弦模式预警、低变异性预警、无变异的心动过速、延迟减速等危机模式及时报警，提醒医生及时发现异常；</w:t>
      </w:r>
    </w:p>
    <w:p w14:paraId="0484970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2.14 标配NST三分类和NICHD三分类评估，软件可进行自动三级分类；</w:t>
      </w:r>
    </w:p>
    <w:p w14:paraId="7E2B98F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2.15 内置四种以上胎监报告自动评分/分析方法；</w:t>
      </w:r>
    </w:p>
    <w:p w14:paraId="51BD939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2.16 主机防护等级不低于IPX2，探头防护等级不低于IP68</w:t>
      </w:r>
    </w:p>
    <w:p w14:paraId="622B18DF">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2.17 内置式152mm（或150mm）宽行打印，符合国际标准，连续准确记录胎心率、宫缩压曲线、母亲心率曲线、血氧曲线及胎儿活动曲线；</w:t>
      </w:r>
    </w:p>
    <w:p w14:paraId="3C45C5A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2.18 选配功能：支持升级附件一键转床，从待产室进产房不需要拆除探头，有效降低医护人员工作量。</w:t>
      </w:r>
    </w:p>
    <w:p w14:paraId="51C0F1AB">
      <w:pPr>
        <w:pageBreakBefore w:val="0"/>
        <w:widowControl w:val="0"/>
        <w:wordWrap/>
        <w:overflowPunct/>
        <w:topLinePunct w:val="0"/>
        <w:bidi w:val="0"/>
        <w:spacing w:line="242" w:lineRule="auto"/>
        <w:rPr>
          <w:rFonts w:hint="eastAsia" w:ascii="宋体" w:hAnsi="宋体" w:eastAsia="宋体" w:cs="宋体"/>
          <w:color w:val="auto"/>
          <w:spacing w:val="0"/>
          <w:w w:val="100"/>
          <w:position w:val="0"/>
          <w:sz w:val="24"/>
          <w:szCs w:val="24"/>
          <w:highlight w:val="none"/>
        </w:rPr>
      </w:pPr>
    </w:p>
    <w:p w14:paraId="7849B546">
      <w:pPr>
        <w:pageBreakBefore w:val="0"/>
        <w:widowControl w:val="0"/>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val="en-US" w:eastAsia="zh-CN"/>
        </w:rPr>
        <w:t xml:space="preserve">3 </w:t>
      </w:r>
      <w:r>
        <w:rPr>
          <w:rFonts w:hint="eastAsia" w:ascii="宋体" w:hAnsi="宋体" w:eastAsia="宋体" w:cs="宋体"/>
          <w:b/>
          <w:bCs/>
          <w:color w:val="auto"/>
          <w:spacing w:val="0"/>
          <w:w w:val="100"/>
          <w:position w:val="0"/>
          <w:sz w:val="24"/>
          <w:szCs w:val="24"/>
          <w:highlight w:val="none"/>
        </w:rPr>
        <w:t>病人监护仪</w:t>
      </w: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1台</w:t>
      </w:r>
      <w:r>
        <w:rPr>
          <w:rFonts w:hint="eastAsia" w:ascii="宋体" w:hAnsi="宋体" w:eastAsia="宋体" w:cs="宋体"/>
          <w:b/>
          <w:bCs/>
          <w:color w:val="auto"/>
          <w:spacing w:val="0"/>
          <w:w w:val="100"/>
          <w:position w:val="0"/>
          <w:sz w:val="24"/>
          <w:szCs w:val="24"/>
          <w:highlight w:val="none"/>
          <w:lang w:eastAsia="zh-CN"/>
        </w:rPr>
        <w:t>）</w:t>
      </w:r>
    </w:p>
    <w:p w14:paraId="7F113CA2">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 xml:space="preserve">3.1 </w:t>
      </w:r>
      <w:r>
        <w:rPr>
          <w:rFonts w:hint="eastAsia" w:ascii="宋体" w:hAnsi="宋体" w:eastAsia="宋体" w:cs="宋体"/>
          <w:color w:val="auto"/>
          <w:spacing w:val="0"/>
          <w:w w:val="100"/>
          <w:position w:val="0"/>
          <w:sz w:val="24"/>
          <w:szCs w:val="24"/>
          <w:highlight w:val="none"/>
        </w:rPr>
        <w:t>外观设计</w:t>
      </w:r>
    </w:p>
    <w:p w14:paraId="3015239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主机集成附件收纳槽，方便附件进行收纳放置。</w:t>
      </w:r>
    </w:p>
    <w:p w14:paraId="29104B5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≥10英寸彩色触摸屏。</w:t>
      </w:r>
    </w:p>
    <w:p w14:paraId="3663810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标配锂电池工作时间≥4小时，可选大容量锂电池工作时间≥8小时。</w:t>
      </w:r>
    </w:p>
    <w:p w14:paraId="47446E3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安全规格：ECG, RESP、TEMP, SpO2 , NIBP监测参数抗电击程度为防除颤CF型。</w:t>
      </w:r>
    </w:p>
    <w:p w14:paraId="77FA53D2">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主机使用寿命≥10年。</w:t>
      </w:r>
    </w:p>
    <w:p w14:paraId="75A0E85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整机防水等级IPX1，SPO2模块IPX2。</w:t>
      </w:r>
    </w:p>
    <w:p w14:paraId="39E9746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7</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要求安装在救护车上。</w:t>
      </w:r>
    </w:p>
    <w:p w14:paraId="27959B2F">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 xml:space="preserve">3.2 </w:t>
      </w:r>
      <w:r>
        <w:rPr>
          <w:rFonts w:hint="eastAsia" w:ascii="宋体" w:hAnsi="宋体" w:eastAsia="宋体" w:cs="宋体"/>
          <w:color w:val="auto"/>
          <w:spacing w:val="0"/>
          <w:w w:val="100"/>
          <w:position w:val="0"/>
          <w:sz w:val="24"/>
          <w:szCs w:val="24"/>
          <w:highlight w:val="none"/>
        </w:rPr>
        <w:t>技术参数</w:t>
      </w:r>
    </w:p>
    <w:p w14:paraId="203EDF6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标配5导心电；可升级12导心电，可升级12导心电静息分析功能。</w:t>
      </w:r>
    </w:p>
    <w:p w14:paraId="14B6231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支持监测成人、小儿及新生儿的心电监测，针对不同患者，可以自由切换不同模式</w:t>
      </w:r>
    </w:p>
    <w:p w14:paraId="7D39684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具备HRV心率变异性分析功能。</w:t>
      </w:r>
    </w:p>
    <w:p w14:paraId="7BECF67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具有多导同步分析功能。</w:t>
      </w:r>
    </w:p>
    <w:p w14:paraId="3EFE2C02">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共模抑制能力＞106db。</w:t>
      </w:r>
    </w:p>
    <w:p w14:paraId="5CC6D07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具备心拍类型识别功能，可区分正常心拍、异常心拍、起搏心拍。</w:t>
      </w:r>
    </w:p>
    <w:p w14:paraId="74BF3D0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7</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≥38种心律失常分析，包括房颤、室颤、停搏、SVCs/min等。</w:t>
      </w:r>
    </w:p>
    <w:p w14:paraId="0FD64F2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 xml:space="preserve">具有强大的心电抗干扰能力，直流偏置电压：±850mV； </w:t>
      </w:r>
    </w:p>
    <w:p w14:paraId="7A806CF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9</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具有ST段分析和ST View功能，可实时监测ST段，评估心肌缺血情况。</w:t>
      </w:r>
    </w:p>
    <w:p w14:paraId="3EDA197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10</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具有QT/QTc测量功能。</w:t>
      </w:r>
    </w:p>
    <w:p w14:paraId="0A4A130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支持升级masimo/nellcor血氧。</w:t>
      </w:r>
    </w:p>
    <w:p w14:paraId="2960C8F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12</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标配PI血氧灌注指数。</w:t>
      </w:r>
    </w:p>
    <w:p w14:paraId="75BBCD7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13</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NIBP测量范围：10 mmHg-290mmHg。</w:t>
      </w:r>
    </w:p>
    <w:p w14:paraId="057ECE43">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14</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具有24小时血压动态分析功能。</w:t>
      </w:r>
    </w:p>
    <w:p w14:paraId="5CC6240B">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15</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具有辅助静脉穿刺功能。</w:t>
      </w:r>
    </w:p>
    <w:p w14:paraId="7F2ED05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 xml:space="preserve">3.3 </w:t>
      </w:r>
      <w:r>
        <w:rPr>
          <w:rFonts w:hint="eastAsia" w:ascii="宋体" w:hAnsi="宋体" w:eastAsia="宋体" w:cs="宋体"/>
          <w:color w:val="auto"/>
          <w:spacing w:val="0"/>
          <w:w w:val="100"/>
          <w:position w:val="0"/>
          <w:sz w:val="24"/>
          <w:szCs w:val="24"/>
          <w:highlight w:val="none"/>
        </w:rPr>
        <w:t>软件功能</w:t>
      </w:r>
    </w:p>
    <w:p w14:paraId="497640B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支持计时器功能，可以同时显示最多4个计时器。</w:t>
      </w:r>
    </w:p>
    <w:p w14:paraId="7466E41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支持监测参数报警限一键自动设置功能。</w:t>
      </w:r>
    </w:p>
    <w:p w14:paraId="08E777E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rPr>
        <w:t>支持升级临床辅助工具：脓毒血症指南、EWS早期预警评分、GCS格拉斯哥昏迷指数、24小时心电概览、CCHD先心病筛查</w:t>
      </w:r>
      <w:r>
        <w:rPr>
          <w:rFonts w:hint="eastAsia" w:ascii="宋体" w:hAnsi="宋体" w:eastAsia="宋体" w:cs="宋体"/>
          <w:color w:val="auto"/>
          <w:spacing w:val="0"/>
          <w:w w:val="100"/>
          <w:position w:val="0"/>
          <w:sz w:val="24"/>
          <w:szCs w:val="24"/>
          <w:highlight w:val="none"/>
          <w:lang w:eastAsia="zh-CN"/>
        </w:rPr>
        <w:t>。</w:t>
      </w:r>
    </w:p>
    <w:p w14:paraId="1D00DCAA">
      <w:pPr>
        <w:pageBreakBefore w:val="0"/>
        <w:widowControl w:val="0"/>
        <w:wordWrap/>
        <w:overflowPunct/>
        <w:topLinePunct w:val="0"/>
        <w:bidi w:val="0"/>
        <w:spacing w:line="245" w:lineRule="auto"/>
        <w:rPr>
          <w:color w:val="auto"/>
          <w:spacing w:val="0"/>
          <w:w w:val="100"/>
          <w:position w:val="0"/>
          <w:highlight w:val="none"/>
          <w:lang w:eastAsia="zh-CN"/>
        </w:rPr>
      </w:pPr>
    </w:p>
    <w:p w14:paraId="74FBE158">
      <w:pPr>
        <w:pageBreakBefore w:val="0"/>
        <w:widowControl w:val="0"/>
        <w:wordWrap/>
        <w:overflowPunct/>
        <w:topLinePunct w:val="0"/>
        <w:bidi w:val="0"/>
        <w:spacing w:before="78" w:line="360" w:lineRule="auto"/>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三</w:t>
      </w:r>
      <w:r>
        <w:rPr>
          <w:rFonts w:hint="eastAsia" w:ascii="宋体" w:hAnsi="宋体" w:eastAsia="宋体" w:cs="宋体"/>
          <w:b/>
          <w:bCs/>
          <w:color w:val="auto"/>
          <w:spacing w:val="0"/>
          <w:w w:val="100"/>
          <w:position w:val="0"/>
          <w:sz w:val="24"/>
          <w:szCs w:val="24"/>
          <w:highlight w:val="none"/>
          <w:lang w:eastAsia="zh-CN"/>
        </w:rPr>
        <w:t>） 商务条款</w:t>
      </w:r>
    </w:p>
    <w:p w14:paraId="73DD1793">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1</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rPr>
        <w:t>合同</w:t>
      </w:r>
      <w:r>
        <w:rPr>
          <w:rFonts w:hint="eastAsia" w:ascii="宋体" w:hAnsi="宋体" w:eastAsia="宋体" w:cs="宋体"/>
          <w:color w:val="auto"/>
          <w:spacing w:val="0"/>
          <w:w w:val="100"/>
          <w:position w:val="0"/>
          <w:sz w:val="24"/>
          <w:szCs w:val="24"/>
          <w:highlight w:val="none"/>
          <w:lang w:val="en-US" w:eastAsia="zh-CN"/>
        </w:rPr>
        <w:t>交货</w:t>
      </w:r>
      <w:r>
        <w:rPr>
          <w:rFonts w:hint="eastAsia" w:ascii="宋体" w:hAnsi="宋体" w:eastAsia="宋体" w:cs="宋体"/>
          <w:color w:val="auto"/>
          <w:spacing w:val="0"/>
          <w:w w:val="100"/>
          <w:position w:val="0"/>
          <w:sz w:val="24"/>
          <w:szCs w:val="24"/>
          <w:highlight w:val="none"/>
          <w:lang w:eastAsia="zh-CN"/>
        </w:rPr>
        <w:t>期限：自合同签订之日起</w:t>
      </w:r>
      <w:r>
        <w:rPr>
          <w:rFonts w:hint="eastAsia" w:ascii="宋体" w:hAnsi="宋体" w:eastAsia="宋体" w:cs="宋体"/>
          <w:color w:val="auto"/>
          <w:spacing w:val="0"/>
          <w:w w:val="100"/>
          <w:position w:val="0"/>
          <w:sz w:val="24"/>
          <w:szCs w:val="24"/>
          <w:highlight w:val="none"/>
          <w:lang w:val="en-US" w:eastAsia="zh-CN"/>
        </w:rPr>
        <w:t>30</w:t>
      </w:r>
      <w:r>
        <w:rPr>
          <w:rFonts w:hint="eastAsia" w:ascii="宋体" w:hAnsi="宋体" w:eastAsia="宋体" w:cs="宋体"/>
          <w:color w:val="auto"/>
          <w:spacing w:val="0"/>
          <w:w w:val="100"/>
          <w:position w:val="0"/>
          <w:sz w:val="24"/>
          <w:szCs w:val="24"/>
          <w:highlight w:val="none"/>
          <w:lang w:eastAsia="zh-CN"/>
        </w:rPr>
        <w:t>天内完成项目实施和项目验收。</w:t>
      </w:r>
    </w:p>
    <w:p w14:paraId="2AD257A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付款方式：</w:t>
      </w:r>
      <w:r>
        <w:rPr>
          <w:rFonts w:hint="eastAsia" w:ascii="宋体" w:hAnsi="宋体" w:eastAsia="宋体" w:cs="宋体"/>
          <w:color w:val="auto"/>
          <w:spacing w:val="0"/>
          <w:w w:val="100"/>
          <w:position w:val="0"/>
          <w:sz w:val="24"/>
          <w:szCs w:val="24"/>
          <w:highlight w:val="none"/>
          <w:lang w:val="en-US" w:eastAsia="zh-CN"/>
        </w:rPr>
        <w:t>货物交付、安装调试并经验收合格后60个工作日内付至实际金额的100%，履约保证金待</w:t>
      </w:r>
      <w:r>
        <w:rPr>
          <w:rFonts w:hint="eastAsia" w:ascii="宋体" w:hAnsi="宋体" w:eastAsia="宋体" w:cs="宋体"/>
          <w:color w:val="auto"/>
          <w:spacing w:val="0"/>
          <w:position w:val="0"/>
          <w:sz w:val="24"/>
          <w:szCs w:val="24"/>
          <w:highlight w:val="none"/>
          <w:lang w:val="en-US" w:eastAsia="zh-CN"/>
        </w:rPr>
        <w:t>免费维修服务</w:t>
      </w:r>
      <w:r>
        <w:rPr>
          <w:rFonts w:hint="eastAsia" w:ascii="宋体" w:hAnsi="宋体" w:eastAsia="宋体" w:cs="宋体"/>
          <w:color w:val="auto"/>
          <w:spacing w:val="0"/>
          <w:w w:val="100"/>
          <w:position w:val="0"/>
          <w:sz w:val="24"/>
          <w:szCs w:val="24"/>
          <w:highlight w:val="none"/>
          <w:lang w:val="en-US" w:eastAsia="zh-CN"/>
        </w:rPr>
        <w:t>期满且无违约责任后，由乙方提交申请，甲方确定乙方在合同履行期间无违约行为，30日内一次性无息予以退还。</w:t>
      </w:r>
    </w:p>
    <w:p w14:paraId="28BACE1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US" w:eastAsia="zh-CN"/>
        </w:rPr>
        <w:t>免费维修服务</w:t>
      </w:r>
      <w:r>
        <w:rPr>
          <w:rFonts w:hint="eastAsia" w:ascii="宋体" w:hAnsi="宋体" w:eastAsia="宋体" w:cs="宋体"/>
          <w:color w:val="auto"/>
          <w:spacing w:val="0"/>
          <w:w w:val="100"/>
          <w:position w:val="0"/>
          <w:sz w:val="24"/>
          <w:szCs w:val="24"/>
          <w:highlight w:val="none"/>
          <w:lang w:val="en-US" w:eastAsia="zh-CN"/>
        </w:rPr>
        <w:t>期</w:t>
      </w:r>
      <w:r>
        <w:rPr>
          <w:rFonts w:hint="eastAsia" w:ascii="宋体" w:hAnsi="宋体" w:eastAsia="宋体" w:cs="宋体"/>
          <w:color w:val="auto"/>
          <w:spacing w:val="0"/>
          <w:w w:val="100"/>
          <w:position w:val="0"/>
          <w:sz w:val="24"/>
          <w:szCs w:val="24"/>
          <w:highlight w:val="none"/>
          <w:lang w:eastAsia="zh-CN"/>
        </w:rPr>
        <w:t>：提供</w:t>
      </w:r>
      <w:r>
        <w:rPr>
          <w:rFonts w:hint="eastAsia" w:ascii="宋体" w:hAnsi="宋体" w:eastAsia="宋体" w:cs="宋体"/>
          <w:color w:val="auto"/>
          <w:spacing w:val="0"/>
          <w:w w:val="100"/>
          <w:position w:val="0"/>
          <w:sz w:val="24"/>
          <w:szCs w:val="24"/>
          <w:highlight w:val="none"/>
          <w:lang w:val="en-US" w:eastAsia="zh-CN"/>
        </w:rPr>
        <w:t>不少于3</w:t>
      </w:r>
      <w:r>
        <w:rPr>
          <w:rFonts w:hint="eastAsia" w:ascii="宋体" w:hAnsi="宋体" w:eastAsia="宋体" w:cs="宋体"/>
          <w:color w:val="auto"/>
          <w:spacing w:val="0"/>
          <w:w w:val="100"/>
          <w:position w:val="0"/>
          <w:sz w:val="24"/>
          <w:szCs w:val="24"/>
          <w:highlight w:val="none"/>
          <w:lang w:eastAsia="zh-CN"/>
        </w:rPr>
        <w:t>年的免费保修服务（若相关医疗器械监督管理规定或制造商标准保修政策中规定的保修期限长于本合同约定的，均以较长者执行。），</w:t>
      </w:r>
      <w:r>
        <w:rPr>
          <w:rFonts w:hint="eastAsia" w:ascii="宋体" w:hAnsi="宋体" w:eastAsia="宋体" w:cs="宋体"/>
          <w:color w:val="auto"/>
          <w:spacing w:val="0"/>
          <w:position w:val="0"/>
          <w:sz w:val="24"/>
          <w:szCs w:val="24"/>
          <w:highlight w:val="none"/>
          <w:lang w:val="en-US" w:eastAsia="zh-CN"/>
        </w:rPr>
        <w:t>免费维修服务</w:t>
      </w:r>
      <w:r>
        <w:rPr>
          <w:rFonts w:hint="eastAsia" w:ascii="宋体" w:hAnsi="宋体" w:eastAsia="宋体" w:cs="宋体"/>
          <w:color w:val="auto"/>
          <w:spacing w:val="0"/>
          <w:w w:val="100"/>
          <w:position w:val="0"/>
          <w:sz w:val="24"/>
          <w:szCs w:val="24"/>
          <w:highlight w:val="none"/>
          <w:lang w:val="en-US" w:eastAsia="zh-CN"/>
        </w:rPr>
        <w:t>期</w:t>
      </w:r>
      <w:r>
        <w:rPr>
          <w:rFonts w:hint="eastAsia" w:ascii="宋体" w:hAnsi="宋体" w:eastAsia="宋体" w:cs="宋体"/>
          <w:color w:val="auto"/>
          <w:spacing w:val="0"/>
          <w:w w:val="100"/>
          <w:position w:val="0"/>
          <w:sz w:val="24"/>
          <w:szCs w:val="24"/>
          <w:highlight w:val="none"/>
          <w:lang w:eastAsia="zh-CN"/>
        </w:rPr>
        <w:t>从验收合格之日起计算。</w:t>
      </w:r>
    </w:p>
    <w:p w14:paraId="639C906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履行地点要求：江西省吉安市妇幼保健院</w:t>
      </w:r>
      <w:r>
        <w:rPr>
          <w:rFonts w:hint="eastAsia" w:ascii="宋体" w:hAnsi="宋体" w:eastAsia="宋体" w:cs="宋体"/>
          <w:color w:val="auto"/>
          <w:spacing w:val="0"/>
          <w:w w:val="100"/>
          <w:position w:val="0"/>
          <w:sz w:val="24"/>
          <w:szCs w:val="24"/>
          <w:highlight w:val="none"/>
          <w:lang w:val="en-US" w:eastAsia="zh-CN"/>
        </w:rPr>
        <w:t>住院部10楼产科</w:t>
      </w:r>
      <w:r>
        <w:rPr>
          <w:rFonts w:hint="eastAsia" w:ascii="宋体" w:hAnsi="宋体" w:eastAsia="宋体" w:cs="宋体"/>
          <w:color w:val="auto"/>
          <w:spacing w:val="0"/>
          <w:w w:val="100"/>
          <w:position w:val="0"/>
          <w:sz w:val="24"/>
          <w:szCs w:val="24"/>
          <w:highlight w:val="none"/>
          <w:lang w:eastAsia="zh-CN"/>
        </w:rPr>
        <w:t>。</w:t>
      </w:r>
    </w:p>
    <w:p w14:paraId="6BD61C91">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验收</w:t>
      </w:r>
    </w:p>
    <w:p w14:paraId="0C6DB190">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.1</w:t>
      </w:r>
      <w:r>
        <w:rPr>
          <w:rFonts w:hint="eastAsia" w:ascii="宋体" w:hAnsi="宋体" w:eastAsia="宋体" w:cs="宋体"/>
          <w:color w:val="auto"/>
          <w:spacing w:val="0"/>
          <w:w w:val="100"/>
          <w:position w:val="0"/>
          <w:sz w:val="24"/>
          <w:szCs w:val="24"/>
          <w:highlight w:val="none"/>
          <w:lang w:val="en-US" w:eastAsia="zh-CN"/>
        </w:rPr>
        <w:t xml:space="preserve"> 验收由采购人组织验收，也可以由采购人委托专家或第三方验收，所产生费用由中标人支付。</w:t>
      </w:r>
    </w:p>
    <w:p w14:paraId="31B2C74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如</w:t>
      </w:r>
      <w:r>
        <w:rPr>
          <w:rFonts w:hint="eastAsia" w:ascii="宋体" w:hAnsi="宋体" w:eastAsia="宋体" w:cs="宋体"/>
          <w:color w:val="auto"/>
          <w:spacing w:val="0"/>
          <w:w w:val="100"/>
          <w:position w:val="0"/>
          <w:sz w:val="24"/>
          <w:szCs w:val="24"/>
          <w:highlight w:val="none"/>
          <w:lang w:val="en-US" w:eastAsia="zh-CN"/>
        </w:rPr>
        <w:t>中</w:t>
      </w:r>
      <w:r>
        <w:rPr>
          <w:rFonts w:hint="eastAsia" w:ascii="宋体" w:hAnsi="宋体" w:eastAsia="宋体" w:cs="宋体"/>
          <w:color w:val="auto"/>
          <w:spacing w:val="0"/>
          <w:w w:val="100"/>
          <w:position w:val="0"/>
          <w:sz w:val="24"/>
          <w:szCs w:val="24"/>
          <w:highlight w:val="none"/>
          <w:lang w:eastAsia="zh-CN"/>
        </w:rPr>
        <w:t>标人所供货物与招</w:t>
      </w:r>
      <w:r>
        <w:rPr>
          <w:rFonts w:hint="eastAsia" w:ascii="宋体" w:hAnsi="宋体" w:eastAsia="宋体" w:cs="宋体"/>
          <w:color w:val="auto"/>
          <w:spacing w:val="0"/>
          <w:w w:val="100"/>
          <w:position w:val="0"/>
          <w:sz w:val="24"/>
          <w:szCs w:val="24"/>
          <w:highlight w:val="none"/>
          <w:lang w:val="en-US" w:eastAsia="zh-CN"/>
        </w:rPr>
        <w:t>投</w:t>
      </w:r>
      <w:r>
        <w:rPr>
          <w:rFonts w:hint="eastAsia" w:ascii="宋体" w:hAnsi="宋体" w:eastAsia="宋体" w:cs="宋体"/>
          <w:color w:val="auto"/>
          <w:spacing w:val="0"/>
          <w:w w:val="100"/>
          <w:position w:val="0"/>
          <w:sz w:val="24"/>
          <w:szCs w:val="24"/>
          <w:highlight w:val="none"/>
          <w:lang w:eastAsia="zh-CN"/>
        </w:rPr>
        <w:t>标文件不符及</w:t>
      </w:r>
      <w:r>
        <w:rPr>
          <w:rFonts w:ascii="宋体" w:hAnsi="宋体" w:eastAsia="宋体" w:cs="宋体"/>
          <w:sz w:val="24"/>
          <w:szCs w:val="24"/>
        </w:rPr>
        <w:t>货物生产日期距离交付日期超过 1 年</w:t>
      </w:r>
      <w:r>
        <w:rPr>
          <w:rFonts w:hint="eastAsia" w:ascii="宋体" w:hAnsi="宋体" w:eastAsia="宋体" w:cs="宋体"/>
          <w:color w:val="auto"/>
          <w:spacing w:val="0"/>
          <w:w w:val="100"/>
          <w:position w:val="0"/>
          <w:sz w:val="24"/>
          <w:szCs w:val="24"/>
          <w:highlight w:val="none"/>
          <w:lang w:eastAsia="zh-CN"/>
        </w:rPr>
        <w:t>，采购人有权拒收，因此产生的一切经济损失由</w:t>
      </w:r>
      <w:r>
        <w:rPr>
          <w:rFonts w:hint="eastAsia" w:ascii="宋体" w:hAnsi="宋体" w:eastAsia="宋体" w:cs="宋体"/>
          <w:color w:val="auto"/>
          <w:spacing w:val="0"/>
          <w:w w:val="100"/>
          <w:position w:val="0"/>
          <w:sz w:val="24"/>
          <w:szCs w:val="24"/>
          <w:highlight w:val="none"/>
          <w:lang w:val="en-US" w:eastAsia="zh-CN"/>
        </w:rPr>
        <w:t>中</w:t>
      </w:r>
      <w:r>
        <w:rPr>
          <w:rFonts w:hint="eastAsia" w:ascii="宋体" w:hAnsi="宋体" w:eastAsia="宋体" w:cs="宋体"/>
          <w:color w:val="auto"/>
          <w:spacing w:val="0"/>
          <w:w w:val="100"/>
          <w:position w:val="0"/>
          <w:sz w:val="24"/>
          <w:szCs w:val="24"/>
          <w:highlight w:val="none"/>
          <w:lang w:eastAsia="zh-CN"/>
        </w:rPr>
        <w:t>标人承担。验收时主要对到货货物的数量、外观、技术资料等进行检查，所供货物均需提供相应配置单方便采购人对货物依照招标文件上的技术规格要求以及国家有关标准进行验收；货物性能达到技术要求的，给予验收；验收合格后由采购人（或其授权代表）签署确认验收合格文件，验收时如发现货物的质量、性能不符合招标文件规定要求的，采购人有权在验收时予以拒收；因此产生的一切经济损失由</w:t>
      </w:r>
      <w:r>
        <w:rPr>
          <w:rFonts w:hint="eastAsia" w:ascii="宋体" w:hAnsi="宋体" w:eastAsia="宋体" w:cs="宋体"/>
          <w:color w:val="auto"/>
          <w:spacing w:val="0"/>
          <w:w w:val="100"/>
          <w:position w:val="0"/>
          <w:sz w:val="24"/>
          <w:szCs w:val="24"/>
          <w:highlight w:val="none"/>
          <w:lang w:val="en-US" w:eastAsia="zh-CN"/>
        </w:rPr>
        <w:t>中</w:t>
      </w:r>
      <w:r>
        <w:rPr>
          <w:rFonts w:hint="eastAsia" w:ascii="宋体" w:hAnsi="宋体" w:eastAsia="宋体" w:cs="宋体"/>
          <w:color w:val="auto"/>
          <w:spacing w:val="0"/>
          <w:w w:val="100"/>
          <w:position w:val="0"/>
          <w:sz w:val="24"/>
          <w:szCs w:val="24"/>
          <w:highlight w:val="none"/>
          <w:lang w:eastAsia="zh-CN"/>
        </w:rPr>
        <w:t>标人承担。</w:t>
      </w:r>
    </w:p>
    <w:p w14:paraId="4EE09E71">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.3</w:t>
      </w:r>
      <w:r>
        <w:rPr>
          <w:rFonts w:hint="eastAsia" w:ascii="宋体" w:hAnsi="宋体" w:eastAsia="宋体" w:cs="宋体"/>
          <w:color w:val="auto"/>
          <w:spacing w:val="0"/>
          <w:w w:val="100"/>
          <w:position w:val="0"/>
          <w:sz w:val="24"/>
          <w:szCs w:val="24"/>
          <w:highlight w:val="none"/>
          <w:lang w:val="en-US" w:eastAsia="zh-CN"/>
        </w:rPr>
        <w:t xml:space="preserve"> 中</w:t>
      </w:r>
      <w:r>
        <w:rPr>
          <w:rFonts w:hint="eastAsia" w:ascii="宋体" w:hAnsi="宋体" w:eastAsia="宋体" w:cs="宋体"/>
          <w:color w:val="auto"/>
          <w:spacing w:val="0"/>
          <w:w w:val="100"/>
          <w:position w:val="0"/>
          <w:sz w:val="24"/>
          <w:szCs w:val="24"/>
          <w:highlight w:val="none"/>
          <w:lang w:eastAsia="zh-CN"/>
        </w:rPr>
        <w:t>标人在交货截止时间内交货，有关运输和保险的一切费用由</w:t>
      </w:r>
      <w:r>
        <w:rPr>
          <w:rFonts w:hint="eastAsia" w:ascii="宋体" w:hAnsi="宋体" w:eastAsia="宋体" w:cs="宋体"/>
          <w:color w:val="auto"/>
          <w:spacing w:val="0"/>
          <w:w w:val="100"/>
          <w:position w:val="0"/>
          <w:sz w:val="24"/>
          <w:szCs w:val="24"/>
          <w:highlight w:val="none"/>
          <w:lang w:val="en-US" w:eastAsia="zh-CN"/>
        </w:rPr>
        <w:t>中</w:t>
      </w:r>
      <w:r>
        <w:rPr>
          <w:rFonts w:hint="eastAsia" w:ascii="宋体" w:hAnsi="宋体" w:eastAsia="宋体" w:cs="宋体"/>
          <w:color w:val="auto"/>
          <w:spacing w:val="0"/>
          <w:w w:val="100"/>
          <w:position w:val="0"/>
          <w:sz w:val="24"/>
          <w:szCs w:val="24"/>
          <w:highlight w:val="none"/>
          <w:lang w:eastAsia="zh-CN"/>
        </w:rPr>
        <w:t>标人承担。</w:t>
      </w:r>
    </w:p>
    <w:p w14:paraId="6F6E336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.4</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对于不合格的货物，</w:t>
      </w:r>
      <w:r>
        <w:rPr>
          <w:rFonts w:hint="eastAsia" w:ascii="宋体" w:hAnsi="宋体" w:eastAsia="宋体" w:cs="宋体"/>
          <w:color w:val="auto"/>
          <w:spacing w:val="0"/>
          <w:w w:val="100"/>
          <w:position w:val="0"/>
          <w:sz w:val="24"/>
          <w:szCs w:val="24"/>
          <w:highlight w:val="none"/>
          <w:lang w:val="en-US" w:eastAsia="zh-CN"/>
        </w:rPr>
        <w:t>中</w:t>
      </w:r>
      <w:r>
        <w:rPr>
          <w:rFonts w:hint="eastAsia" w:ascii="宋体" w:hAnsi="宋体" w:eastAsia="宋体" w:cs="宋体"/>
          <w:color w:val="auto"/>
          <w:spacing w:val="0"/>
          <w:w w:val="100"/>
          <w:position w:val="0"/>
          <w:sz w:val="24"/>
          <w:szCs w:val="24"/>
          <w:highlight w:val="none"/>
          <w:lang w:eastAsia="zh-CN"/>
        </w:rPr>
        <w:t>标人必须在</w:t>
      </w:r>
      <w:r>
        <w:rPr>
          <w:rFonts w:hint="eastAsia" w:ascii="宋体" w:hAnsi="宋体" w:eastAsia="宋体" w:cs="宋体"/>
          <w:color w:val="auto"/>
          <w:spacing w:val="0"/>
          <w:w w:val="100"/>
          <w:position w:val="0"/>
          <w:sz w:val="24"/>
          <w:szCs w:val="24"/>
          <w:highlight w:val="none"/>
          <w:lang w:val="en-US" w:eastAsia="zh-CN"/>
        </w:rPr>
        <w:t>10天内</w:t>
      </w:r>
      <w:r>
        <w:rPr>
          <w:rFonts w:hint="eastAsia" w:ascii="宋体" w:hAnsi="宋体" w:eastAsia="宋体" w:cs="宋体"/>
          <w:color w:val="auto"/>
          <w:spacing w:val="0"/>
          <w:w w:val="100"/>
          <w:position w:val="0"/>
          <w:sz w:val="24"/>
          <w:szCs w:val="24"/>
          <w:highlight w:val="none"/>
          <w:lang w:eastAsia="zh-CN"/>
        </w:rPr>
        <w:t>完成更换并重新对更新货物进行验收。质量故障报修响应时间：工作期间3小时内响应，非工作期间6小时内响应；故障修复时间不超过24小时，否则中标人应在接到故障报告后</w:t>
      </w:r>
      <w:r>
        <w:rPr>
          <w:rFonts w:hint="eastAsia" w:ascii="宋体" w:hAnsi="宋体" w:eastAsia="宋体" w:cs="宋体"/>
          <w:color w:val="auto"/>
          <w:spacing w:val="0"/>
          <w:w w:val="100"/>
          <w:position w:val="0"/>
          <w:sz w:val="24"/>
          <w:szCs w:val="24"/>
          <w:highlight w:val="none"/>
          <w:lang w:val="en-US" w:eastAsia="zh-CN"/>
        </w:rPr>
        <w:t>72</w:t>
      </w:r>
      <w:r>
        <w:rPr>
          <w:rFonts w:hint="eastAsia" w:ascii="宋体" w:hAnsi="宋体" w:eastAsia="宋体" w:cs="宋体"/>
          <w:color w:val="auto"/>
          <w:spacing w:val="0"/>
          <w:w w:val="100"/>
          <w:position w:val="0"/>
          <w:sz w:val="24"/>
          <w:szCs w:val="24"/>
          <w:highlight w:val="none"/>
          <w:lang w:eastAsia="zh-CN"/>
        </w:rPr>
        <w:t>小时内提供同等功能备用设备，并在备用设备交付使用后继续履行维修义务；未按时提供备用设备的，采购人可按本合同约定对中标人计罚并有权另行采购并向中标人追偿差价及损失。</w:t>
      </w:r>
    </w:p>
    <w:p w14:paraId="36DE674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在验收过程中发现数量不足或有质量、技术等问题，中标人应负责按照采购人的要求采取补足、更换或退货等措施妥善处理，并承担由此发生的一切费用和损失。</w:t>
      </w:r>
    </w:p>
    <w:p w14:paraId="035E1B3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.6</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中标人须为验收提供必需的设备、工具及其他便利条件。</w:t>
      </w:r>
    </w:p>
    <w:p w14:paraId="197D1EAE">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6. </w:t>
      </w:r>
      <w:r>
        <w:rPr>
          <w:rFonts w:hint="eastAsia" w:ascii="宋体" w:hAnsi="宋体" w:eastAsia="宋体" w:cs="宋体"/>
          <w:color w:val="auto"/>
          <w:spacing w:val="0"/>
          <w:w w:val="100"/>
          <w:position w:val="0"/>
          <w:sz w:val="24"/>
          <w:szCs w:val="24"/>
          <w:highlight w:val="none"/>
          <w:lang w:eastAsia="zh-CN"/>
        </w:rPr>
        <w:t>本项目为交钥匙项目</w:t>
      </w:r>
      <w:r>
        <w:rPr>
          <w:rFonts w:hint="eastAsia" w:ascii="宋体" w:hAnsi="宋体" w:eastAsia="宋体" w:cs="宋体"/>
          <w:color w:val="auto"/>
          <w:spacing w:val="0"/>
          <w:w w:val="100"/>
          <w:position w:val="0"/>
          <w:sz w:val="24"/>
          <w:szCs w:val="24"/>
          <w:highlight w:val="none"/>
          <w:lang w:val="en-US" w:eastAsia="zh-CN"/>
        </w:rPr>
        <w:t>，中标</w:t>
      </w:r>
      <w:r>
        <w:rPr>
          <w:rFonts w:hint="eastAsia" w:ascii="宋体" w:hAnsi="宋体" w:eastAsia="宋体" w:cs="宋体"/>
          <w:color w:val="auto"/>
          <w:spacing w:val="0"/>
          <w:w w:val="100"/>
          <w:position w:val="0"/>
          <w:sz w:val="24"/>
          <w:szCs w:val="24"/>
          <w:highlight w:val="none"/>
          <w:lang w:eastAsia="zh-CN"/>
        </w:rPr>
        <w:t>价（</w:t>
      </w:r>
      <w:r>
        <w:rPr>
          <w:rFonts w:hint="eastAsia" w:ascii="宋体" w:hAnsi="宋体" w:eastAsia="宋体" w:cs="宋体"/>
          <w:color w:val="auto"/>
          <w:spacing w:val="0"/>
          <w:w w:val="100"/>
          <w:position w:val="0"/>
          <w:sz w:val="24"/>
          <w:szCs w:val="24"/>
          <w:highlight w:val="none"/>
          <w:lang w:val="en-US" w:eastAsia="zh-CN"/>
        </w:rPr>
        <w:t>签约合同价</w:t>
      </w:r>
      <w:r>
        <w:rPr>
          <w:rFonts w:hint="eastAsia" w:ascii="宋体" w:hAnsi="宋体" w:eastAsia="宋体" w:cs="宋体"/>
          <w:color w:val="auto"/>
          <w:spacing w:val="0"/>
          <w:w w:val="100"/>
          <w:position w:val="0"/>
          <w:sz w:val="24"/>
          <w:szCs w:val="24"/>
          <w:highlight w:val="none"/>
          <w:lang w:eastAsia="zh-CN"/>
        </w:rPr>
        <w:t>）包含设备、材料、装卸费、安装、调试费、检测验收费、场内二次搬运费、保管、维修备件、专用设施设备、管理费、利润、税金、技术资料及检测、验收费用、软件更新升级费用、</w:t>
      </w:r>
      <w:r>
        <w:rPr>
          <w:rFonts w:hint="eastAsia" w:ascii="宋体" w:hAnsi="宋体" w:eastAsia="宋体" w:cs="宋体"/>
          <w:color w:val="auto"/>
          <w:spacing w:val="0"/>
          <w:position w:val="0"/>
          <w:sz w:val="24"/>
          <w:szCs w:val="24"/>
          <w:highlight w:val="none"/>
          <w:lang w:val="en-US" w:eastAsia="zh-CN"/>
        </w:rPr>
        <w:t>免费维修服务</w:t>
      </w:r>
      <w:r>
        <w:rPr>
          <w:rFonts w:hint="eastAsia" w:ascii="宋体" w:hAnsi="宋体" w:eastAsia="宋体" w:cs="宋体"/>
          <w:color w:val="auto"/>
          <w:spacing w:val="0"/>
          <w:w w:val="100"/>
          <w:position w:val="0"/>
          <w:sz w:val="24"/>
          <w:szCs w:val="24"/>
          <w:highlight w:val="none"/>
          <w:lang w:eastAsia="zh-CN"/>
        </w:rPr>
        <w:t>期内维修费用和相关技术服务费用等在内的一切费用。</w:t>
      </w:r>
    </w:p>
    <w:p w14:paraId="0F4EB81E">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7.</w:t>
      </w:r>
      <w:r>
        <w:rPr>
          <w:rFonts w:hint="eastAsia" w:ascii="宋体" w:hAnsi="宋体" w:eastAsia="宋体" w:cs="宋体"/>
          <w:b w:val="0"/>
          <w:bCs w:val="0"/>
          <w:color w:val="auto"/>
          <w:spacing w:val="0"/>
          <w:w w:val="100"/>
          <w:position w:val="0"/>
          <w:sz w:val="24"/>
          <w:szCs w:val="24"/>
          <w:highlight w:val="none"/>
          <w:lang w:eastAsia="zh-CN"/>
        </w:rPr>
        <w:t>中标人所投产品接入医院信息系统所产生</w:t>
      </w:r>
      <w:r>
        <w:rPr>
          <w:rFonts w:hint="eastAsia" w:ascii="宋体" w:hAnsi="宋体" w:eastAsia="宋体" w:cs="宋体"/>
          <w:b w:val="0"/>
          <w:bCs w:val="0"/>
          <w:color w:val="auto"/>
          <w:spacing w:val="0"/>
          <w:w w:val="100"/>
          <w:position w:val="0"/>
          <w:sz w:val="24"/>
          <w:szCs w:val="24"/>
          <w:highlight w:val="none"/>
          <w:lang w:val="en-US" w:eastAsia="zh-CN"/>
        </w:rPr>
        <w:t>相关</w:t>
      </w:r>
      <w:r>
        <w:rPr>
          <w:rFonts w:hint="eastAsia" w:ascii="宋体" w:hAnsi="宋体" w:eastAsia="宋体" w:cs="宋体"/>
          <w:b w:val="0"/>
          <w:bCs w:val="0"/>
          <w:color w:val="auto"/>
          <w:spacing w:val="0"/>
          <w:w w:val="100"/>
          <w:position w:val="0"/>
          <w:sz w:val="24"/>
          <w:szCs w:val="24"/>
          <w:highlight w:val="none"/>
          <w:lang w:eastAsia="zh-CN"/>
        </w:rPr>
        <w:t>费用由中标人支付。</w:t>
      </w:r>
    </w:p>
    <w:p w14:paraId="1B0381C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8.</w:t>
      </w:r>
      <w:r>
        <w:rPr>
          <w:rFonts w:hint="eastAsia" w:ascii="宋体" w:hAnsi="宋体" w:eastAsia="宋体" w:cs="宋体"/>
          <w:color w:val="auto"/>
          <w:spacing w:val="0"/>
          <w:w w:val="100"/>
          <w:position w:val="0"/>
          <w:sz w:val="24"/>
          <w:szCs w:val="24"/>
          <w:highlight w:val="none"/>
          <w:lang w:eastAsia="zh-CN"/>
        </w:rPr>
        <w:t>中标人在</w:t>
      </w:r>
      <w:r>
        <w:rPr>
          <w:rFonts w:hint="eastAsia" w:ascii="宋体" w:hAnsi="宋体" w:eastAsia="宋体" w:cs="宋体"/>
          <w:color w:val="auto"/>
          <w:spacing w:val="0"/>
          <w:w w:val="100"/>
          <w:position w:val="0"/>
          <w:sz w:val="24"/>
          <w:szCs w:val="24"/>
          <w:highlight w:val="none"/>
          <w:lang w:val="en-US" w:eastAsia="zh-CN"/>
        </w:rPr>
        <w:t>履约服务期</w:t>
      </w:r>
      <w:r>
        <w:rPr>
          <w:rFonts w:hint="eastAsia" w:ascii="宋体" w:hAnsi="宋体" w:eastAsia="宋体" w:cs="宋体"/>
          <w:color w:val="auto"/>
          <w:spacing w:val="0"/>
          <w:w w:val="100"/>
          <w:position w:val="0"/>
          <w:sz w:val="24"/>
          <w:szCs w:val="24"/>
          <w:highlight w:val="none"/>
          <w:lang w:eastAsia="zh-CN"/>
        </w:rPr>
        <w:t>中发生的重大人员、产品质量事故，或因中标人管理不善等原因造成的人员伤亡等责任事故均由中标人负责，采购人不承担任何法律及经济责任。</w:t>
      </w:r>
    </w:p>
    <w:p w14:paraId="2E7CF10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9.</w:t>
      </w:r>
      <w:r>
        <w:rPr>
          <w:rFonts w:hint="eastAsia" w:ascii="宋体" w:hAnsi="宋体" w:eastAsia="宋体" w:cs="宋体"/>
          <w:color w:val="auto"/>
          <w:spacing w:val="0"/>
          <w:w w:val="100"/>
          <w:position w:val="0"/>
          <w:sz w:val="24"/>
          <w:szCs w:val="24"/>
          <w:highlight w:val="none"/>
          <w:lang w:eastAsia="zh-CN"/>
        </w:rPr>
        <w:t>中标人应加强相应管理，若因中标人管理不善或操作不当等原因造成重大事故和损失的，由中标人承担责任并负责善后处理；采购人不承担任何责任。</w:t>
      </w:r>
    </w:p>
    <w:p w14:paraId="0775C8A5">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10.</w:t>
      </w:r>
      <w:r>
        <w:rPr>
          <w:rFonts w:hint="eastAsia" w:ascii="宋体" w:hAnsi="宋体" w:eastAsia="宋体" w:cs="宋体"/>
          <w:color w:val="auto"/>
          <w:spacing w:val="0"/>
          <w:w w:val="100"/>
          <w:position w:val="0"/>
          <w:sz w:val="24"/>
          <w:szCs w:val="24"/>
          <w:highlight w:val="none"/>
          <w:lang w:eastAsia="zh-CN"/>
        </w:rPr>
        <w:t>中标人所提供的产品必须为全新，应保证采购人在使用所供货物或其任何一部分时，不受第三方提出侵犯其专利权、商标权和设计权的起诉。如果任何第三方提出侵权指控或赔偿要求，中标人必须与第三方交涉，并承担发生和可能发生的一切损失、费用和法律责任。在侵权争议期间，中标人应承担因争议导致的临时替代、升级或更换的所有费用。</w:t>
      </w:r>
    </w:p>
    <w:p w14:paraId="7177996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w:t>
      </w:r>
      <w:r>
        <w:rPr>
          <w:rFonts w:hint="eastAsia" w:ascii="宋体" w:hAnsi="宋体" w:eastAsia="宋体" w:cs="宋体"/>
          <w:color w:val="auto"/>
          <w:spacing w:val="0"/>
          <w:w w:val="100"/>
          <w:position w:val="0"/>
          <w:sz w:val="24"/>
          <w:szCs w:val="24"/>
          <w:highlight w:val="none"/>
          <w:lang w:val="en-US" w:eastAsia="zh-CN"/>
        </w:rPr>
        <w:t>1.招</w:t>
      </w:r>
      <w:r>
        <w:rPr>
          <w:rFonts w:hint="eastAsia" w:ascii="宋体" w:hAnsi="宋体" w:eastAsia="宋体" w:cs="宋体"/>
          <w:color w:val="auto"/>
          <w:spacing w:val="0"/>
          <w:w w:val="100"/>
          <w:position w:val="0"/>
          <w:sz w:val="24"/>
          <w:szCs w:val="24"/>
          <w:highlight w:val="none"/>
          <w:lang w:eastAsia="zh-CN"/>
        </w:rPr>
        <w:t>标文件中未明确或未作要求但又与完成本项目相关的货物工作内容或其他事宜均包含在完成本项目货物工作内容中，中标人须无条件完成相应的工作内容。采购人不再另行支付工作范围内的任何费用。</w:t>
      </w:r>
    </w:p>
    <w:p w14:paraId="245A8D8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如采购人在项目的实施过程中对采购货物的需求发生变化，须按照政府采购相关法规规定执行。</w:t>
      </w:r>
    </w:p>
    <w:p w14:paraId="48A26E01">
      <w:pPr>
        <w:rPr>
          <w:highlight w:val="none"/>
        </w:rPr>
      </w:pPr>
    </w:p>
    <w:p w14:paraId="696743E1">
      <w:pPr>
        <w:pageBreakBefore w:val="0"/>
        <w:widowControl w:val="0"/>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 xml:space="preserve"> </w:t>
      </w:r>
      <w:r>
        <w:rPr>
          <w:rFonts w:hint="eastAsia" w:ascii="宋体" w:hAnsi="宋体" w:eastAsia="宋体" w:cs="宋体"/>
          <w:b/>
          <w:bCs/>
          <w:color w:val="auto"/>
          <w:spacing w:val="0"/>
          <w:w w:val="100"/>
          <w:position w:val="0"/>
          <w:sz w:val="24"/>
          <w:szCs w:val="24"/>
          <w:highlight w:val="none"/>
          <w:lang w:eastAsia="zh-CN"/>
        </w:rPr>
        <w:t>以上采购需求（</w:t>
      </w:r>
      <w:r>
        <w:rPr>
          <w:rFonts w:hint="eastAsia" w:ascii="宋体" w:hAnsi="宋体" w:eastAsia="宋体" w:cs="宋体"/>
          <w:b/>
          <w:bCs/>
          <w:color w:val="auto"/>
          <w:spacing w:val="0"/>
          <w:w w:val="100"/>
          <w:position w:val="0"/>
          <w:sz w:val="24"/>
          <w:szCs w:val="24"/>
          <w:highlight w:val="none"/>
          <w:lang w:val="en-US" w:eastAsia="zh-CN"/>
        </w:rPr>
        <w:t>含</w:t>
      </w:r>
      <w:r>
        <w:rPr>
          <w:rFonts w:hint="eastAsia" w:ascii="宋体" w:hAnsi="宋体" w:eastAsia="宋体" w:cs="宋体"/>
          <w:b/>
          <w:bCs/>
          <w:color w:val="auto"/>
          <w:spacing w:val="0"/>
          <w:w w:val="100"/>
          <w:position w:val="0"/>
          <w:sz w:val="24"/>
          <w:szCs w:val="24"/>
          <w:highlight w:val="none"/>
          <w:lang w:eastAsia="zh-CN"/>
        </w:rPr>
        <w:t>采购清单、技术</w:t>
      </w:r>
      <w:r>
        <w:rPr>
          <w:rFonts w:hint="eastAsia" w:ascii="宋体" w:hAnsi="宋体" w:eastAsia="宋体" w:cs="宋体"/>
          <w:b/>
          <w:bCs/>
          <w:color w:val="auto"/>
          <w:spacing w:val="0"/>
          <w:w w:val="100"/>
          <w:position w:val="0"/>
          <w:sz w:val="24"/>
          <w:szCs w:val="24"/>
          <w:highlight w:val="none"/>
          <w:lang w:val="en-US" w:eastAsia="zh-CN"/>
        </w:rPr>
        <w:t>需</w:t>
      </w:r>
      <w:r>
        <w:rPr>
          <w:rFonts w:hint="eastAsia" w:ascii="宋体" w:hAnsi="宋体" w:eastAsia="宋体" w:cs="宋体"/>
          <w:b/>
          <w:bCs/>
          <w:color w:val="auto"/>
          <w:spacing w:val="0"/>
          <w:w w:val="100"/>
          <w:position w:val="0"/>
          <w:sz w:val="24"/>
          <w:szCs w:val="24"/>
          <w:highlight w:val="none"/>
          <w:lang w:eastAsia="zh-CN"/>
        </w:rPr>
        <w:t>求、商务条款）不</w:t>
      </w:r>
      <w:r>
        <w:rPr>
          <w:rFonts w:hint="eastAsia" w:ascii="宋体" w:hAnsi="宋体" w:eastAsia="宋体" w:cs="宋体"/>
          <w:b/>
          <w:bCs/>
          <w:color w:val="auto"/>
          <w:spacing w:val="0"/>
          <w:w w:val="100"/>
          <w:position w:val="0"/>
          <w:sz w:val="24"/>
          <w:szCs w:val="24"/>
          <w:highlight w:val="none"/>
          <w:lang w:val="en-US" w:eastAsia="zh-CN"/>
        </w:rPr>
        <w:t>接受</w:t>
      </w:r>
      <w:r>
        <w:rPr>
          <w:rFonts w:hint="eastAsia" w:ascii="宋体" w:hAnsi="宋体" w:eastAsia="宋体" w:cs="宋体"/>
          <w:b/>
          <w:bCs/>
          <w:color w:val="auto"/>
          <w:spacing w:val="0"/>
          <w:w w:val="100"/>
          <w:position w:val="0"/>
          <w:sz w:val="24"/>
          <w:szCs w:val="24"/>
          <w:highlight w:val="none"/>
          <w:lang w:eastAsia="zh-CN"/>
        </w:rPr>
        <w:t>负偏离。</w:t>
      </w:r>
    </w:p>
    <w:p w14:paraId="249B3190">
      <w:bookmarkStart w:id="1" w:name="_GoBack"/>
      <w:bookmarkEnd w:id="1"/>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0B3BD">
    <w:pPr>
      <w:pStyle w:val="6"/>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43F0C8">
                          <w:pPr>
                            <w:pStyle w:val="6"/>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3243F0C8">
                    <w:pPr>
                      <w:pStyle w:val="6"/>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3D77D8"/>
    <w:multiLevelType w:val="singleLevel"/>
    <w:tmpl w:val="DB3D77D8"/>
    <w:lvl w:ilvl="0" w:tentative="0">
      <w:start w:val="2"/>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313BC7"/>
    <w:rsid w:val="18A23FFA"/>
    <w:rsid w:val="5C313B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footer"/>
    <w:basedOn w:val="1"/>
    <w:qFormat/>
    <w:uiPriority w:val="0"/>
    <w:pPr>
      <w:tabs>
        <w:tab w:val="center" w:pos="4153"/>
        <w:tab w:val="right" w:pos="8306"/>
      </w:tabs>
    </w:pPr>
    <w:rPr>
      <w:sz w:val="18"/>
    </w:rPr>
  </w:style>
  <w:style w:type="paragraph" w:styleId="7">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 w:type="table" w:customStyle="1" w:styleId="12">
    <w:name w:val="Table Normal"/>
    <w:semiHidden/>
    <w:unhideWhenUsed/>
    <w:qFormat/>
    <w:uiPriority w:val="0"/>
    <w:tblPr>
      <w:tblCellMar>
        <w:top w:w="0" w:type="dxa"/>
        <w:left w:w="0" w:type="dxa"/>
        <w:bottom w:w="0" w:type="dxa"/>
        <w:right w:w="0" w:type="dxa"/>
      </w:tblCellMar>
    </w:tblPr>
  </w:style>
  <w:style w:type="paragraph" w:customStyle="1" w:styleId="13">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2026-06-18T08:27:00Z</dcterms:created>
  <dc:creator>Administrator</dc:creator>
  <cp:lastModifiedBy>Administrator</cp:lastModifiedBy>
  <dcterms:modified xsi:type="dcterms:W3CDTF">2026-06-18T08:55:32Z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F75F4ACC0B54425C80886B78BF192E3B_13</vt:lpwstr>
  </property>
  <property fmtid="{D5CDD505-2E9C-101B-9397-08002B2CF9AE}" pid="4" name="KSOTemplateDocerSaveRecord">
    <vt:lpwstr>eyJoZGlkIjoiNjhlYWExYWE0NGM2ZDkzN2NjNTkzZWVjZGJiZjcyNzYiLCJ1c2VySWQiOiIzNzE0NDQwNDAifQ==</vt:lpwstr>
  </property>
</Properties>
</file>