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303387">
      <w:pPr>
        <w:pageBreakBefore w:val="0"/>
        <w:widowControl w:val="0"/>
        <w:wordWrap/>
        <w:overflowPunct/>
        <w:topLinePunct w:val="0"/>
        <w:bidi w:val="0"/>
        <w:spacing w:line="360" w:lineRule="auto"/>
        <w:ind w:left="3805"/>
        <w:outlineLvl w:val="1"/>
        <w:rPr>
          <w:rFonts w:hint="eastAsia" w:ascii="黑体" w:hAnsi="黑体" w:eastAsia="黑体" w:cs="黑体"/>
          <w:color w:val="auto"/>
          <w:spacing w:val="0"/>
          <w:w w:val="100"/>
          <w:position w:val="0"/>
          <w:sz w:val="24"/>
          <w:szCs w:val="24"/>
          <w:highlight w:val="none"/>
        </w:rPr>
      </w:pPr>
      <w:bookmarkStart w:id="5" w:name="_GoBack"/>
      <w:bookmarkEnd w:id="5"/>
      <w:bookmarkStart w:id="0" w:name="_Toc18151"/>
      <w:bookmarkStart w:id="1" w:name="_Toc22458"/>
      <w:bookmarkStart w:id="2" w:name="_Toc32310"/>
      <w:r>
        <w:rPr>
          <w:rFonts w:hint="eastAsia" w:ascii="黑体" w:hAnsi="黑体" w:eastAsia="黑体" w:cs="黑体"/>
          <w:color w:val="auto"/>
          <w:spacing w:val="0"/>
          <w:w w:val="100"/>
          <w:position w:val="0"/>
          <w:sz w:val="24"/>
          <w:szCs w:val="24"/>
          <w:highlight w:val="none"/>
          <w14:textOutline w14:w="4356" w14:cap="sq" w14:cmpd="sng" w14:algn="ctr">
            <w14:solidFill>
              <w14:srgbClr w14:val="000000"/>
            </w14:solidFill>
            <w14:prstDash w14:val="solid"/>
            <w14:bevel/>
          </w14:textOutline>
        </w:rPr>
        <w:t>采购</w:t>
      </w:r>
      <w:r>
        <w:rPr>
          <w:rFonts w:hint="eastAsia" w:ascii="黑体" w:hAnsi="黑体" w:eastAsia="黑体" w:cs="黑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要</w:t>
      </w:r>
      <w:r>
        <w:rPr>
          <w:rFonts w:hint="eastAsia" w:ascii="黑体" w:hAnsi="黑体" w:eastAsia="黑体" w:cs="黑体"/>
          <w:color w:val="auto"/>
          <w:spacing w:val="0"/>
          <w:w w:val="100"/>
          <w:position w:val="0"/>
          <w:sz w:val="24"/>
          <w:szCs w:val="24"/>
          <w:highlight w:val="none"/>
          <w14:textOutline w14:w="4356" w14:cap="sq" w14:cmpd="sng" w14:algn="ctr">
            <w14:solidFill>
              <w14:srgbClr w14:val="000000"/>
            </w14:solidFill>
            <w14:prstDash w14:val="solid"/>
            <w14:bevel/>
          </w14:textOutline>
        </w:rPr>
        <w:t>求</w:t>
      </w:r>
      <w:bookmarkEnd w:id="0"/>
      <w:bookmarkEnd w:id="1"/>
      <w:bookmarkEnd w:id="2"/>
    </w:p>
    <w:p w14:paraId="7C2A6BC6">
      <w:pPr>
        <w:pStyle w:val="4"/>
        <w:keepNext w:val="0"/>
        <w:keepLines w:val="0"/>
        <w:pageBreakBefore w:val="0"/>
        <w:widowControl/>
        <w:kinsoku w:val="0"/>
        <w:wordWrap/>
        <w:overflowPunct/>
        <w:topLinePunct w:val="0"/>
        <w:autoSpaceDE w:val="0"/>
        <w:autoSpaceDN w:val="0"/>
        <w:bidi w:val="0"/>
        <w:adjustRightInd w:val="0"/>
        <w:snapToGrid w:val="0"/>
        <w:spacing w:line="360" w:lineRule="auto"/>
        <w:ind w:firstLine="486" w:firstLineChars="200"/>
        <w:textAlignment w:val="baseline"/>
        <w:outlineLvl w:val="2"/>
        <w:rPr>
          <w:rFonts w:hint="eastAsia" w:ascii="黑体" w:hAnsi="黑体" w:eastAsia="黑体" w:cs="黑体"/>
          <w:b/>
          <w:bCs/>
          <w:color w:val="auto"/>
          <w:spacing w:val="1"/>
          <w:sz w:val="24"/>
          <w:szCs w:val="24"/>
          <w:highlight w:val="none"/>
          <w:lang w:val="en-US" w:eastAsia="zh-CN"/>
        </w:rPr>
      </w:pPr>
      <w:bookmarkStart w:id="3" w:name="_Toc18748"/>
      <w:bookmarkStart w:id="4" w:name="_Toc16211"/>
      <w:r>
        <w:rPr>
          <w:rFonts w:hint="eastAsia" w:ascii="黑体" w:hAnsi="黑体" w:eastAsia="黑体" w:cs="黑体"/>
          <w:b/>
          <w:bCs/>
          <w:color w:val="auto"/>
          <w:spacing w:val="1"/>
          <w:sz w:val="24"/>
          <w:szCs w:val="24"/>
          <w:highlight w:val="none"/>
          <w:lang w:val="en-US" w:eastAsia="zh-CN"/>
        </w:rPr>
        <w:t>（一）服务内容及范围</w:t>
      </w:r>
      <w:bookmarkEnd w:id="3"/>
      <w:bookmarkEnd w:id="4"/>
    </w:p>
    <w:p w14:paraId="00B221E0">
      <w:pPr>
        <w:pStyle w:val="4"/>
        <w:keepNext w:val="0"/>
        <w:keepLines w:val="0"/>
        <w:pageBreakBefore w:val="0"/>
        <w:widowControl/>
        <w:kinsoku w:val="0"/>
        <w:wordWrap/>
        <w:overflowPunct/>
        <w:topLinePunct w:val="0"/>
        <w:autoSpaceDE w:val="0"/>
        <w:autoSpaceDN w:val="0"/>
        <w:bidi w:val="0"/>
        <w:adjustRightInd w:val="0"/>
        <w:snapToGrid w:val="0"/>
        <w:spacing w:line="360" w:lineRule="auto"/>
        <w:ind w:firstLine="484" w:firstLineChars="200"/>
        <w:textAlignment w:val="baseline"/>
        <w:rPr>
          <w:rFonts w:hint="eastAsia" w:ascii="黑体" w:hAnsi="黑体" w:eastAsia="黑体" w:cs="黑体"/>
          <w:color w:val="auto"/>
          <w:spacing w:val="1"/>
          <w:sz w:val="24"/>
          <w:szCs w:val="24"/>
          <w:highlight w:val="none"/>
          <w:lang w:val="en-US" w:eastAsia="zh-CN"/>
        </w:rPr>
      </w:pPr>
      <w:r>
        <w:rPr>
          <w:rFonts w:hint="eastAsia" w:ascii="黑体" w:hAnsi="黑体" w:eastAsia="黑体" w:cs="黑体"/>
          <w:color w:val="auto"/>
          <w:spacing w:val="1"/>
          <w:sz w:val="24"/>
          <w:szCs w:val="24"/>
          <w:highlight w:val="none"/>
          <w:lang w:val="en-US" w:eastAsia="zh-CN"/>
        </w:rPr>
        <w:t>本项目为包工包料、包设备、包人工、包管理、包安全、包税费的全包干服务，服务内容覆盖月湖区指定范围内园林绿化养护全流程及配套保障工作，包含日常固定服务及临时性、突发性工作，具体如下：</w:t>
      </w:r>
    </w:p>
    <w:p w14:paraId="70DE8AB2">
      <w:pPr>
        <w:pStyle w:val="4"/>
        <w:keepNext w:val="0"/>
        <w:keepLines w:val="0"/>
        <w:pageBreakBefore w:val="0"/>
        <w:widowControl/>
        <w:kinsoku w:val="0"/>
        <w:wordWrap/>
        <w:overflowPunct/>
        <w:topLinePunct w:val="0"/>
        <w:autoSpaceDE w:val="0"/>
        <w:autoSpaceDN w:val="0"/>
        <w:bidi w:val="0"/>
        <w:adjustRightInd w:val="0"/>
        <w:snapToGrid w:val="0"/>
        <w:spacing w:line="360" w:lineRule="auto"/>
        <w:ind w:firstLine="484" w:firstLineChars="200"/>
        <w:textAlignment w:val="baseline"/>
        <w:rPr>
          <w:rFonts w:hint="eastAsia" w:ascii="黑体" w:hAnsi="黑体" w:eastAsia="黑体" w:cs="黑体"/>
          <w:color w:val="auto"/>
          <w:spacing w:val="1"/>
          <w:sz w:val="24"/>
          <w:szCs w:val="24"/>
          <w:highlight w:val="none"/>
          <w:lang w:val="en-US" w:eastAsia="zh-CN"/>
        </w:rPr>
      </w:pPr>
      <w:r>
        <w:rPr>
          <w:rFonts w:hint="eastAsia" w:ascii="黑体" w:hAnsi="黑体" w:eastAsia="黑体" w:cs="黑体"/>
          <w:color w:val="auto"/>
          <w:spacing w:val="1"/>
          <w:sz w:val="24"/>
          <w:szCs w:val="24"/>
          <w:highlight w:val="none"/>
          <w:lang w:val="en-US" w:eastAsia="zh-CN"/>
        </w:rPr>
        <w:t>1.草坪养护：81885.79㎡草坪二级养护，含绿化带内清扫垃圾等保洁服务，确保草坪生长良好、无裸露、无杂草、无垃圾；</w:t>
      </w:r>
    </w:p>
    <w:p w14:paraId="390DD6B8">
      <w:pPr>
        <w:pStyle w:val="4"/>
        <w:keepNext w:val="0"/>
        <w:keepLines w:val="0"/>
        <w:pageBreakBefore w:val="0"/>
        <w:widowControl/>
        <w:kinsoku w:val="0"/>
        <w:wordWrap/>
        <w:overflowPunct/>
        <w:topLinePunct w:val="0"/>
        <w:autoSpaceDE w:val="0"/>
        <w:autoSpaceDN w:val="0"/>
        <w:bidi w:val="0"/>
        <w:adjustRightInd w:val="0"/>
        <w:snapToGrid w:val="0"/>
        <w:spacing w:line="360" w:lineRule="auto"/>
        <w:ind w:firstLine="484" w:firstLineChars="200"/>
        <w:textAlignment w:val="baseline"/>
        <w:rPr>
          <w:rFonts w:hint="eastAsia" w:ascii="黑体" w:hAnsi="黑体" w:eastAsia="黑体" w:cs="黑体"/>
          <w:color w:val="auto"/>
          <w:spacing w:val="1"/>
          <w:sz w:val="24"/>
          <w:szCs w:val="24"/>
          <w:highlight w:val="none"/>
          <w:lang w:val="en-US" w:eastAsia="zh-CN"/>
        </w:rPr>
      </w:pPr>
      <w:r>
        <w:rPr>
          <w:rFonts w:hint="eastAsia" w:ascii="黑体" w:hAnsi="黑体" w:eastAsia="黑体" w:cs="黑体"/>
          <w:color w:val="auto"/>
          <w:spacing w:val="1"/>
          <w:sz w:val="24"/>
          <w:szCs w:val="24"/>
          <w:highlight w:val="none"/>
          <w:lang w:val="en-US" w:eastAsia="zh-CN"/>
        </w:rPr>
        <w:t>2.行道树养护：11989株行道树养护（一级养护），含修剪、施肥、浇水、病虫害防治、涂白、支撑加固等；</w:t>
      </w:r>
    </w:p>
    <w:p w14:paraId="4C1954C3">
      <w:pPr>
        <w:pStyle w:val="4"/>
        <w:keepNext w:val="0"/>
        <w:keepLines w:val="0"/>
        <w:pageBreakBefore w:val="0"/>
        <w:widowControl/>
        <w:kinsoku w:val="0"/>
        <w:wordWrap/>
        <w:overflowPunct/>
        <w:topLinePunct w:val="0"/>
        <w:autoSpaceDE w:val="0"/>
        <w:autoSpaceDN w:val="0"/>
        <w:bidi w:val="0"/>
        <w:adjustRightInd w:val="0"/>
        <w:snapToGrid w:val="0"/>
        <w:spacing w:line="360" w:lineRule="auto"/>
        <w:ind w:firstLine="484" w:firstLineChars="200"/>
        <w:textAlignment w:val="baseline"/>
        <w:rPr>
          <w:rFonts w:hint="eastAsia" w:ascii="黑体" w:hAnsi="黑体" w:eastAsia="黑体" w:cs="黑体"/>
          <w:color w:val="auto"/>
          <w:spacing w:val="1"/>
          <w:sz w:val="24"/>
          <w:szCs w:val="24"/>
          <w:highlight w:val="none"/>
          <w:lang w:val="en-US" w:eastAsia="zh-CN"/>
        </w:rPr>
      </w:pPr>
      <w:r>
        <w:rPr>
          <w:rFonts w:hint="eastAsia" w:ascii="黑体" w:hAnsi="黑体" w:eastAsia="黑体" w:cs="黑体"/>
          <w:color w:val="auto"/>
          <w:spacing w:val="1"/>
          <w:sz w:val="24"/>
          <w:szCs w:val="24"/>
          <w:highlight w:val="none"/>
          <w:lang w:val="en-US" w:eastAsia="zh-CN"/>
        </w:rPr>
        <w:t>3.花箱种花：50座花箱的季节性花卉种植、更换及养护，保证花箱常年有花、景观效果良好；</w:t>
      </w:r>
    </w:p>
    <w:p w14:paraId="39EC9996">
      <w:pPr>
        <w:pStyle w:val="4"/>
        <w:keepNext w:val="0"/>
        <w:keepLines w:val="0"/>
        <w:pageBreakBefore w:val="0"/>
        <w:widowControl/>
        <w:kinsoku w:val="0"/>
        <w:wordWrap/>
        <w:overflowPunct/>
        <w:topLinePunct w:val="0"/>
        <w:autoSpaceDE w:val="0"/>
        <w:autoSpaceDN w:val="0"/>
        <w:bidi w:val="0"/>
        <w:adjustRightInd w:val="0"/>
        <w:snapToGrid w:val="0"/>
        <w:spacing w:line="360" w:lineRule="auto"/>
        <w:ind w:firstLine="484" w:firstLineChars="200"/>
        <w:textAlignment w:val="baseline"/>
        <w:rPr>
          <w:rFonts w:hint="eastAsia" w:ascii="黑体" w:hAnsi="黑体" w:eastAsia="黑体" w:cs="黑体"/>
          <w:color w:val="auto"/>
          <w:spacing w:val="1"/>
          <w:sz w:val="24"/>
          <w:szCs w:val="24"/>
          <w:highlight w:val="none"/>
          <w:lang w:val="en-US" w:eastAsia="zh-CN"/>
        </w:rPr>
      </w:pPr>
      <w:r>
        <w:rPr>
          <w:rFonts w:hint="eastAsia" w:ascii="黑体" w:hAnsi="黑体" w:eastAsia="黑体" w:cs="黑体"/>
          <w:color w:val="auto"/>
          <w:spacing w:val="1"/>
          <w:sz w:val="24"/>
          <w:szCs w:val="24"/>
          <w:highlight w:val="none"/>
          <w:lang w:val="en-US" w:eastAsia="zh-CN"/>
        </w:rPr>
        <w:t>4.设施配合管理：配合采购人更换损坏花箱、张贴/更新绿化宣传标识，每日巡查绿化设施完好情况并及时上报；</w:t>
      </w:r>
    </w:p>
    <w:p w14:paraId="5D374FD4">
      <w:pPr>
        <w:pStyle w:val="4"/>
        <w:keepNext w:val="0"/>
        <w:keepLines w:val="0"/>
        <w:pageBreakBefore w:val="0"/>
        <w:widowControl/>
        <w:kinsoku w:val="0"/>
        <w:wordWrap/>
        <w:overflowPunct/>
        <w:topLinePunct w:val="0"/>
        <w:autoSpaceDE w:val="0"/>
        <w:autoSpaceDN w:val="0"/>
        <w:bidi w:val="0"/>
        <w:adjustRightInd w:val="0"/>
        <w:snapToGrid w:val="0"/>
        <w:spacing w:line="360" w:lineRule="auto"/>
        <w:ind w:firstLine="484" w:firstLineChars="200"/>
        <w:textAlignment w:val="baseline"/>
        <w:rPr>
          <w:rFonts w:hint="eastAsia" w:ascii="黑体" w:hAnsi="黑体" w:eastAsia="黑体" w:cs="黑体"/>
          <w:color w:val="auto"/>
          <w:spacing w:val="1"/>
          <w:sz w:val="24"/>
          <w:szCs w:val="24"/>
          <w:highlight w:val="none"/>
          <w:lang w:val="en-US" w:eastAsia="zh-CN"/>
        </w:rPr>
      </w:pPr>
      <w:r>
        <w:rPr>
          <w:rFonts w:hint="eastAsia" w:ascii="黑体" w:hAnsi="黑体" w:eastAsia="黑体" w:cs="黑体"/>
          <w:color w:val="auto"/>
          <w:spacing w:val="1"/>
          <w:sz w:val="24"/>
          <w:szCs w:val="24"/>
          <w:highlight w:val="none"/>
          <w:lang w:val="en-US" w:eastAsia="zh-CN"/>
        </w:rPr>
        <w:t>5.应急及临时工作：响应重大活动、高温/干旱/台风等特殊时段的作业要求，配合城市创建、迎检整治等临时性工作，处置突发绿化环境问题。</w:t>
      </w:r>
    </w:p>
    <w:p w14:paraId="1FB9C56C">
      <w:pPr>
        <w:pStyle w:val="4"/>
        <w:keepNext w:val="0"/>
        <w:keepLines w:val="0"/>
        <w:pageBreakBefore w:val="0"/>
        <w:widowControl/>
        <w:kinsoku w:val="0"/>
        <w:wordWrap/>
        <w:overflowPunct/>
        <w:topLinePunct w:val="0"/>
        <w:autoSpaceDE w:val="0"/>
        <w:autoSpaceDN w:val="0"/>
        <w:bidi w:val="0"/>
        <w:adjustRightInd w:val="0"/>
        <w:snapToGrid w:val="0"/>
        <w:spacing w:line="360" w:lineRule="auto"/>
        <w:ind w:firstLine="484" w:firstLineChars="200"/>
        <w:textAlignment w:val="baseline"/>
        <w:rPr>
          <w:rFonts w:hint="eastAsia" w:ascii="黑体" w:hAnsi="黑体" w:eastAsia="黑体" w:cs="黑体"/>
          <w:color w:val="auto"/>
          <w:spacing w:val="1"/>
          <w:sz w:val="24"/>
          <w:szCs w:val="24"/>
          <w:highlight w:val="none"/>
          <w:lang w:val="en-US" w:eastAsia="zh-CN"/>
        </w:rPr>
      </w:pPr>
      <w:r>
        <w:rPr>
          <w:rFonts w:hint="eastAsia" w:ascii="黑体" w:hAnsi="黑体" w:eastAsia="黑体" w:cs="黑体"/>
          <w:color w:val="auto"/>
          <w:spacing w:val="1"/>
          <w:sz w:val="24"/>
          <w:szCs w:val="24"/>
          <w:highlight w:val="none"/>
          <w:lang w:val="en-US" w:eastAsia="zh-CN"/>
        </w:rPr>
        <w:t>6.绿化垃圾清理与清运：服务范围内的零星树枝、树叶、杂草等所有绿化养护产生的垃圾，由中标人负责每日清理、集中堆放并合法合规清运处置，做到“日产日清”，不得随意倾倒或焚烧。</w:t>
      </w:r>
    </w:p>
    <w:p w14:paraId="325BB8E7">
      <w:pPr>
        <w:pStyle w:val="4"/>
        <w:keepNext w:val="0"/>
        <w:keepLines w:val="0"/>
        <w:pageBreakBefore w:val="0"/>
        <w:widowControl/>
        <w:kinsoku w:val="0"/>
        <w:wordWrap/>
        <w:overflowPunct/>
        <w:topLinePunct w:val="0"/>
        <w:autoSpaceDE w:val="0"/>
        <w:autoSpaceDN w:val="0"/>
        <w:bidi w:val="0"/>
        <w:adjustRightInd w:val="0"/>
        <w:snapToGrid w:val="0"/>
        <w:spacing w:line="360" w:lineRule="auto"/>
        <w:ind w:firstLine="484" w:firstLineChars="200"/>
        <w:textAlignment w:val="baseline"/>
        <w:rPr>
          <w:rFonts w:hint="eastAsia" w:ascii="黑体" w:hAnsi="黑体" w:eastAsia="黑体" w:cs="黑体"/>
          <w:color w:val="auto"/>
          <w:spacing w:val="1"/>
          <w:sz w:val="24"/>
          <w:szCs w:val="24"/>
          <w:highlight w:val="none"/>
          <w:lang w:val="en-US" w:eastAsia="zh-CN"/>
        </w:rPr>
      </w:pPr>
      <w:r>
        <w:rPr>
          <w:rFonts w:hint="eastAsia" w:ascii="黑体" w:hAnsi="黑体" w:eastAsia="黑体" w:cs="黑体"/>
          <w:color w:val="auto"/>
          <w:spacing w:val="1"/>
          <w:sz w:val="24"/>
          <w:szCs w:val="24"/>
          <w:highlight w:val="none"/>
          <w:lang w:val="en-US" w:eastAsia="zh-CN"/>
        </w:rPr>
        <w:t>7.危死树处置：</w:t>
      </w:r>
      <w:r>
        <w:rPr>
          <w:rFonts w:hint="default" w:ascii="黑体" w:hAnsi="黑体" w:eastAsia="黑体" w:cs="黑体"/>
          <w:color w:val="auto"/>
          <w:spacing w:val="1"/>
          <w:sz w:val="24"/>
          <w:szCs w:val="24"/>
          <w:highlight w:val="none"/>
          <w:lang w:val="en-US" w:eastAsia="zh-CN"/>
        </w:rPr>
        <w:t> 服务范围内出现枯死树、病死树及经采购人认定的存在安全隐患的树木，由中标人免费负责砍伐、树根处理及清运，并按照采购人要求的品种和规格免费补种同规格苗木，确保补植后成活。</w:t>
      </w:r>
      <w:r>
        <w:rPr>
          <w:rFonts w:hint="default" w:ascii="黑体" w:hAnsi="黑体" w:eastAsia="黑体" w:cs="黑体"/>
          <w:b w:val="0"/>
          <w:bCs w:val="0"/>
          <w:snapToGrid w:val="0"/>
          <w:color w:val="auto"/>
          <w:kern w:val="0"/>
          <w:sz w:val="24"/>
          <w:szCs w:val="24"/>
          <w:highlight w:val="none"/>
          <w:lang w:val="en-US" w:eastAsia="zh-CN" w:bidi="ar-SA"/>
        </w:rPr>
        <w:t>对于服务范围外，因采购人要求进行的树木补种，所需苗木费用由双方另行协商结算，具体价格以市场价或财政评审价为准。</w:t>
      </w:r>
    </w:p>
    <w:p w14:paraId="3E3FF201">
      <w:pPr>
        <w:pStyle w:val="4"/>
        <w:keepNext w:val="0"/>
        <w:keepLines w:val="0"/>
        <w:pageBreakBefore w:val="0"/>
        <w:widowControl/>
        <w:kinsoku w:val="0"/>
        <w:wordWrap/>
        <w:overflowPunct/>
        <w:topLinePunct w:val="0"/>
        <w:autoSpaceDE w:val="0"/>
        <w:autoSpaceDN w:val="0"/>
        <w:bidi w:val="0"/>
        <w:adjustRightInd w:val="0"/>
        <w:snapToGrid w:val="0"/>
        <w:spacing w:line="360" w:lineRule="auto"/>
        <w:ind w:firstLine="486" w:firstLineChars="200"/>
        <w:textAlignment w:val="baseline"/>
        <w:rPr>
          <w:rFonts w:hint="eastAsia" w:ascii="黑体" w:hAnsi="黑体" w:eastAsia="黑体" w:cs="黑体"/>
          <w:b/>
          <w:bCs/>
          <w:color w:val="auto"/>
          <w:spacing w:val="1"/>
          <w:sz w:val="24"/>
          <w:szCs w:val="24"/>
          <w:highlight w:val="none"/>
          <w:lang w:val="en-US" w:eastAsia="zh-CN"/>
        </w:rPr>
      </w:pPr>
      <w:r>
        <w:rPr>
          <w:rFonts w:hint="eastAsia" w:ascii="黑体" w:hAnsi="黑体" w:eastAsia="黑体" w:cs="黑体"/>
          <w:b/>
          <w:bCs/>
          <w:color w:val="auto"/>
          <w:spacing w:val="1"/>
          <w:sz w:val="24"/>
          <w:szCs w:val="24"/>
          <w:highlight w:val="none"/>
          <w:lang w:val="en-US" w:eastAsia="zh-CN"/>
        </w:rPr>
        <w:t>（二）服务要求</w:t>
      </w:r>
    </w:p>
    <w:p w14:paraId="4CE3FFD9">
      <w:pPr>
        <w:pageBreakBefore w:val="0"/>
        <w:overflowPunct/>
        <w:bidi w:val="0"/>
        <w:spacing w:line="360" w:lineRule="auto"/>
        <w:ind w:firstLine="482" w:firstLineChars="200"/>
        <w:jc w:val="left"/>
        <w:rPr>
          <w:rFonts w:hint="eastAsia" w:ascii="黑体" w:hAnsi="黑体" w:eastAsia="黑体" w:cs="黑体"/>
          <w:b/>
          <w:bCs/>
          <w:snapToGrid w:val="0"/>
          <w:color w:val="auto"/>
          <w:sz w:val="24"/>
          <w:szCs w:val="24"/>
          <w:highlight w:val="none"/>
          <w:lang w:val="en-US" w:eastAsia="zh-CN" w:bidi="ar-SA"/>
        </w:rPr>
      </w:pPr>
      <w:r>
        <w:rPr>
          <w:rFonts w:hint="eastAsia" w:ascii="黑体" w:hAnsi="黑体" w:eastAsia="黑体" w:cs="黑体"/>
          <w:b/>
          <w:bCs/>
          <w:snapToGrid w:val="0"/>
          <w:color w:val="auto"/>
          <w:sz w:val="24"/>
          <w:szCs w:val="24"/>
          <w:highlight w:val="none"/>
          <w:lang w:val="en-US" w:eastAsia="zh-CN" w:bidi="ar-SA"/>
        </w:rPr>
        <w:t>1. 人员配置及管理要求</w:t>
      </w:r>
    </w:p>
    <w:p w14:paraId="75E537F9">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1.1 人员基本配置</w:t>
      </w:r>
    </w:p>
    <w:p w14:paraId="594DC19D">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配置总数：不少于15人（含项目负责人1名、巡查人员1名、保洁和绿化养护人员不少于13人）；</w:t>
      </w:r>
    </w:p>
    <w:p w14:paraId="4BED84D8">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人员要求：身体健康，无犯罪记录。</w:t>
      </w:r>
    </w:p>
    <w:p w14:paraId="09327202">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作业要求：主城区点位每日7：00开始作业，全天作业时长不少于8小时，18：00前完成当日所有养护工作。</w:t>
      </w:r>
    </w:p>
    <w:p w14:paraId="01A04394">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1.2 员工劳动保障</w:t>
      </w:r>
    </w:p>
    <w:p w14:paraId="4D028D2D">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中标单位必须与员工签订书面劳动合同；</w:t>
      </w:r>
    </w:p>
    <w:p w14:paraId="20C7DB07">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中标单位必须为拟派服务人员按不低于当年鹰潭市最低工资标准发放“基本工资”、不低于鹰潭市最低标准缴纳相关保险（必须包含养老保险、医疗保险（含大病医疗、生育保险）、失业保险、工伤保险）、发放年节福利、防暑降温费等；</w:t>
      </w:r>
    </w:p>
    <w:p w14:paraId="50E0EB03">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kern w:val="0"/>
          <w:sz w:val="24"/>
          <w:szCs w:val="24"/>
          <w:highlight w:val="none"/>
          <w:lang w:val="en-US" w:eastAsia="zh-CN" w:bidi="ar-SA"/>
        </w:rPr>
        <w:t>中标单位必须为所有服务人员购买</w:t>
      </w:r>
      <w:r>
        <w:rPr>
          <w:rFonts w:hint="eastAsia" w:ascii="黑体" w:hAnsi="黑体" w:eastAsia="黑体" w:cs="黑体"/>
          <w:b/>
          <w:bCs/>
          <w:snapToGrid w:val="0"/>
          <w:color w:val="auto"/>
          <w:sz w:val="24"/>
          <w:szCs w:val="24"/>
          <w:highlight w:val="none"/>
          <w:lang w:val="en-US" w:eastAsia="zh-CN" w:bidi="ar-SA"/>
        </w:rPr>
        <w:t>保额不低于100万元/人</w:t>
      </w:r>
      <w:r>
        <w:rPr>
          <w:rFonts w:hint="eastAsia" w:ascii="黑体" w:hAnsi="黑体" w:eastAsia="黑体" w:cs="黑体"/>
          <w:b w:val="0"/>
          <w:bCs w:val="0"/>
          <w:snapToGrid w:val="0"/>
          <w:color w:val="auto"/>
          <w:kern w:val="0"/>
          <w:sz w:val="24"/>
          <w:szCs w:val="24"/>
          <w:highlight w:val="none"/>
          <w:lang w:val="en-US" w:eastAsia="zh-CN" w:bidi="ar-SA"/>
        </w:rPr>
        <w:t>的人身意外伤害保险。</w:t>
      </w:r>
    </w:p>
    <w:p w14:paraId="0687A1EE">
      <w:pPr>
        <w:pageBreakBefore w:val="0"/>
        <w:overflowPunct/>
        <w:bidi w:val="0"/>
        <w:spacing w:line="360" w:lineRule="auto"/>
        <w:ind w:firstLine="482" w:firstLineChars="200"/>
        <w:jc w:val="left"/>
        <w:rPr>
          <w:rFonts w:hint="eastAsia" w:ascii="黑体" w:hAnsi="黑体" w:eastAsia="黑体" w:cs="黑体"/>
          <w:b/>
          <w:bCs/>
          <w:snapToGrid w:val="0"/>
          <w:color w:val="auto"/>
          <w:sz w:val="24"/>
          <w:szCs w:val="24"/>
          <w:highlight w:val="none"/>
          <w:lang w:val="en-US" w:eastAsia="zh-CN" w:bidi="ar-SA"/>
        </w:rPr>
      </w:pPr>
      <w:r>
        <w:rPr>
          <w:rFonts w:hint="eastAsia" w:ascii="黑体" w:hAnsi="黑体" w:eastAsia="黑体" w:cs="黑体"/>
          <w:b/>
          <w:bCs/>
          <w:snapToGrid w:val="0"/>
          <w:color w:val="auto"/>
          <w:sz w:val="24"/>
          <w:szCs w:val="24"/>
          <w:highlight w:val="none"/>
          <w:lang w:val="en-US" w:eastAsia="zh-CN" w:bidi="ar-SA"/>
        </w:rPr>
        <w:t>1.3 人员管理要求</w:t>
      </w:r>
    </w:p>
    <w:p w14:paraId="0E896A6E">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统一着装：作业人员全程穿着统一环卫工作服+安全马甲，佩戴工牌上岗，着装整洁、标识清晰；</w:t>
      </w:r>
    </w:p>
    <w:p w14:paraId="2E9F3B1C">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安全培训：每月组织不少于1次法律法规、业务技能、安全知识培训，留存培训记录（签到表、课件、照片）；</w:t>
      </w:r>
    </w:p>
    <w:p w14:paraId="110DE5BF">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纪律要求：无擅自离岗、早退、旷工现象，文明作业，不与市民发生争执；中标人对作业人员的职务行为负责，因违规作业引发的问题由中标人全权承担</w:t>
      </w:r>
    </w:p>
    <w:p w14:paraId="59B07D75">
      <w:pPr>
        <w:pageBreakBefore w:val="0"/>
        <w:overflowPunct/>
        <w:bidi w:val="0"/>
        <w:spacing w:line="360" w:lineRule="auto"/>
        <w:ind w:firstLine="482" w:firstLineChars="200"/>
        <w:jc w:val="left"/>
        <w:rPr>
          <w:rFonts w:hint="eastAsia" w:ascii="黑体" w:hAnsi="黑体" w:eastAsia="黑体" w:cs="黑体"/>
          <w:b/>
          <w:bCs/>
          <w:snapToGrid w:val="0"/>
          <w:color w:val="auto"/>
          <w:sz w:val="24"/>
          <w:szCs w:val="24"/>
          <w:highlight w:val="none"/>
          <w:lang w:val="en-US" w:eastAsia="zh-CN" w:bidi="ar-SA"/>
        </w:rPr>
      </w:pPr>
      <w:r>
        <w:rPr>
          <w:rFonts w:hint="eastAsia" w:ascii="黑体" w:hAnsi="黑体" w:eastAsia="黑体" w:cs="黑体"/>
          <w:b/>
          <w:bCs/>
          <w:snapToGrid w:val="0"/>
          <w:color w:val="auto"/>
          <w:sz w:val="24"/>
          <w:szCs w:val="24"/>
          <w:highlight w:val="none"/>
          <w:lang w:val="en-US" w:eastAsia="zh-CN" w:bidi="ar-SA"/>
        </w:rPr>
        <w:t>2. 设备配置及运维要求</w:t>
      </w:r>
    </w:p>
    <w:p w14:paraId="0DD4B384">
      <w:pPr>
        <w:pageBreakBefore w:val="0"/>
        <w:overflowPunct/>
        <w:bidi w:val="0"/>
        <w:spacing w:line="360" w:lineRule="auto"/>
        <w:ind w:firstLine="482" w:firstLineChars="200"/>
        <w:jc w:val="left"/>
        <w:rPr>
          <w:rFonts w:hint="eastAsia" w:ascii="黑体" w:hAnsi="黑体" w:eastAsia="黑体" w:cs="黑体"/>
          <w:b/>
          <w:bCs/>
          <w:snapToGrid w:val="0"/>
          <w:color w:val="auto"/>
          <w:sz w:val="24"/>
          <w:szCs w:val="24"/>
          <w:highlight w:val="none"/>
          <w:lang w:val="en-US" w:eastAsia="zh-CN" w:bidi="ar-SA"/>
        </w:rPr>
      </w:pPr>
      <w:r>
        <w:rPr>
          <w:rFonts w:hint="eastAsia" w:ascii="黑体" w:hAnsi="黑体" w:eastAsia="黑体" w:cs="黑体"/>
          <w:b/>
          <w:bCs/>
          <w:snapToGrid w:val="0"/>
          <w:color w:val="auto"/>
          <w:sz w:val="24"/>
          <w:szCs w:val="24"/>
          <w:highlight w:val="none"/>
          <w:lang w:val="en-US" w:eastAsia="zh-CN" w:bidi="ar-SA"/>
        </w:rPr>
        <w:t>2.1 主要作业设备</w:t>
      </w:r>
    </w:p>
    <w:p w14:paraId="04036377">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洒水车：不少于1辆，用于绿化浇灌及应急用水；</w:t>
      </w:r>
    </w:p>
    <w:p w14:paraId="2389CF23">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打草机：不少于3台；</w:t>
      </w:r>
    </w:p>
    <w:p w14:paraId="536F95F7">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绿篱机：不少于3台；</w:t>
      </w:r>
    </w:p>
    <w:p w14:paraId="0844953C">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高枝剪/平剪：不少于3套。</w:t>
      </w:r>
    </w:p>
    <w:p w14:paraId="53CF5FAB">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2.2 其他作业设备</w:t>
      </w:r>
    </w:p>
    <w:p w14:paraId="1FABF005">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中标人按需配置绿化养护辅助设备（如手剪、手锯、梯子等），确保设备完好率100%，满足日常作业及应急需求。</w:t>
      </w:r>
    </w:p>
    <w:p w14:paraId="5F9CF39D">
      <w:pPr>
        <w:pageBreakBefore w:val="0"/>
        <w:overflowPunct/>
        <w:bidi w:val="0"/>
        <w:spacing w:line="360" w:lineRule="auto"/>
        <w:ind w:firstLine="482" w:firstLineChars="200"/>
        <w:jc w:val="left"/>
        <w:rPr>
          <w:rFonts w:hint="eastAsia" w:ascii="黑体" w:hAnsi="黑体" w:eastAsia="黑体" w:cs="黑体"/>
          <w:b/>
          <w:bCs/>
          <w:snapToGrid w:val="0"/>
          <w:color w:val="auto"/>
          <w:sz w:val="24"/>
          <w:szCs w:val="24"/>
          <w:highlight w:val="none"/>
          <w:lang w:val="en-US" w:eastAsia="zh-CN" w:bidi="ar-SA"/>
        </w:rPr>
      </w:pPr>
      <w:r>
        <w:rPr>
          <w:rFonts w:hint="eastAsia" w:ascii="黑体" w:hAnsi="黑体" w:eastAsia="黑体" w:cs="黑体"/>
          <w:b/>
          <w:bCs/>
          <w:snapToGrid w:val="0"/>
          <w:color w:val="auto"/>
          <w:sz w:val="24"/>
          <w:szCs w:val="24"/>
          <w:highlight w:val="none"/>
          <w:lang w:val="en-US" w:eastAsia="zh-CN" w:bidi="ar-SA"/>
        </w:rPr>
        <w:t>2.3 运维及保险</w:t>
      </w:r>
    </w:p>
    <w:p w14:paraId="1FCD2A8F">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中标人负责车辆及设备日常保养、维修，确保无故障停机不超过24小时；</w:t>
      </w:r>
    </w:p>
    <w:p w14:paraId="091161E9">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全部作业设备仅用于本项目绿化养护作业，不得挪作他用。</w:t>
      </w:r>
    </w:p>
    <w:p w14:paraId="31710AC1">
      <w:pPr>
        <w:pageBreakBefore w:val="0"/>
        <w:overflowPunct/>
        <w:bidi w:val="0"/>
        <w:spacing w:line="360" w:lineRule="auto"/>
        <w:ind w:firstLine="482" w:firstLineChars="200"/>
        <w:jc w:val="left"/>
        <w:rPr>
          <w:rFonts w:hint="eastAsia" w:ascii="黑体" w:hAnsi="黑体" w:eastAsia="黑体" w:cs="黑体"/>
          <w:b/>
          <w:bCs/>
          <w:snapToGrid w:val="0"/>
          <w:color w:val="auto"/>
          <w:sz w:val="24"/>
          <w:szCs w:val="24"/>
          <w:highlight w:val="none"/>
          <w:lang w:val="en-US" w:eastAsia="zh-CN" w:bidi="ar-SA"/>
        </w:rPr>
      </w:pPr>
      <w:r>
        <w:rPr>
          <w:rFonts w:hint="eastAsia" w:ascii="黑体" w:hAnsi="黑体" w:eastAsia="黑体" w:cs="黑体"/>
          <w:b/>
          <w:bCs/>
          <w:snapToGrid w:val="0"/>
          <w:color w:val="auto"/>
          <w:sz w:val="24"/>
          <w:szCs w:val="24"/>
          <w:highlight w:val="none"/>
          <w:lang w:val="en-US" w:eastAsia="zh-CN" w:bidi="ar-SA"/>
        </w:rPr>
        <w:t>3. 耗材使用及配置要求</w:t>
      </w:r>
    </w:p>
    <w:p w14:paraId="5D0957C3">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所有耗材需符合国家环保标准，足额供应、按需领用，建立耗材领用台账，具体配置如下：</w:t>
      </w:r>
    </w:p>
    <w:tbl>
      <w:tblPr>
        <w:tblStyle w:val="6"/>
        <w:tblW w:w="0" w:type="auto"/>
        <w:tblInd w:w="5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29"/>
        <w:gridCol w:w="5566"/>
      </w:tblGrid>
      <w:tr w14:paraId="5D7368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trPr>
        <w:tc>
          <w:tcPr>
            <w:tcW w:w="2700" w:type="dxa"/>
            <w:vAlign w:val="center"/>
          </w:tcPr>
          <w:p w14:paraId="57568C6D">
            <w:pPr>
              <w:pageBreakBefore w:val="0"/>
              <w:widowControl w:val="0"/>
              <w:overflowPunct/>
              <w:bidi w:val="0"/>
              <w:spacing w:line="360" w:lineRule="auto"/>
              <w:jc w:val="center"/>
              <w:rPr>
                <w:rFonts w:hint="eastAsia" w:ascii="黑体" w:hAnsi="黑体" w:eastAsia="黑体" w:cs="黑体"/>
                <w:b w:val="0"/>
                <w:bCs w:val="0"/>
                <w:snapToGrid w:val="0"/>
                <w:color w:val="auto"/>
                <w:sz w:val="24"/>
                <w:szCs w:val="24"/>
                <w:highlight w:val="none"/>
                <w:vertAlign w:val="baseline"/>
                <w:lang w:val="en-US" w:eastAsia="zh-CN" w:bidi="ar-SA"/>
              </w:rPr>
            </w:pPr>
            <w:r>
              <w:rPr>
                <w:rFonts w:hint="eastAsia" w:ascii="黑体" w:hAnsi="黑体" w:eastAsia="黑体" w:cs="黑体"/>
                <w:b w:val="0"/>
                <w:bCs w:val="0"/>
                <w:snapToGrid w:val="0"/>
                <w:color w:val="auto"/>
                <w:sz w:val="24"/>
                <w:szCs w:val="24"/>
                <w:highlight w:val="none"/>
                <w:lang w:val="en-US" w:eastAsia="zh-CN" w:bidi="ar-SA"/>
              </w:rPr>
              <w:t>耗材名称</w:t>
            </w:r>
          </w:p>
        </w:tc>
        <w:tc>
          <w:tcPr>
            <w:tcW w:w="6212" w:type="dxa"/>
            <w:vAlign w:val="center"/>
          </w:tcPr>
          <w:p w14:paraId="254DFFD0">
            <w:pPr>
              <w:pageBreakBefore w:val="0"/>
              <w:widowControl w:val="0"/>
              <w:overflowPunct/>
              <w:bidi w:val="0"/>
              <w:spacing w:line="360" w:lineRule="auto"/>
              <w:ind w:firstLine="480" w:firstLineChars="200"/>
              <w:jc w:val="center"/>
              <w:rPr>
                <w:rFonts w:hint="eastAsia" w:ascii="黑体" w:hAnsi="黑体" w:eastAsia="黑体" w:cs="黑体"/>
                <w:b w:val="0"/>
                <w:bCs w:val="0"/>
                <w:snapToGrid w:val="0"/>
                <w:color w:val="auto"/>
                <w:sz w:val="24"/>
                <w:szCs w:val="24"/>
                <w:highlight w:val="none"/>
                <w:vertAlign w:val="baseline"/>
                <w:lang w:val="en-US" w:eastAsia="zh-CN" w:bidi="ar-SA"/>
              </w:rPr>
            </w:pPr>
            <w:r>
              <w:rPr>
                <w:rFonts w:hint="eastAsia" w:ascii="黑体" w:hAnsi="黑体" w:eastAsia="黑体" w:cs="黑体"/>
                <w:b w:val="0"/>
                <w:bCs w:val="0"/>
                <w:snapToGrid w:val="0"/>
                <w:color w:val="auto"/>
                <w:sz w:val="24"/>
                <w:szCs w:val="24"/>
                <w:highlight w:val="none"/>
                <w:lang w:val="en-US" w:eastAsia="zh-CN" w:bidi="ar-SA"/>
              </w:rPr>
              <w:t>备注</w:t>
            </w:r>
          </w:p>
        </w:tc>
      </w:tr>
      <w:tr w14:paraId="799CE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2700" w:type="dxa"/>
            <w:vAlign w:val="center"/>
          </w:tcPr>
          <w:p w14:paraId="14797A17">
            <w:pPr>
              <w:pageBreakBefore w:val="0"/>
              <w:widowControl w:val="0"/>
              <w:overflowPunct/>
              <w:bidi w:val="0"/>
              <w:spacing w:line="360" w:lineRule="auto"/>
              <w:jc w:val="center"/>
              <w:rPr>
                <w:rFonts w:hint="eastAsia" w:ascii="黑体" w:hAnsi="黑体" w:eastAsia="黑体" w:cs="黑体"/>
                <w:b w:val="0"/>
                <w:bCs w:val="0"/>
                <w:snapToGrid w:val="0"/>
                <w:color w:val="auto"/>
                <w:sz w:val="24"/>
                <w:szCs w:val="24"/>
                <w:highlight w:val="none"/>
                <w:vertAlign w:val="baseline"/>
                <w:lang w:val="en-US" w:eastAsia="zh-CN" w:bidi="ar-SA"/>
              </w:rPr>
            </w:pPr>
            <w:r>
              <w:rPr>
                <w:rFonts w:hint="eastAsia" w:ascii="黑体" w:hAnsi="黑体" w:eastAsia="黑体" w:cs="黑体"/>
                <w:b w:val="0"/>
                <w:bCs w:val="0"/>
                <w:snapToGrid w:val="0"/>
                <w:color w:val="auto"/>
                <w:sz w:val="24"/>
                <w:szCs w:val="24"/>
                <w:highlight w:val="none"/>
                <w:lang w:val="en-US" w:eastAsia="zh-CN" w:bidi="ar-SA"/>
              </w:rPr>
              <w:t>水费</w:t>
            </w:r>
          </w:p>
        </w:tc>
        <w:tc>
          <w:tcPr>
            <w:tcW w:w="6212" w:type="dxa"/>
            <w:vAlign w:val="center"/>
          </w:tcPr>
          <w:p w14:paraId="0FF2EEE1">
            <w:pPr>
              <w:pageBreakBefore w:val="0"/>
              <w:widowControl w:val="0"/>
              <w:overflowPunct/>
              <w:bidi w:val="0"/>
              <w:spacing w:line="360" w:lineRule="auto"/>
              <w:jc w:val="center"/>
              <w:rPr>
                <w:rFonts w:hint="eastAsia" w:ascii="黑体" w:hAnsi="黑体" w:eastAsia="黑体" w:cs="黑体"/>
                <w:b w:val="0"/>
                <w:bCs w:val="0"/>
                <w:snapToGrid w:val="0"/>
                <w:color w:val="auto"/>
                <w:sz w:val="24"/>
                <w:szCs w:val="24"/>
                <w:highlight w:val="none"/>
                <w:vertAlign w:val="baseline"/>
                <w:lang w:val="en-US" w:eastAsia="zh-CN" w:bidi="ar-SA"/>
              </w:rPr>
            </w:pPr>
            <w:r>
              <w:rPr>
                <w:rFonts w:hint="eastAsia" w:ascii="黑体" w:hAnsi="黑体" w:eastAsia="黑体" w:cs="黑体"/>
                <w:b w:val="0"/>
                <w:bCs w:val="0"/>
                <w:snapToGrid w:val="0"/>
                <w:color w:val="auto"/>
                <w:sz w:val="24"/>
                <w:szCs w:val="24"/>
                <w:highlight w:val="none"/>
                <w:lang w:val="en-US" w:eastAsia="zh-CN" w:bidi="ar-SA"/>
              </w:rPr>
              <w:t>含绿化浇灌、打药等全部用水</w:t>
            </w:r>
          </w:p>
        </w:tc>
      </w:tr>
      <w:tr w14:paraId="11E06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2700" w:type="dxa"/>
            <w:vAlign w:val="center"/>
          </w:tcPr>
          <w:p w14:paraId="114A934A">
            <w:pPr>
              <w:pageBreakBefore w:val="0"/>
              <w:widowControl w:val="0"/>
              <w:overflowPunct/>
              <w:bidi w:val="0"/>
              <w:spacing w:line="360" w:lineRule="auto"/>
              <w:jc w:val="center"/>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肥料</w:t>
            </w:r>
          </w:p>
        </w:tc>
        <w:tc>
          <w:tcPr>
            <w:tcW w:w="6212" w:type="dxa"/>
            <w:vAlign w:val="center"/>
          </w:tcPr>
          <w:p w14:paraId="028C487D">
            <w:pPr>
              <w:pageBreakBefore w:val="0"/>
              <w:widowControl w:val="0"/>
              <w:overflowPunct/>
              <w:bidi w:val="0"/>
              <w:spacing w:line="360" w:lineRule="auto"/>
              <w:jc w:val="center"/>
              <w:rPr>
                <w:rFonts w:hint="eastAsia" w:ascii="黑体" w:hAnsi="黑体" w:eastAsia="黑体" w:cs="黑体"/>
                <w:b w:val="0"/>
                <w:bCs w:val="0"/>
                <w:snapToGrid w:val="0"/>
                <w:color w:val="auto"/>
                <w:sz w:val="24"/>
                <w:szCs w:val="24"/>
                <w:highlight w:val="none"/>
                <w:vertAlign w:val="baseline"/>
                <w:lang w:val="en-US" w:eastAsia="zh-CN" w:bidi="ar-SA"/>
              </w:rPr>
            </w:pPr>
            <w:r>
              <w:rPr>
                <w:rFonts w:hint="eastAsia" w:ascii="黑体" w:hAnsi="黑体" w:eastAsia="黑体" w:cs="黑体"/>
                <w:b w:val="0"/>
                <w:bCs w:val="0"/>
                <w:snapToGrid w:val="0"/>
                <w:color w:val="auto"/>
                <w:sz w:val="24"/>
                <w:szCs w:val="24"/>
                <w:highlight w:val="none"/>
                <w:lang w:val="en-US" w:eastAsia="zh-CN" w:bidi="ar-SA"/>
              </w:rPr>
              <w:t>复合肥、有机肥等，符合相关标准</w:t>
            </w:r>
          </w:p>
        </w:tc>
      </w:tr>
      <w:tr w14:paraId="1A490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2700" w:type="dxa"/>
            <w:vAlign w:val="center"/>
          </w:tcPr>
          <w:p w14:paraId="0398B675">
            <w:pPr>
              <w:pageBreakBefore w:val="0"/>
              <w:widowControl w:val="0"/>
              <w:overflowPunct/>
              <w:bidi w:val="0"/>
              <w:spacing w:line="360" w:lineRule="auto"/>
              <w:jc w:val="center"/>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药剂</w:t>
            </w:r>
          </w:p>
        </w:tc>
        <w:tc>
          <w:tcPr>
            <w:tcW w:w="6212" w:type="dxa"/>
            <w:vAlign w:val="center"/>
          </w:tcPr>
          <w:p w14:paraId="3145FC78">
            <w:pPr>
              <w:pageBreakBefore w:val="0"/>
              <w:widowControl w:val="0"/>
              <w:overflowPunct/>
              <w:bidi w:val="0"/>
              <w:spacing w:line="360" w:lineRule="auto"/>
              <w:jc w:val="center"/>
              <w:rPr>
                <w:rFonts w:hint="eastAsia" w:ascii="黑体" w:hAnsi="黑体" w:eastAsia="黑体" w:cs="黑体"/>
                <w:b w:val="0"/>
                <w:bCs w:val="0"/>
                <w:snapToGrid w:val="0"/>
                <w:color w:val="auto"/>
                <w:sz w:val="24"/>
                <w:szCs w:val="24"/>
                <w:highlight w:val="none"/>
                <w:vertAlign w:val="baseline"/>
                <w:lang w:val="en-US" w:eastAsia="zh-CN" w:bidi="ar-SA"/>
              </w:rPr>
            </w:pPr>
            <w:r>
              <w:rPr>
                <w:rFonts w:hint="eastAsia" w:ascii="黑体" w:hAnsi="黑体" w:eastAsia="黑体" w:cs="黑体"/>
                <w:b w:val="0"/>
                <w:bCs w:val="0"/>
                <w:snapToGrid w:val="0"/>
                <w:color w:val="auto"/>
                <w:sz w:val="24"/>
                <w:szCs w:val="24"/>
                <w:highlight w:val="none"/>
                <w:lang w:val="en-US" w:eastAsia="zh-CN" w:bidi="ar-SA"/>
              </w:rPr>
              <w:t>杀虫剂、杀菌剂、除草剂等，符合国家环保及安全标准</w:t>
            </w:r>
          </w:p>
        </w:tc>
      </w:tr>
      <w:tr w14:paraId="1E226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2700" w:type="dxa"/>
            <w:vAlign w:val="center"/>
          </w:tcPr>
          <w:p w14:paraId="4E39721A">
            <w:pPr>
              <w:pageBreakBefore w:val="0"/>
              <w:widowControl w:val="0"/>
              <w:overflowPunct/>
              <w:bidi w:val="0"/>
              <w:spacing w:line="360" w:lineRule="auto"/>
              <w:jc w:val="center"/>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涂白剂</w:t>
            </w:r>
          </w:p>
        </w:tc>
        <w:tc>
          <w:tcPr>
            <w:tcW w:w="6212" w:type="dxa"/>
            <w:vAlign w:val="center"/>
          </w:tcPr>
          <w:p w14:paraId="10F5603F">
            <w:pPr>
              <w:pageBreakBefore w:val="0"/>
              <w:widowControl w:val="0"/>
              <w:overflowPunct/>
              <w:bidi w:val="0"/>
              <w:spacing w:line="360" w:lineRule="auto"/>
              <w:jc w:val="center"/>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每年11-12月行道树涂白使用</w:t>
            </w:r>
          </w:p>
        </w:tc>
      </w:tr>
      <w:tr w14:paraId="49A11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2700" w:type="dxa"/>
            <w:vAlign w:val="center"/>
          </w:tcPr>
          <w:p w14:paraId="2CA67CFE">
            <w:pPr>
              <w:pageBreakBefore w:val="0"/>
              <w:widowControl w:val="0"/>
              <w:overflowPunct/>
              <w:bidi w:val="0"/>
              <w:spacing w:line="360" w:lineRule="auto"/>
              <w:jc w:val="center"/>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草籽</w:t>
            </w:r>
          </w:p>
        </w:tc>
        <w:tc>
          <w:tcPr>
            <w:tcW w:w="6212" w:type="dxa"/>
            <w:vAlign w:val="center"/>
          </w:tcPr>
          <w:p w14:paraId="3C9A48BA">
            <w:pPr>
              <w:pageBreakBefore w:val="0"/>
              <w:widowControl w:val="0"/>
              <w:overflowPunct/>
              <w:bidi w:val="0"/>
              <w:spacing w:line="360" w:lineRule="auto"/>
              <w:jc w:val="center"/>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草坪补播使用</w:t>
            </w:r>
          </w:p>
        </w:tc>
      </w:tr>
      <w:tr w14:paraId="58107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2700" w:type="dxa"/>
            <w:vAlign w:val="center"/>
          </w:tcPr>
          <w:p w14:paraId="58E1A20D">
            <w:pPr>
              <w:pageBreakBefore w:val="0"/>
              <w:widowControl w:val="0"/>
              <w:overflowPunct/>
              <w:bidi w:val="0"/>
              <w:spacing w:line="360" w:lineRule="auto"/>
              <w:jc w:val="center"/>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时令花卉</w:t>
            </w:r>
          </w:p>
        </w:tc>
        <w:tc>
          <w:tcPr>
            <w:tcW w:w="6212" w:type="dxa"/>
            <w:vAlign w:val="center"/>
          </w:tcPr>
          <w:p w14:paraId="2DF8C2B9">
            <w:pPr>
              <w:pageBreakBefore w:val="0"/>
              <w:widowControl w:val="0"/>
              <w:overflowPunct/>
              <w:bidi w:val="0"/>
              <w:spacing w:line="360" w:lineRule="auto"/>
              <w:jc w:val="center"/>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花箱用花，每年至少更换4次</w:t>
            </w:r>
          </w:p>
        </w:tc>
      </w:tr>
      <w:tr w14:paraId="2DE32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2700" w:type="dxa"/>
            <w:vAlign w:val="center"/>
          </w:tcPr>
          <w:p w14:paraId="5D8FC104">
            <w:pPr>
              <w:pageBreakBefore w:val="0"/>
              <w:widowControl w:val="0"/>
              <w:overflowPunct/>
              <w:bidi w:val="0"/>
              <w:spacing w:line="360" w:lineRule="auto"/>
              <w:jc w:val="center"/>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辅助工具</w:t>
            </w:r>
          </w:p>
        </w:tc>
        <w:tc>
          <w:tcPr>
            <w:tcW w:w="6212" w:type="dxa"/>
            <w:vAlign w:val="center"/>
          </w:tcPr>
          <w:p w14:paraId="438C42BA">
            <w:pPr>
              <w:pageBreakBefore w:val="0"/>
              <w:widowControl w:val="0"/>
              <w:overflowPunct/>
              <w:bidi w:val="0"/>
              <w:spacing w:line="360" w:lineRule="auto"/>
              <w:jc w:val="center"/>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手剪、手锯、手套、口罩等</w:t>
            </w:r>
          </w:p>
        </w:tc>
      </w:tr>
      <w:tr w14:paraId="45742C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2700" w:type="dxa"/>
            <w:vAlign w:val="center"/>
          </w:tcPr>
          <w:p w14:paraId="7A9AF6CF">
            <w:pPr>
              <w:pageBreakBefore w:val="0"/>
              <w:widowControl w:val="0"/>
              <w:overflowPunct/>
              <w:bidi w:val="0"/>
              <w:spacing w:line="360" w:lineRule="auto"/>
              <w:jc w:val="center"/>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服装/安全马甲</w:t>
            </w:r>
          </w:p>
        </w:tc>
        <w:tc>
          <w:tcPr>
            <w:tcW w:w="6212" w:type="dxa"/>
            <w:vAlign w:val="center"/>
          </w:tcPr>
          <w:p w14:paraId="7FE01542">
            <w:pPr>
              <w:pageBreakBefore w:val="0"/>
              <w:widowControl w:val="0"/>
              <w:overflowPunct/>
              <w:bidi w:val="0"/>
              <w:spacing w:line="360" w:lineRule="auto"/>
              <w:jc w:val="center"/>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统一款式、带反光标识，含工作服+安全马甲</w:t>
            </w:r>
          </w:p>
        </w:tc>
      </w:tr>
    </w:tbl>
    <w:p w14:paraId="0501C5E7">
      <w:pPr>
        <w:pageBreakBefore w:val="0"/>
        <w:overflowPunct/>
        <w:bidi w:val="0"/>
        <w:spacing w:line="360" w:lineRule="auto"/>
        <w:ind w:firstLine="482"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bCs/>
          <w:snapToGrid w:val="0"/>
          <w:color w:val="auto"/>
          <w:sz w:val="24"/>
          <w:szCs w:val="24"/>
          <w:highlight w:val="none"/>
          <w:lang w:val="en-US" w:eastAsia="zh-CN" w:bidi="ar-SA"/>
        </w:rPr>
        <w:t>（三）草坪养护作业标准</w:t>
      </w:r>
    </w:p>
    <w:p w14:paraId="2A24E25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修剪：生长期每月修剪1-2次，草坪高度控制在6-8cm，修剪平整、无漏剪；</w:t>
      </w:r>
    </w:p>
    <w:p w14:paraId="7258D73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除草：无杂草，杂草率不超过5%，重点区域（广场、主次干道）杂草率不超过3%；</w:t>
      </w:r>
    </w:p>
    <w:p w14:paraId="7E2F493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浇水：干旱季节及时浇水，无因干旱造成的枯黄、死亡现象；</w:t>
      </w:r>
    </w:p>
    <w:p w14:paraId="3DC8A94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施肥：每年施肥不少于2次（春、秋各1次），确保草坪生长健壮；</w:t>
      </w:r>
    </w:p>
    <w:p w14:paraId="38C2A3E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病虫害防治：预防为主，综合防治，无大面积病虫害发生；</w:t>
      </w:r>
    </w:p>
    <w:p w14:paraId="1503650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保洁：每日清理绿化带内垃圾、落叶、杂物，做到“日产日清”；</w:t>
      </w:r>
    </w:p>
    <w:p w14:paraId="751B8E2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补植：对因生长不良、人为踩踏造成的斑秃及时补植，补植后15天内恢复景观。</w:t>
      </w:r>
    </w:p>
    <w:p w14:paraId="797F544C">
      <w:pPr>
        <w:keepNext w:val="0"/>
        <w:keepLines w:val="0"/>
        <w:pageBreakBefore w:val="0"/>
        <w:widowControl/>
        <w:kinsoku w:val="0"/>
        <w:wordWrap/>
        <w:overflowPunct/>
        <w:topLinePunct w:val="0"/>
        <w:autoSpaceDE w:val="0"/>
        <w:autoSpaceDN w:val="0"/>
        <w:bidi w:val="0"/>
        <w:adjustRightInd w:val="0"/>
        <w:snapToGrid w:val="0"/>
        <w:spacing w:line="360" w:lineRule="auto"/>
        <w:ind w:firstLine="482" w:firstLineChars="200"/>
        <w:jc w:val="left"/>
        <w:textAlignment w:val="baseline"/>
        <w:rPr>
          <w:rFonts w:hint="eastAsia" w:ascii="黑体" w:hAnsi="黑体" w:eastAsia="黑体" w:cs="黑体"/>
          <w:b/>
          <w:bCs/>
          <w:snapToGrid w:val="0"/>
          <w:color w:val="auto"/>
          <w:sz w:val="24"/>
          <w:szCs w:val="24"/>
          <w:highlight w:val="none"/>
          <w:lang w:val="en-US" w:eastAsia="zh-CN" w:bidi="ar-SA"/>
        </w:rPr>
      </w:pPr>
      <w:r>
        <w:rPr>
          <w:rFonts w:hint="eastAsia" w:ascii="黑体" w:hAnsi="黑体" w:eastAsia="黑体" w:cs="黑体"/>
          <w:b/>
          <w:bCs/>
          <w:snapToGrid w:val="0"/>
          <w:color w:val="auto"/>
          <w:sz w:val="24"/>
          <w:szCs w:val="24"/>
          <w:highlight w:val="none"/>
          <w:lang w:val="en-US" w:eastAsia="zh-CN" w:bidi="ar-SA"/>
        </w:rPr>
        <w:t>（四）行道树养护作业标准</w:t>
      </w:r>
    </w:p>
    <w:p w14:paraId="478CA34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修剪：每年修剪不少于1次（冬季整形修剪），及时清除枯枝、病枝、下垂枝、交叉枝；行道树下缘线保持整齐，不影响行人与车辆通行；</w:t>
      </w:r>
    </w:p>
    <w:p w14:paraId="00EED5E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浇水：干旱季节及时浇灌，确保树木正常生长，无因缺水造成的萎蔫、落叶；</w:t>
      </w:r>
    </w:p>
    <w:p w14:paraId="4B1CE09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施肥：每年施肥不少于1次（秋冬季），采用穴施或沟施，施后覆土浇水；</w:t>
      </w:r>
    </w:p>
    <w:p w14:paraId="77BC067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病虫害防治：根据病虫害发生规律及时防治，枝叶受害率控制在8%以下，树干受害率控制在3%以下；</w:t>
      </w:r>
    </w:p>
    <w:p w14:paraId="4F5D4C5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涂白：每年11-12月对行道树进行涂白，涂白高度1.2m，整齐统一；</w:t>
      </w:r>
    </w:p>
    <w:p w14:paraId="5B31997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支撑加固：对倾斜、新补植的行道树及时支撑加固，台风季节前全面检查加固；</w:t>
      </w:r>
    </w:p>
    <w:p w14:paraId="6478B4E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树穴管理：树穴无杂草、无垃圾、无板结，保持整洁；</w:t>
      </w:r>
    </w:p>
    <w:p w14:paraId="58F0B0A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补植：对死亡、严重受损的行道树，一周内按同规格、同品种补植到位。</w:t>
      </w:r>
    </w:p>
    <w:p w14:paraId="01D53E73">
      <w:pPr>
        <w:pageBreakBefore w:val="0"/>
        <w:overflowPunct/>
        <w:bidi w:val="0"/>
        <w:spacing w:line="360" w:lineRule="auto"/>
        <w:ind w:firstLine="482" w:firstLineChars="200"/>
        <w:jc w:val="left"/>
        <w:rPr>
          <w:rFonts w:hint="eastAsia" w:ascii="黑体" w:hAnsi="黑体" w:eastAsia="黑体" w:cs="黑体"/>
          <w:b/>
          <w:bCs/>
          <w:snapToGrid w:val="0"/>
          <w:color w:val="auto"/>
          <w:sz w:val="24"/>
          <w:szCs w:val="24"/>
          <w:highlight w:val="none"/>
          <w:lang w:val="en-US" w:eastAsia="zh-CN" w:bidi="ar-SA"/>
        </w:rPr>
      </w:pPr>
      <w:r>
        <w:rPr>
          <w:rFonts w:hint="eastAsia" w:ascii="黑体" w:hAnsi="黑体" w:eastAsia="黑体" w:cs="黑体"/>
          <w:b/>
          <w:bCs/>
          <w:snapToGrid w:val="0"/>
          <w:color w:val="auto"/>
          <w:sz w:val="24"/>
          <w:szCs w:val="24"/>
          <w:highlight w:val="none"/>
          <w:lang w:val="en-US" w:eastAsia="zh-CN" w:bidi="ar-SA"/>
        </w:rPr>
        <w:t>（五）花箱种花作业标准</w:t>
      </w:r>
    </w:p>
    <w:p w14:paraId="76281D2C">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花卉更换：每年更换不少于4次（建议：春季3-4月、夏季5-6月、秋季9-10月、冬季12-1月），确保花箱常年有花；</w:t>
      </w:r>
    </w:p>
    <w:p w14:paraId="08EFBDF6">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花卉品种：选择适应性强、花期长、色彩鲜艳的品种（如一串红、矮牵牛、孔雀草、三色堇、角堇等），每个季节至少2个品种搭配；</w:t>
      </w:r>
    </w:p>
    <w:p w14:paraId="1FA1A395">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种植要求：密度适宜、不露土，花色搭配协调，种植后立即浇水；</w:t>
      </w:r>
    </w:p>
    <w:p w14:paraId="1C4C2073">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养护管理：定期浇水、施肥、修剪残花、清除杂草、补植枯死植株；</w:t>
      </w:r>
    </w:p>
    <w:p w14:paraId="25732090">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景观效果：花箱整体美观、整洁，无枯枝残花，花箱箱体完好、无破损。</w:t>
      </w:r>
    </w:p>
    <w:p w14:paraId="57132384">
      <w:pPr>
        <w:pageBreakBefore w:val="0"/>
        <w:overflowPunct/>
        <w:bidi w:val="0"/>
        <w:spacing w:line="360" w:lineRule="auto"/>
        <w:ind w:firstLine="482" w:firstLineChars="200"/>
        <w:jc w:val="left"/>
        <w:rPr>
          <w:rFonts w:hint="eastAsia" w:ascii="黑体" w:hAnsi="黑体" w:eastAsia="黑体" w:cs="黑体"/>
          <w:b/>
          <w:bCs/>
          <w:snapToGrid w:val="0"/>
          <w:color w:val="auto"/>
          <w:sz w:val="24"/>
          <w:szCs w:val="24"/>
          <w:highlight w:val="none"/>
          <w:lang w:val="en-US" w:eastAsia="zh-CN" w:bidi="ar-SA"/>
        </w:rPr>
      </w:pPr>
      <w:r>
        <w:rPr>
          <w:rFonts w:hint="eastAsia" w:ascii="黑体" w:hAnsi="黑体" w:eastAsia="黑体" w:cs="黑体"/>
          <w:b/>
          <w:bCs/>
          <w:snapToGrid w:val="0"/>
          <w:color w:val="auto"/>
          <w:sz w:val="24"/>
          <w:szCs w:val="24"/>
          <w:highlight w:val="none"/>
          <w:lang w:val="en-US" w:eastAsia="zh-CN" w:bidi="ar-SA"/>
        </w:rPr>
        <w:t>（六）应急保障要求</w:t>
      </w:r>
    </w:p>
    <w:p w14:paraId="0AD62884">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应急队伍：组建不少于5人的专项应急队伍，人员为项目固定作业人员，熟悉绿化养护作业流程，保持24小时通讯畅通；</w:t>
      </w:r>
    </w:p>
    <w:p w14:paraId="4013F605">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响应时效：接到采购人应急通知（台风抢险、突发污染、重大活动等）后，30分钟内安排人员、设备到达现场开展作业；</w:t>
      </w:r>
    </w:p>
    <w:p w14:paraId="1F603938">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应急物资：储备充足的应急工具、支撑材料、药剂、防护用品等物资，确保应急作业需求；</w:t>
      </w:r>
    </w:p>
    <w:p w14:paraId="63245B63">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台风应急：台风来临前进行全面加固排查，台风后24小时内完成倒伏树木扶正、断枝清理。</w:t>
      </w:r>
    </w:p>
    <w:p w14:paraId="566D0BE7">
      <w:pPr>
        <w:pageBreakBefore w:val="0"/>
        <w:overflowPunct/>
        <w:bidi w:val="0"/>
        <w:spacing w:line="360" w:lineRule="auto"/>
        <w:ind w:firstLine="482" w:firstLineChars="200"/>
        <w:jc w:val="left"/>
        <w:rPr>
          <w:rFonts w:hint="eastAsia" w:ascii="黑体" w:hAnsi="黑体" w:eastAsia="黑体" w:cs="黑体"/>
          <w:b/>
          <w:bCs/>
          <w:snapToGrid w:val="0"/>
          <w:color w:val="auto"/>
          <w:sz w:val="24"/>
          <w:szCs w:val="24"/>
          <w:highlight w:val="none"/>
          <w:lang w:val="en-US" w:eastAsia="zh-CN" w:bidi="ar-SA"/>
        </w:rPr>
      </w:pPr>
      <w:r>
        <w:rPr>
          <w:rFonts w:hint="eastAsia" w:ascii="黑体" w:hAnsi="黑体" w:eastAsia="黑体" w:cs="黑体"/>
          <w:b/>
          <w:bCs/>
          <w:snapToGrid w:val="0"/>
          <w:color w:val="auto"/>
          <w:sz w:val="24"/>
          <w:szCs w:val="24"/>
          <w:highlight w:val="none"/>
          <w:lang w:val="en-US" w:eastAsia="zh-CN" w:bidi="ar-SA"/>
        </w:rPr>
        <w:t>（七）设施维护及配合要求</w:t>
      </w:r>
    </w:p>
    <w:p w14:paraId="0EC30EE2">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绿化设施巡查：每日对养护范围内的花箱、树穴盖板、护树设施等进行完好性巡查，发现破损、倾倒、丢失等问题，24小时内书面上报采购人，并做好巡查记录；</w:t>
      </w:r>
    </w:p>
    <w:p w14:paraId="6AA51AAC">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设施维修更换：按采购人要求配合维修/更换损坏设施（新设施由采购人提供），更换后即时清理现场；</w:t>
      </w:r>
    </w:p>
    <w:p w14:paraId="30B1FBB7">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宣传标识管理：按采购人要求张贴、更新绿化宣传标识，确保标识平整、无破损。</w:t>
      </w:r>
    </w:p>
    <w:p w14:paraId="5E810DE6">
      <w:pPr>
        <w:pageBreakBefore w:val="0"/>
        <w:overflowPunct/>
        <w:bidi w:val="0"/>
        <w:spacing w:line="360" w:lineRule="auto"/>
        <w:ind w:firstLine="482" w:firstLineChars="200"/>
        <w:jc w:val="left"/>
        <w:rPr>
          <w:rFonts w:hint="eastAsia" w:ascii="黑体" w:hAnsi="黑体" w:eastAsia="黑体" w:cs="黑体"/>
          <w:b/>
          <w:bCs/>
          <w:snapToGrid w:val="0"/>
          <w:color w:val="auto"/>
          <w:sz w:val="24"/>
          <w:szCs w:val="24"/>
          <w:highlight w:val="none"/>
          <w:lang w:val="en-US" w:eastAsia="zh-CN" w:bidi="ar-SA"/>
        </w:rPr>
      </w:pPr>
      <w:r>
        <w:rPr>
          <w:rFonts w:hint="eastAsia" w:ascii="黑体" w:hAnsi="黑体" w:eastAsia="黑体" w:cs="黑体"/>
          <w:b/>
          <w:bCs/>
          <w:snapToGrid w:val="0"/>
          <w:color w:val="auto"/>
          <w:sz w:val="24"/>
          <w:szCs w:val="24"/>
          <w:highlight w:val="none"/>
          <w:lang w:val="en-US" w:eastAsia="zh-CN" w:bidi="ar-SA"/>
        </w:rPr>
        <w:t>（八）日常管理要求</w:t>
      </w:r>
    </w:p>
    <w:p w14:paraId="150CE644">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台账管理：建立完善的作业台账，包含人员考勤记录、日常巡查日志、养护作业记录、问题整改记录等，做到账实相符；</w:t>
      </w:r>
    </w:p>
    <w:p w14:paraId="717AE368">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资料报送：每日向采购人提交工作照片（含作业前后对比），每周提交养护周报，每月提交养护月报，照片及资料要真实、完整；</w:t>
      </w:r>
    </w:p>
    <w:p w14:paraId="72D7BA45">
      <w:pPr>
        <w:pageBreakBefore w:val="0"/>
        <w:overflowPunct/>
        <w:bidi w:val="0"/>
        <w:spacing w:line="360" w:lineRule="auto"/>
        <w:ind w:firstLine="480" w:firstLineChars="200"/>
        <w:jc w:val="left"/>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问题整改：对采购人检查/考核发现的问题，1小时内整改到位，并及时反馈整改结果；</w:t>
      </w:r>
    </w:p>
    <w:p w14:paraId="3E6BB503">
      <w:pPr>
        <w:spacing w:line="360" w:lineRule="auto"/>
        <w:ind w:firstLine="475"/>
        <w:rPr>
          <w:rFonts w:hint="eastAsia" w:ascii="黑体" w:hAnsi="黑体" w:eastAsia="黑体" w:cs="黑体"/>
          <w:b w:val="0"/>
          <w:bCs w:val="0"/>
          <w:snapToGrid w:val="0"/>
          <w:color w:val="auto"/>
          <w:sz w:val="24"/>
          <w:szCs w:val="24"/>
          <w:highlight w:val="none"/>
          <w:lang w:val="en-US" w:eastAsia="zh-CN" w:bidi="ar-SA"/>
        </w:rPr>
      </w:pPr>
      <w:r>
        <w:rPr>
          <w:rFonts w:hint="eastAsia" w:ascii="黑体" w:hAnsi="黑体" w:eastAsia="黑体" w:cs="黑体"/>
          <w:b w:val="0"/>
          <w:bCs w:val="0"/>
          <w:snapToGrid w:val="0"/>
          <w:color w:val="auto"/>
          <w:sz w:val="24"/>
          <w:szCs w:val="24"/>
          <w:highlight w:val="none"/>
          <w:lang w:val="en-US" w:eastAsia="zh-CN" w:bidi="ar-SA"/>
        </w:rPr>
        <w:t>服从调度：严格服从采购人的管理、调度及监督，配合城市创建、迎检整治等临时性工作，无拒绝、推诿现象。采购人可根据实际需求适度调整服务范围，中标人需积极配合。因服务范围实质性扩大或缩减，导致服务成本发生重大变化的，双方应签订补充协议，对增减的工作量及费用进行协商确认。</w:t>
      </w:r>
    </w:p>
    <w:p w14:paraId="5FED6A09">
      <w:pPr>
        <w:spacing w:line="360" w:lineRule="auto"/>
        <w:ind w:firstLine="475"/>
        <w:rPr>
          <w:rFonts w:hint="eastAsia" w:ascii="黑体" w:hAnsi="黑体" w:eastAsia="黑体" w:cs="黑体"/>
          <w:b/>
          <w:bCs/>
          <w:color w:val="auto"/>
          <w:sz w:val="24"/>
          <w:szCs w:val="24"/>
          <w:highlight w:val="none"/>
          <w:lang w:eastAsia="zh-CN"/>
        </w:rPr>
      </w:pPr>
      <w:r>
        <w:rPr>
          <w:rFonts w:hint="eastAsia" w:ascii="黑体" w:hAnsi="黑体" w:eastAsia="黑体" w:cs="黑体"/>
          <w:b w:val="0"/>
          <w:bCs w:val="0"/>
          <w:snapToGrid w:val="0"/>
          <w:color w:val="auto"/>
          <w:sz w:val="24"/>
          <w:szCs w:val="24"/>
          <w:highlight w:val="none"/>
          <w:lang w:val="en-US" w:eastAsia="zh-CN" w:bidi="ar-SA"/>
        </w:rPr>
        <w:t>（九）</w:t>
      </w:r>
      <w:r>
        <w:rPr>
          <w:rFonts w:hint="eastAsia" w:ascii="黑体" w:hAnsi="黑体" w:eastAsia="黑体" w:cs="黑体"/>
          <w:b/>
          <w:bCs/>
          <w:color w:val="auto"/>
          <w:sz w:val="24"/>
          <w:szCs w:val="24"/>
          <w:highlight w:val="none"/>
          <w:lang w:eastAsia="zh-CN"/>
        </w:rPr>
        <w:t>考核处罚细则</w:t>
      </w:r>
    </w:p>
    <w:p w14:paraId="4C5C1D73">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为加强对第三方公司园林绿化养护作业的监督管理，确保月湖区范围内园林绿化养护质量，根据国家和省市相关法律、法规、规章、规范及标准，结合本项目实际情况，制定本办法。</w:t>
      </w:r>
    </w:p>
    <w:p w14:paraId="2EB10DF8">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（1）检查考评主体</w:t>
      </w:r>
    </w:p>
    <w:p w14:paraId="5971BD3B">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区城市管理局作为检查考评的牵头单位，组织第三方作业检查考评工作。</w:t>
      </w:r>
    </w:p>
    <w:p w14:paraId="7B756DFA">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（2）检查考评对象</w:t>
      </w:r>
    </w:p>
    <w:p w14:paraId="6308FF16">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从事月湖区环境卫生作业的第三方公司。</w:t>
      </w:r>
    </w:p>
    <w:p w14:paraId="33F6079D">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（3）检查考评项目</w:t>
      </w:r>
    </w:p>
    <w:p w14:paraId="5FA4B3F3">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按与第三方公司协议规定的园林绿化养护作业项目进行检查考评，考评项目包括：绿化养护质量、修剪树枝、花箱养护、死树病树砍伐、补植、卫生保洁、人员到岗情况、设备配置、安全生产、问题整改情况等。</w:t>
      </w:r>
    </w:p>
    <w:p w14:paraId="2419DABA">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（4）检查考评原则</w:t>
      </w:r>
    </w:p>
    <w:p w14:paraId="5A44CB13">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rPr>
        <w:drawing>
          <wp:anchor distT="0" distB="0" distL="0" distR="0" simplePos="0" relativeHeight="251659264" behindDoc="1" locked="0" layoutInCell="1" allowOverlap="1">
            <wp:simplePos x="0" y="0"/>
            <wp:positionH relativeFrom="column">
              <wp:posOffset>5478780</wp:posOffset>
            </wp:positionH>
            <wp:positionV relativeFrom="paragraph">
              <wp:posOffset>238760</wp:posOffset>
            </wp:positionV>
            <wp:extent cx="118745" cy="1200150"/>
            <wp:effectExtent l="0" t="0" r="14605" b="0"/>
            <wp:wrapNone/>
            <wp:docPr id="25" name="IM 2"/>
            <wp:cNvGraphicFramePr/>
            <a:graphic xmlns:a="http://schemas.openxmlformats.org/drawingml/2006/main">
              <a:graphicData uri="http://schemas.openxmlformats.org/drawingml/2006/picture">
                <pic:pic xmlns:pic="http://schemas.openxmlformats.org/drawingml/2006/picture">
                  <pic:nvPicPr>
                    <pic:cNvPr id="25" name="IM 2"/>
                    <pic:cNvPicPr/>
                  </pic:nvPicPr>
                  <pic:blipFill>
                    <a:blip r:embed="rId4"/>
                    <a:stretch>
                      <a:fillRect/>
                    </a:stretch>
                  </pic:blipFill>
                  <pic:spPr>
                    <a:xfrm>
                      <a:off x="0" y="0"/>
                      <a:ext cx="118503" cy="1200285"/>
                    </a:xfrm>
                    <a:prstGeom prst="rect">
                      <a:avLst/>
                    </a:prstGeom>
                  </pic:spPr>
                </pic:pic>
              </a:graphicData>
            </a:graphic>
          </wp:anchor>
        </w:drawing>
      </w:r>
      <w:r>
        <w:rPr>
          <w:rFonts w:hint="eastAsia" w:ascii="黑体" w:hAnsi="黑体" w:eastAsia="黑体" w:cs="黑体"/>
          <w:color w:val="auto"/>
          <w:sz w:val="24"/>
          <w:szCs w:val="24"/>
          <w:highlight w:val="none"/>
        </w:rPr>
        <w:t>严格按照相关的法律法规、标准规范，遵循“公平、公正、公开”的原则，对全区园林绿化养护作业实施考评。考评工作强调日常检查，注重作业过程的控制，反映作业管理的整体水平和区园林绿化的管理状况</w:t>
      </w:r>
      <w:r>
        <w:rPr>
          <w:rFonts w:hint="eastAsia" w:ascii="黑体" w:hAnsi="黑体" w:eastAsia="黑体" w:cs="黑体"/>
          <w:color w:val="auto"/>
          <w:sz w:val="24"/>
          <w:szCs w:val="24"/>
          <w:highlight w:val="none"/>
          <w:lang w:eastAsia="zh-CN"/>
        </w:rPr>
        <w:t>。</w:t>
      </w:r>
    </w:p>
    <w:p w14:paraId="3D0A66C2">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rPr>
        <mc:AlternateContent>
          <mc:Choice Requires="wps">
            <w:drawing>
              <wp:anchor distT="0" distB="0" distL="0" distR="0" simplePos="0" relativeHeight="251660288" behindDoc="0" locked="0" layoutInCell="1" allowOverlap="1">
                <wp:simplePos x="0" y="0"/>
                <wp:positionH relativeFrom="column">
                  <wp:posOffset>5440045</wp:posOffset>
                </wp:positionH>
                <wp:positionV relativeFrom="paragraph">
                  <wp:posOffset>592455</wp:posOffset>
                </wp:positionV>
                <wp:extent cx="213995" cy="184785"/>
                <wp:effectExtent l="14605" t="0" r="0" b="0"/>
                <wp:wrapNone/>
                <wp:docPr id="26" name="TextBox 4"/>
                <wp:cNvGraphicFramePr/>
                <a:graphic xmlns:a="http://schemas.openxmlformats.org/drawingml/2006/main">
                  <a:graphicData uri="http://schemas.microsoft.com/office/word/2010/wordprocessingShape">
                    <wps:wsp>
                      <wps:cNvSpPr txBox="1"/>
                      <wps:spPr>
                        <a:xfrm rot="16200000">
                          <a:off x="5440152" y="593062"/>
                          <a:ext cx="213995" cy="184785"/>
                        </a:xfrm>
                        <a:prstGeom prst="rect">
                          <a:avLst/>
                        </a:prstGeom>
                        <a:noFill/>
                        <a:ln w="0" cap="flat">
                          <a:noFill/>
                          <a:prstDash val="solid"/>
                          <a:miter lim="0"/>
                        </a:ln>
                      </wps:spPr>
                      <wps:style>
                        <a:lnRef idx="0">
                          <a:schemeClr val="accent1"/>
                        </a:lnRef>
                        <a:fillRef idx="0">
                          <a:schemeClr val="accent1"/>
                        </a:fillRef>
                        <a:effectRef idx="0">
                          <a:schemeClr val="accent1"/>
                        </a:effectRef>
                        <a:fontRef idx="minor">
                          <a:schemeClr val="dk1"/>
                        </a:fontRef>
                      </wps:style>
                      <wps:txbx>
                        <w:txbxContent>
                          <w:p w14:paraId="494A6FD1">
                            <w:pPr>
                              <w:pStyle w:val="2"/>
                              <w:spacing w:before="64" w:line="237" w:lineRule="auto"/>
                              <w:ind w:left="20"/>
                              <w:rPr>
                                <w:rFonts w:hint="eastAsia"/>
                              </w:rPr>
                            </w:pPr>
                            <w:r>
                              <w:rPr>
                                <w:spacing w:val="-10"/>
                              </w:rPr>
                              <w:t>1</w:t>
                            </w:r>
                            <w:r>
                              <w:rPr>
                                <w:spacing w:val="1"/>
                              </w:rPr>
                              <w:t xml:space="preserve"> </w:t>
                            </w:r>
                            <w:r>
                              <w:rPr>
                                <w:spacing w:val="-10"/>
                              </w:rPr>
                              <w:t>三</w:t>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TextBox 4" o:spid="_x0000_s1026" o:spt="202" type="#_x0000_t202" style="position:absolute;left:0pt;margin-left:428.35pt;margin-top:46.65pt;height:14.55pt;width:16.85pt;rotation:-5898240f;z-index:251660288;mso-width-relative:page;mso-height-relative:page;" filled="f" stroked="f" coordsize="21600,21600" o:gfxdata="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B9JFfH2QAAAAoBAAAP&#10;AAAAAAAAAAEAIAAAACIAAABkcnMvZG93bnJldi54bWxQSwECFAAUAAAACACHTuJA/OIOw1ACAACh&#10;BAAADgAAAAAAAAABACAAAAAoAQAAZHJzL2Uyb0RvYy54bWxQSwUGAAAAAAYABgBZAQAA6gUAAAAA&#10;">
                <v:fill on="f" focussize="0,0"/>
                <v:stroke on="f" weight="0pt" miterlimit="0" joinstyle="miter"/>
                <v:imagedata o:title=""/>
                <o:lock v:ext="edit" aspectratio="f"/>
                <v:textbox inset="0mm,0mm,0mm,0mm">
                  <w:txbxContent>
                    <w:p w14:paraId="494A6FD1">
                      <w:pPr>
                        <w:pStyle w:val="2"/>
                        <w:spacing w:before="64" w:line="237" w:lineRule="auto"/>
                        <w:ind w:left="20"/>
                        <w:rPr>
                          <w:rFonts w:hint="eastAsia"/>
                        </w:rPr>
                      </w:pPr>
                      <w:r>
                        <w:rPr>
                          <w:spacing w:val="-10"/>
                        </w:rPr>
                        <w:t>1</w:t>
                      </w:r>
                      <w:r>
                        <w:rPr>
                          <w:spacing w:val="1"/>
                        </w:rPr>
                        <w:t xml:space="preserve"> </w:t>
                      </w:r>
                      <w:r>
                        <w:rPr>
                          <w:spacing w:val="-10"/>
                        </w:rPr>
                        <w:t>三</w:t>
                      </w:r>
                    </w:p>
                  </w:txbxContent>
                </v:textbox>
              </v:shape>
            </w:pict>
          </mc:Fallback>
        </mc:AlternateContent>
      </w:r>
      <w:r>
        <w:rPr>
          <w:rFonts w:hint="eastAsia" w:ascii="黑体" w:hAnsi="黑体" w:eastAsia="黑体" w:cs="黑体"/>
          <w:color w:val="auto"/>
          <w:sz w:val="24"/>
          <w:szCs w:val="24"/>
          <w:highlight w:val="none"/>
          <w:lang w:eastAsia="zh-CN"/>
        </w:rPr>
        <w:t>（5）检查考评形式：</w:t>
      </w:r>
    </w:p>
    <w:p w14:paraId="5D684BA4">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考评采取“日检查、月考核、季评价、年汇总”的形式，对园林绿化养护作业进行检查考评：</w:t>
      </w:r>
    </w:p>
    <w:p w14:paraId="63117A29">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日检查：每日对各检查项目抽样实施现场检查；</w:t>
      </w:r>
    </w:p>
    <w:p w14:paraId="54CB129E">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月考核：每月将日检查结果统计进行考核；</w:t>
      </w:r>
    </w:p>
    <w:p w14:paraId="7B30E1F3">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季评价：每季度综合月考核结果进行评价；</w:t>
      </w:r>
    </w:p>
    <w:p w14:paraId="6C365F34">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年汇总：年终对全年工作进行总评。</w:t>
      </w:r>
    </w:p>
    <w:p w14:paraId="040C5AC2">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（6）考核计分</w:t>
      </w:r>
    </w:p>
    <w:p w14:paraId="0CC1DD3C">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val="en-US" w:eastAsia="zh-CN"/>
        </w:rPr>
        <w:t>1.</w:t>
      </w:r>
      <w:r>
        <w:rPr>
          <w:rFonts w:hint="eastAsia" w:ascii="黑体" w:hAnsi="黑体" w:eastAsia="黑体" w:cs="黑体"/>
          <w:color w:val="auto"/>
          <w:sz w:val="24"/>
          <w:szCs w:val="24"/>
          <w:highlight w:val="none"/>
          <w:lang w:eastAsia="zh-CN"/>
        </w:rPr>
        <w:t>每月考核总分为100分，每月考核得分 = 100 -（日检查总扣分 / 检查天数）。</w:t>
      </w:r>
    </w:p>
    <w:p w14:paraId="20F242C2">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val="en-US" w:eastAsia="zh-CN"/>
        </w:rPr>
        <w:t>2.</w:t>
      </w:r>
      <w:r>
        <w:rPr>
          <w:rFonts w:hint="eastAsia" w:ascii="黑体" w:hAnsi="黑体" w:eastAsia="黑体" w:cs="黑体"/>
          <w:color w:val="auto"/>
          <w:sz w:val="24"/>
          <w:szCs w:val="24"/>
          <w:highlight w:val="none"/>
          <w:lang w:eastAsia="zh-CN"/>
        </w:rPr>
        <w:t>季度考核得分 = 前三个月考核得分之和 ÷ 3。</w:t>
      </w:r>
    </w:p>
    <w:p w14:paraId="61D6863A">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val="en-US" w:eastAsia="zh-CN"/>
        </w:rPr>
        <w:t>3.</w:t>
      </w:r>
      <w:r>
        <w:rPr>
          <w:rFonts w:hint="eastAsia" w:ascii="黑体" w:hAnsi="黑体" w:eastAsia="黑体" w:cs="黑体"/>
          <w:color w:val="auto"/>
          <w:sz w:val="24"/>
          <w:szCs w:val="24"/>
          <w:highlight w:val="none"/>
          <w:lang w:eastAsia="zh-CN"/>
        </w:rPr>
        <w:t>扣分标准按本办法附件《考核评分标准表》执行</w:t>
      </w:r>
    </w:p>
    <w:p w14:paraId="00227AA0">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（7）实施检查</w:t>
      </w:r>
    </w:p>
    <w:p w14:paraId="4C6813CE">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现场检查人员不少于2人。对检查项目采取现场观察作业情况方式进行检查，检查时填写《检查考核记录表》,对存在的问题进行说明、拍照或摄像。</w:t>
      </w:r>
    </w:p>
    <w:p w14:paraId="4EA8932E">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（8）考评结果运用</w:t>
      </w:r>
    </w:p>
    <w:p w14:paraId="097FA879">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区城管局根据每日检查情况，对第三方考核扣款直至解除合同。</w:t>
      </w:r>
    </w:p>
    <w:p w14:paraId="5AB0882D">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采购人应于次月10日前将上月考核得分及扣分明细书面通知中标人。中标人如有异议，应在2个工作日内书面提出，双方协商解决；协商不成的，以采购人考核记录为准，采购人有权在支付当月服务费时直接扣除相应款项，每分扣款</w:t>
      </w:r>
      <w:r>
        <w:rPr>
          <w:rFonts w:hint="eastAsia" w:ascii="黑体" w:hAnsi="黑体" w:eastAsia="黑体" w:cs="黑体"/>
          <w:color w:val="auto"/>
          <w:sz w:val="24"/>
          <w:szCs w:val="24"/>
          <w:highlight w:val="none"/>
          <w:lang w:val="en-US" w:eastAsia="zh-CN"/>
        </w:rPr>
        <w:t>50元</w:t>
      </w:r>
      <w:r>
        <w:rPr>
          <w:rFonts w:hint="eastAsia" w:ascii="黑体" w:hAnsi="黑体" w:eastAsia="黑体" w:cs="黑体"/>
          <w:color w:val="auto"/>
          <w:sz w:val="24"/>
          <w:szCs w:val="24"/>
          <w:highlight w:val="none"/>
          <w:lang w:eastAsia="zh-CN"/>
        </w:rPr>
        <w:t>。计算公式：当月应付服务费 = 月服务费 - (当月日检查总扣分 × 50元)。</w:t>
      </w:r>
    </w:p>
    <w:p w14:paraId="68A2B4C6">
      <w:pPr>
        <w:spacing w:line="360" w:lineRule="auto"/>
        <w:ind w:firstLine="475"/>
        <w:rPr>
          <w:rFonts w:hint="eastAsia" w:ascii="黑体" w:hAnsi="黑体" w:eastAsia="黑体" w:cs="黑体"/>
          <w:color w:val="auto"/>
          <w:sz w:val="24"/>
          <w:szCs w:val="24"/>
          <w:highlight w:val="none"/>
          <w:lang w:eastAsia="zh-CN"/>
        </w:rPr>
      </w:pPr>
      <w:r>
        <w:rPr>
          <w:rFonts w:hint="eastAsia" w:ascii="黑体" w:hAnsi="黑体" w:eastAsia="黑体" w:cs="黑体"/>
          <w:color w:val="auto"/>
          <w:sz w:val="24"/>
          <w:szCs w:val="24"/>
          <w:highlight w:val="none"/>
          <w:lang w:eastAsia="zh-CN"/>
        </w:rPr>
        <w:t>每合同年内，乙方季考评得分低于60分，甲方不予支付该季服务费；乙方季考评得分第二次低于60分，甲方有权单方面解除合同。</w:t>
      </w:r>
    </w:p>
    <w:p w14:paraId="4ED799F2">
      <w:pPr>
        <w:rPr>
          <w:rFonts w:hint="eastAsia" w:ascii="黑体" w:hAnsi="黑体" w:eastAsia="黑体" w:cs="黑体"/>
          <w:b/>
          <w:color w:val="auto"/>
          <w:spacing w:val="0"/>
          <w:kern w:val="0"/>
          <w:sz w:val="28"/>
          <w:szCs w:val="28"/>
          <w:highlight w:val="none"/>
          <w:lang w:val="en-US" w:eastAsia="zh-CN"/>
        </w:rPr>
      </w:pPr>
      <w:r>
        <w:rPr>
          <w:rFonts w:hint="eastAsia" w:ascii="黑体" w:hAnsi="黑体" w:eastAsia="黑体" w:cs="黑体"/>
          <w:b/>
          <w:color w:val="auto"/>
          <w:spacing w:val="0"/>
          <w:kern w:val="0"/>
          <w:sz w:val="28"/>
          <w:szCs w:val="28"/>
          <w:highlight w:val="none"/>
          <w:lang w:val="en-US" w:eastAsia="zh-CN"/>
        </w:rPr>
        <w:br w:type="page"/>
      </w:r>
    </w:p>
    <w:p w14:paraId="78121EAB">
      <w:pPr>
        <w:keepNext w:val="0"/>
        <w:keepLines w:val="0"/>
        <w:pageBreakBefore w:val="0"/>
        <w:widowControl/>
        <w:shd w:val="clear"/>
        <w:kinsoku w:val="0"/>
        <w:wordWrap/>
        <w:overflowPunct/>
        <w:topLinePunct w:val="0"/>
        <w:autoSpaceDE w:val="0"/>
        <w:autoSpaceDN w:val="0"/>
        <w:bidi w:val="0"/>
        <w:adjustRightInd w:val="0"/>
        <w:snapToGrid w:val="0"/>
        <w:spacing w:line="360" w:lineRule="auto"/>
        <w:textAlignment w:val="baseline"/>
        <w:outlineLvl w:val="9"/>
        <w:rPr>
          <w:rFonts w:hint="eastAsia" w:ascii="黑体" w:hAnsi="黑体" w:eastAsia="黑体" w:cs="黑体"/>
          <w:b/>
          <w:color w:val="auto"/>
          <w:spacing w:val="0"/>
          <w:kern w:val="0"/>
          <w:sz w:val="28"/>
          <w:szCs w:val="28"/>
          <w:highlight w:val="none"/>
          <w:lang w:val="en-US" w:eastAsia="zh-CN"/>
        </w:rPr>
      </w:pPr>
      <w:r>
        <w:rPr>
          <w:rFonts w:hint="eastAsia" w:ascii="黑体" w:hAnsi="黑体" w:eastAsia="黑体" w:cs="黑体"/>
          <w:b/>
          <w:color w:val="auto"/>
          <w:spacing w:val="0"/>
          <w:kern w:val="0"/>
          <w:sz w:val="28"/>
          <w:szCs w:val="28"/>
          <w:highlight w:val="none"/>
          <w:lang w:val="en-US" w:eastAsia="zh-CN"/>
        </w:rPr>
        <w:t>附件：考核办法</w:t>
      </w:r>
    </w:p>
    <w:tbl>
      <w:tblPr>
        <w:tblStyle w:val="8"/>
        <w:tblW w:w="985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28"/>
        <w:gridCol w:w="1095"/>
        <w:gridCol w:w="3856"/>
        <w:gridCol w:w="3879"/>
      </w:tblGrid>
      <w:tr w14:paraId="39A92B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Align w:val="center"/>
          </w:tcPr>
          <w:p w14:paraId="6367187B">
            <w:pPr>
              <w:spacing w:line="360" w:lineRule="auto"/>
              <w:jc w:val="center"/>
              <w:outlineLvl w:val="9"/>
              <w:rPr>
                <w:rFonts w:hint="eastAsia" w:ascii="黑体" w:hAnsi="黑体" w:eastAsia="黑体" w:cs="黑体"/>
                <w:b/>
                <w:bCs/>
                <w:color w:val="auto"/>
                <w:sz w:val="24"/>
                <w:szCs w:val="24"/>
                <w:highlight w:val="none"/>
                <w:lang w:val="en-US" w:eastAsia="zh-CN"/>
              </w:rPr>
            </w:pPr>
            <w:r>
              <w:rPr>
                <w:rFonts w:hint="eastAsia" w:ascii="黑体" w:hAnsi="黑体" w:eastAsia="黑体" w:cs="黑体"/>
                <w:b/>
                <w:bCs/>
                <w:color w:val="auto"/>
                <w:sz w:val="24"/>
                <w:szCs w:val="24"/>
                <w:highlight w:val="none"/>
                <w:lang w:val="en-US" w:eastAsia="zh-CN"/>
              </w:rPr>
              <w:t>考评大类</w:t>
            </w:r>
          </w:p>
        </w:tc>
        <w:tc>
          <w:tcPr>
            <w:tcW w:w="1095" w:type="dxa"/>
            <w:vAlign w:val="center"/>
          </w:tcPr>
          <w:p w14:paraId="29C7DC15">
            <w:pPr>
              <w:spacing w:line="360" w:lineRule="auto"/>
              <w:jc w:val="center"/>
              <w:outlineLvl w:val="9"/>
              <w:rPr>
                <w:rFonts w:hint="eastAsia" w:ascii="黑体" w:hAnsi="黑体" w:eastAsia="黑体" w:cs="黑体"/>
                <w:b/>
                <w:bCs/>
                <w:color w:val="auto"/>
                <w:sz w:val="24"/>
                <w:szCs w:val="24"/>
                <w:highlight w:val="none"/>
              </w:rPr>
            </w:pPr>
            <w:r>
              <w:rPr>
                <w:rFonts w:hint="eastAsia" w:ascii="黑体" w:hAnsi="黑体" w:eastAsia="黑体" w:cs="黑体"/>
                <w:b/>
                <w:bCs/>
                <w:color w:val="auto"/>
                <w:sz w:val="24"/>
                <w:szCs w:val="24"/>
                <w:highlight w:val="none"/>
              </w:rPr>
              <w:t>考评项目</w:t>
            </w:r>
          </w:p>
        </w:tc>
        <w:tc>
          <w:tcPr>
            <w:tcW w:w="3856" w:type="dxa"/>
            <w:vAlign w:val="center"/>
          </w:tcPr>
          <w:p w14:paraId="5094A614">
            <w:pPr>
              <w:spacing w:line="360" w:lineRule="auto"/>
              <w:jc w:val="center"/>
              <w:outlineLvl w:val="9"/>
              <w:rPr>
                <w:rFonts w:hint="eastAsia" w:ascii="黑体" w:hAnsi="黑体" w:eastAsia="黑体" w:cs="黑体"/>
                <w:b/>
                <w:bCs/>
                <w:color w:val="auto"/>
                <w:sz w:val="24"/>
                <w:szCs w:val="24"/>
                <w:highlight w:val="none"/>
              </w:rPr>
            </w:pPr>
            <w:r>
              <w:rPr>
                <w:rFonts w:hint="eastAsia" w:ascii="黑体" w:hAnsi="黑体" w:eastAsia="黑体" w:cs="黑体"/>
                <w:b/>
                <w:bCs/>
                <w:color w:val="auto"/>
                <w:sz w:val="24"/>
                <w:szCs w:val="24"/>
                <w:highlight w:val="none"/>
              </w:rPr>
              <w:t>作业要求</w:t>
            </w:r>
          </w:p>
        </w:tc>
        <w:tc>
          <w:tcPr>
            <w:tcW w:w="3879" w:type="dxa"/>
            <w:vAlign w:val="center"/>
          </w:tcPr>
          <w:p w14:paraId="33DBF47D">
            <w:pPr>
              <w:spacing w:line="360" w:lineRule="auto"/>
              <w:jc w:val="center"/>
              <w:outlineLvl w:val="9"/>
              <w:rPr>
                <w:rFonts w:hint="eastAsia" w:ascii="黑体" w:hAnsi="黑体" w:eastAsia="黑体" w:cs="黑体"/>
                <w:b/>
                <w:bCs/>
                <w:color w:val="auto"/>
                <w:sz w:val="24"/>
                <w:szCs w:val="24"/>
                <w:highlight w:val="none"/>
              </w:rPr>
            </w:pPr>
            <w:r>
              <w:rPr>
                <w:rFonts w:hint="eastAsia" w:ascii="黑体" w:hAnsi="黑体" w:eastAsia="黑体" w:cs="黑体"/>
                <w:b/>
                <w:bCs/>
                <w:color w:val="auto"/>
                <w:sz w:val="24"/>
                <w:szCs w:val="24"/>
                <w:highlight w:val="none"/>
              </w:rPr>
              <w:t>考评标准</w:t>
            </w:r>
          </w:p>
        </w:tc>
      </w:tr>
      <w:tr w14:paraId="6B37EB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restart"/>
            <w:vAlign w:val="center"/>
          </w:tcPr>
          <w:p w14:paraId="051F0F07">
            <w:pPr>
              <w:spacing w:line="360" w:lineRule="auto"/>
              <w:jc w:val="center"/>
              <w:outlineLvl w:val="9"/>
              <w:rPr>
                <w:rFonts w:hint="eastAsia" w:ascii="黑体" w:hAnsi="黑体" w:eastAsia="黑体" w:cs="黑体"/>
                <w:b/>
                <w:bCs/>
                <w:color w:val="auto"/>
                <w:sz w:val="24"/>
                <w:szCs w:val="24"/>
                <w:highlight w:val="none"/>
                <w:lang w:val="en-US" w:eastAsia="zh-CN"/>
              </w:rPr>
            </w:pPr>
            <w:r>
              <w:rPr>
                <w:rFonts w:hint="eastAsia" w:ascii="黑体" w:hAnsi="黑体" w:eastAsia="黑体" w:cs="黑体"/>
                <w:b/>
                <w:bCs/>
                <w:i w:val="0"/>
                <w:iCs w:val="0"/>
                <w:caps w:val="0"/>
                <w:color w:val="auto"/>
                <w:spacing w:val="0"/>
                <w:sz w:val="22"/>
                <w:szCs w:val="22"/>
                <w:shd w:val="clear" w:fill="FFFFFF"/>
              </w:rPr>
              <w:t>一、绿化养护</w:t>
            </w:r>
          </w:p>
        </w:tc>
        <w:tc>
          <w:tcPr>
            <w:tcW w:w="1095" w:type="dxa"/>
            <w:vAlign w:val="center"/>
          </w:tcPr>
          <w:p w14:paraId="75C80114">
            <w:pPr>
              <w:keepNext w:val="0"/>
              <w:keepLines w:val="0"/>
              <w:widowControl/>
              <w:suppressLineNumbers w:val="0"/>
              <w:bidi w:val="0"/>
              <w:spacing w:before="0" w:beforeAutospacing="0" w:after="0" w:afterAutospacing="0" w:line="420" w:lineRule="atLeast"/>
              <w:ind w:left="0" w:leftChars="0" w:right="0" w:rightChars="0" w:firstLine="0" w:firstLineChars="0"/>
              <w:jc w:val="center"/>
              <w:outlineLvl w:val="9"/>
              <w:rPr>
                <w:rFonts w:hint="eastAsia" w:ascii="黑体" w:hAnsi="黑体" w:eastAsia="黑体" w:cs="黑体"/>
                <w:color w:val="auto"/>
                <w:sz w:val="24"/>
                <w:szCs w:val="24"/>
                <w:highlight w:val="none"/>
              </w:rPr>
            </w:pPr>
            <w:r>
              <w:rPr>
                <w:rFonts w:hint="eastAsia" w:ascii="黑体" w:hAnsi="黑体" w:eastAsia="黑体" w:cs="黑体"/>
                <w:i w:val="0"/>
                <w:iCs w:val="0"/>
                <w:caps w:val="0"/>
                <w:color w:val="auto"/>
                <w:spacing w:val="0"/>
                <w:sz w:val="22"/>
                <w:szCs w:val="22"/>
                <w:shd w:val="clear" w:fill="FFFFFF"/>
              </w:rPr>
              <w:t>草坪养护</w:t>
            </w:r>
          </w:p>
        </w:tc>
        <w:tc>
          <w:tcPr>
            <w:tcW w:w="3856" w:type="dxa"/>
            <w:vAlign w:val="center"/>
          </w:tcPr>
          <w:p w14:paraId="410B0FCC">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color w:val="auto"/>
                <w:sz w:val="24"/>
                <w:szCs w:val="24"/>
                <w:highlight w:val="none"/>
                <w:lang w:val="en-US" w:eastAsia="zh-CN"/>
              </w:rPr>
            </w:pPr>
            <w:r>
              <w:rPr>
                <w:rFonts w:hint="eastAsia" w:ascii="黑体" w:hAnsi="黑体" w:eastAsia="黑体" w:cs="黑体"/>
                <w:i w:val="0"/>
                <w:iCs w:val="0"/>
                <w:caps w:val="0"/>
                <w:color w:val="auto"/>
                <w:spacing w:val="0"/>
                <w:sz w:val="22"/>
                <w:szCs w:val="22"/>
                <w:shd w:val="clear" w:fill="FFFFFF"/>
              </w:rPr>
              <w:t>草坪修剪平整，高度≤12cm，无杂草、无秃斑、无黄斑</w:t>
            </w:r>
          </w:p>
        </w:tc>
        <w:tc>
          <w:tcPr>
            <w:tcW w:w="3879" w:type="dxa"/>
            <w:vAlign w:val="center"/>
          </w:tcPr>
          <w:p w14:paraId="15E67403">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color w:val="auto"/>
                <w:sz w:val="24"/>
                <w:szCs w:val="24"/>
                <w:highlight w:val="none"/>
                <w:lang w:val="en-US" w:eastAsia="zh-CN"/>
              </w:rPr>
            </w:pPr>
            <w:r>
              <w:rPr>
                <w:rFonts w:hint="eastAsia" w:ascii="黑体" w:hAnsi="黑体" w:eastAsia="黑体" w:cs="黑体"/>
                <w:i w:val="0"/>
                <w:iCs w:val="0"/>
                <w:caps w:val="0"/>
                <w:color w:val="auto"/>
                <w:spacing w:val="0"/>
                <w:sz w:val="22"/>
                <w:szCs w:val="22"/>
                <w:shd w:val="clear" w:fill="FFFFFF"/>
              </w:rPr>
              <w:t>杂草明显、秃斑、黄斑每处扣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分；高度超标每处扣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w:t>
            </w:r>
          </w:p>
        </w:tc>
      </w:tr>
      <w:tr w14:paraId="1867FF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continue"/>
            <w:vAlign w:val="center"/>
          </w:tcPr>
          <w:p w14:paraId="2444010E">
            <w:pPr>
              <w:spacing w:line="360" w:lineRule="auto"/>
              <w:jc w:val="center"/>
              <w:outlineLvl w:val="9"/>
              <w:rPr>
                <w:rFonts w:hint="eastAsia" w:ascii="黑体" w:hAnsi="黑体" w:eastAsia="黑体" w:cs="黑体"/>
                <w:b/>
                <w:bCs/>
                <w:color w:val="auto"/>
                <w:sz w:val="24"/>
                <w:szCs w:val="24"/>
                <w:highlight w:val="none"/>
              </w:rPr>
            </w:pPr>
          </w:p>
        </w:tc>
        <w:tc>
          <w:tcPr>
            <w:tcW w:w="1095" w:type="dxa"/>
            <w:vAlign w:val="center"/>
          </w:tcPr>
          <w:p w14:paraId="77D6D0C2">
            <w:pPr>
              <w:keepNext w:val="0"/>
              <w:keepLines w:val="0"/>
              <w:widowControl/>
              <w:suppressLineNumbers w:val="0"/>
              <w:bidi w:val="0"/>
              <w:spacing w:before="0" w:beforeAutospacing="0" w:after="0" w:afterAutospacing="0" w:line="420" w:lineRule="atLeast"/>
              <w:ind w:left="0" w:leftChars="0" w:right="0" w:rightChars="0" w:firstLine="0" w:firstLineChars="0"/>
              <w:jc w:val="center"/>
              <w:outlineLvl w:val="9"/>
              <w:rPr>
                <w:rFonts w:hint="eastAsia" w:ascii="黑体" w:hAnsi="黑体" w:eastAsia="黑体" w:cs="黑体"/>
                <w:color w:val="auto"/>
                <w:sz w:val="24"/>
                <w:szCs w:val="24"/>
                <w:highlight w:val="none"/>
              </w:rPr>
            </w:pPr>
            <w:r>
              <w:rPr>
                <w:rFonts w:hint="eastAsia" w:ascii="黑体" w:hAnsi="黑体" w:eastAsia="黑体" w:cs="黑体"/>
                <w:i w:val="0"/>
                <w:iCs w:val="0"/>
                <w:caps w:val="0"/>
                <w:color w:val="auto"/>
                <w:spacing w:val="0"/>
                <w:sz w:val="22"/>
                <w:szCs w:val="22"/>
                <w:shd w:val="clear" w:fill="FFFFFF"/>
              </w:rPr>
              <w:t>绿篱色块养护</w:t>
            </w:r>
          </w:p>
        </w:tc>
        <w:tc>
          <w:tcPr>
            <w:tcW w:w="3856" w:type="dxa"/>
            <w:vAlign w:val="center"/>
          </w:tcPr>
          <w:p w14:paraId="5B4DF7F4">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color w:val="auto"/>
                <w:sz w:val="24"/>
                <w:szCs w:val="24"/>
                <w:highlight w:val="none"/>
                <w:lang w:val="en-US" w:eastAsia="zh-CN"/>
              </w:rPr>
            </w:pPr>
            <w:r>
              <w:rPr>
                <w:rFonts w:hint="eastAsia" w:ascii="黑体" w:hAnsi="黑体" w:eastAsia="黑体" w:cs="黑体"/>
                <w:i w:val="0"/>
                <w:iCs w:val="0"/>
                <w:caps w:val="0"/>
                <w:color w:val="auto"/>
                <w:spacing w:val="0"/>
                <w:sz w:val="22"/>
                <w:szCs w:val="22"/>
                <w:shd w:val="clear" w:fill="FFFFFF"/>
              </w:rPr>
              <w:t>无缺株、断行，边线流畅，无病虫叶、无杂草</w:t>
            </w:r>
          </w:p>
        </w:tc>
        <w:tc>
          <w:tcPr>
            <w:tcW w:w="3879" w:type="dxa"/>
            <w:vAlign w:val="center"/>
          </w:tcPr>
          <w:p w14:paraId="43301469">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color w:val="auto"/>
                <w:sz w:val="24"/>
                <w:szCs w:val="24"/>
                <w:highlight w:val="none"/>
                <w:lang w:val="en-US" w:eastAsia="zh-CN"/>
              </w:rPr>
            </w:pPr>
            <w:r>
              <w:rPr>
                <w:rFonts w:hint="eastAsia" w:ascii="黑体" w:hAnsi="黑体" w:eastAsia="黑体" w:cs="黑体"/>
                <w:i w:val="0"/>
                <w:iCs w:val="0"/>
                <w:caps w:val="0"/>
                <w:color w:val="auto"/>
                <w:spacing w:val="0"/>
                <w:sz w:val="22"/>
                <w:szCs w:val="22"/>
                <w:shd w:val="clear" w:fill="FFFFFF"/>
              </w:rPr>
              <w:t>缺株、断行每处扣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分；病虫叶、杂草每处扣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w:t>
            </w:r>
          </w:p>
        </w:tc>
      </w:tr>
      <w:tr w14:paraId="698980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continue"/>
            <w:vAlign w:val="center"/>
          </w:tcPr>
          <w:p w14:paraId="29792CC9">
            <w:pPr>
              <w:spacing w:line="360" w:lineRule="auto"/>
              <w:jc w:val="center"/>
              <w:outlineLvl w:val="9"/>
              <w:rPr>
                <w:rFonts w:hint="eastAsia" w:ascii="黑体" w:hAnsi="黑体" w:eastAsia="黑体" w:cs="黑体"/>
                <w:b/>
                <w:bCs/>
                <w:color w:val="auto"/>
                <w:sz w:val="24"/>
                <w:szCs w:val="24"/>
                <w:highlight w:val="none"/>
              </w:rPr>
            </w:pPr>
          </w:p>
        </w:tc>
        <w:tc>
          <w:tcPr>
            <w:tcW w:w="1095" w:type="dxa"/>
            <w:vAlign w:val="center"/>
          </w:tcPr>
          <w:p w14:paraId="7D81DCC3">
            <w:pPr>
              <w:keepNext w:val="0"/>
              <w:keepLines w:val="0"/>
              <w:widowControl/>
              <w:suppressLineNumbers w:val="0"/>
              <w:bidi w:val="0"/>
              <w:spacing w:before="0" w:beforeAutospacing="0" w:after="0" w:afterAutospacing="0" w:line="420" w:lineRule="atLeast"/>
              <w:ind w:left="0" w:leftChars="0" w:right="0" w:rightChars="0" w:firstLine="0" w:firstLineChars="0"/>
              <w:jc w:val="center"/>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造型灌木养护</w:t>
            </w:r>
          </w:p>
        </w:tc>
        <w:tc>
          <w:tcPr>
            <w:tcW w:w="3856" w:type="dxa"/>
            <w:vAlign w:val="center"/>
          </w:tcPr>
          <w:p w14:paraId="232A8C07">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color w:val="auto"/>
                <w:sz w:val="24"/>
                <w:szCs w:val="24"/>
                <w:highlight w:val="none"/>
                <w:lang w:val="en-US" w:eastAsia="zh-CN"/>
              </w:rPr>
            </w:pPr>
            <w:r>
              <w:rPr>
                <w:rFonts w:hint="eastAsia" w:ascii="黑体" w:hAnsi="黑体" w:eastAsia="黑体" w:cs="黑体"/>
                <w:i w:val="0"/>
                <w:iCs w:val="0"/>
                <w:caps w:val="0"/>
                <w:color w:val="auto"/>
                <w:spacing w:val="0"/>
                <w:sz w:val="22"/>
                <w:szCs w:val="22"/>
                <w:shd w:val="clear" w:fill="FFFFFF"/>
              </w:rPr>
              <w:t>无死亡、缺失，无病虫叶，无徒长枝，造型美观</w:t>
            </w:r>
          </w:p>
        </w:tc>
        <w:tc>
          <w:tcPr>
            <w:tcW w:w="3879" w:type="dxa"/>
            <w:vAlign w:val="center"/>
          </w:tcPr>
          <w:p w14:paraId="29929586">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color w:val="auto"/>
                <w:sz w:val="24"/>
                <w:szCs w:val="24"/>
                <w:highlight w:val="none"/>
                <w:lang w:val="en-US" w:eastAsia="zh-CN"/>
              </w:rPr>
            </w:pPr>
            <w:r>
              <w:rPr>
                <w:rFonts w:hint="eastAsia" w:ascii="黑体" w:hAnsi="黑体" w:eastAsia="黑体" w:cs="黑体"/>
                <w:i w:val="0"/>
                <w:iCs w:val="0"/>
                <w:caps w:val="0"/>
                <w:color w:val="auto"/>
                <w:spacing w:val="0"/>
                <w:sz w:val="22"/>
                <w:szCs w:val="22"/>
                <w:shd w:val="clear" w:fill="FFFFFF"/>
              </w:rPr>
              <w:t>死亡、缺失每株扣1分；病虫叶、徒长枝每处扣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w:t>
            </w:r>
          </w:p>
        </w:tc>
      </w:tr>
      <w:tr w14:paraId="743ACD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continue"/>
            <w:vAlign w:val="center"/>
          </w:tcPr>
          <w:p w14:paraId="49659AE1">
            <w:pPr>
              <w:spacing w:line="360" w:lineRule="auto"/>
              <w:jc w:val="center"/>
              <w:outlineLvl w:val="9"/>
              <w:rPr>
                <w:rFonts w:hint="eastAsia" w:ascii="黑体" w:hAnsi="黑体" w:eastAsia="黑体" w:cs="黑体"/>
                <w:b/>
                <w:bCs/>
                <w:color w:val="auto"/>
                <w:sz w:val="24"/>
                <w:szCs w:val="24"/>
                <w:highlight w:val="none"/>
              </w:rPr>
            </w:pPr>
          </w:p>
        </w:tc>
        <w:tc>
          <w:tcPr>
            <w:tcW w:w="1095" w:type="dxa"/>
            <w:vAlign w:val="center"/>
          </w:tcPr>
          <w:p w14:paraId="0F0A1713">
            <w:pPr>
              <w:keepNext w:val="0"/>
              <w:keepLines w:val="0"/>
              <w:widowControl/>
              <w:suppressLineNumbers w:val="0"/>
              <w:bidi w:val="0"/>
              <w:spacing w:before="0" w:beforeAutospacing="0" w:after="0" w:afterAutospacing="0" w:line="420" w:lineRule="atLeast"/>
              <w:ind w:left="0" w:leftChars="0" w:right="0" w:rightChars="0" w:firstLine="0" w:firstLineChars="0"/>
              <w:jc w:val="center"/>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树木养护</w:t>
            </w:r>
          </w:p>
        </w:tc>
        <w:tc>
          <w:tcPr>
            <w:tcW w:w="3856" w:type="dxa"/>
            <w:vAlign w:val="center"/>
          </w:tcPr>
          <w:p w14:paraId="1BEEE775">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color w:val="auto"/>
                <w:sz w:val="24"/>
                <w:szCs w:val="24"/>
                <w:highlight w:val="none"/>
                <w:lang w:val="en-US" w:eastAsia="zh-CN"/>
              </w:rPr>
            </w:pPr>
            <w:r>
              <w:rPr>
                <w:rFonts w:hint="eastAsia" w:ascii="黑体" w:hAnsi="黑体" w:eastAsia="黑体" w:cs="黑体"/>
                <w:i w:val="0"/>
                <w:iCs w:val="0"/>
                <w:caps w:val="0"/>
                <w:color w:val="auto"/>
                <w:spacing w:val="0"/>
                <w:sz w:val="22"/>
                <w:szCs w:val="22"/>
                <w:shd w:val="clear" w:fill="FFFFFF"/>
              </w:rPr>
              <w:t>无枯枝、残枝，无倾斜倒伏，长势旺盛</w:t>
            </w:r>
          </w:p>
        </w:tc>
        <w:tc>
          <w:tcPr>
            <w:tcW w:w="3879" w:type="dxa"/>
            <w:vAlign w:val="center"/>
          </w:tcPr>
          <w:p w14:paraId="5DEE065B">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color w:val="auto"/>
                <w:sz w:val="24"/>
                <w:szCs w:val="24"/>
                <w:highlight w:val="none"/>
                <w:lang w:val="en-US" w:eastAsia="zh-CN"/>
              </w:rPr>
            </w:pPr>
            <w:r>
              <w:rPr>
                <w:rFonts w:hint="eastAsia" w:ascii="黑体" w:hAnsi="黑体" w:eastAsia="黑体" w:cs="黑体"/>
                <w:i w:val="0"/>
                <w:iCs w:val="0"/>
                <w:caps w:val="0"/>
                <w:color w:val="auto"/>
                <w:spacing w:val="0"/>
                <w:sz w:val="22"/>
                <w:szCs w:val="22"/>
                <w:shd w:val="clear" w:fill="FFFFFF"/>
              </w:rPr>
              <w:t>枯枝、残枝每处扣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分；倾斜倒伏每株扣1分</w:t>
            </w:r>
          </w:p>
        </w:tc>
      </w:tr>
      <w:tr w14:paraId="296665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continue"/>
            <w:vAlign w:val="center"/>
          </w:tcPr>
          <w:p w14:paraId="019288F5">
            <w:pPr>
              <w:spacing w:line="360" w:lineRule="auto"/>
              <w:jc w:val="center"/>
              <w:outlineLvl w:val="9"/>
              <w:rPr>
                <w:rFonts w:hint="eastAsia" w:ascii="黑体" w:hAnsi="黑体" w:eastAsia="黑体" w:cs="黑体"/>
                <w:b/>
                <w:bCs/>
                <w:color w:val="auto"/>
                <w:sz w:val="24"/>
                <w:szCs w:val="24"/>
                <w:highlight w:val="none"/>
              </w:rPr>
            </w:pPr>
          </w:p>
        </w:tc>
        <w:tc>
          <w:tcPr>
            <w:tcW w:w="1095" w:type="dxa"/>
            <w:vAlign w:val="center"/>
          </w:tcPr>
          <w:p w14:paraId="6488C9D5">
            <w:pPr>
              <w:keepNext w:val="0"/>
              <w:keepLines w:val="0"/>
              <w:widowControl/>
              <w:suppressLineNumbers w:val="0"/>
              <w:bidi w:val="0"/>
              <w:spacing w:before="0" w:beforeAutospacing="0" w:after="0" w:afterAutospacing="0" w:line="420" w:lineRule="atLeast"/>
              <w:ind w:left="0" w:leftChars="0" w:right="0" w:rightChars="0" w:firstLine="0" w:firstLineChars="0"/>
              <w:jc w:val="center"/>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b/>
                <w:bCs/>
                <w:i w:val="0"/>
                <w:iCs w:val="0"/>
                <w:caps w:val="0"/>
                <w:color w:val="auto"/>
                <w:spacing w:val="0"/>
                <w:sz w:val="22"/>
                <w:szCs w:val="22"/>
                <w:shd w:val="clear" w:fill="FFFFFF"/>
              </w:rPr>
              <w:t>修剪树枝</w:t>
            </w:r>
          </w:p>
        </w:tc>
        <w:tc>
          <w:tcPr>
            <w:tcW w:w="3856" w:type="dxa"/>
            <w:vAlign w:val="center"/>
          </w:tcPr>
          <w:p w14:paraId="7A8D541A">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按要求及时修剪，修剪规范，修剪后枝条当天清运</w:t>
            </w:r>
          </w:p>
        </w:tc>
        <w:tc>
          <w:tcPr>
            <w:tcW w:w="3879" w:type="dxa"/>
            <w:vAlign w:val="center"/>
          </w:tcPr>
          <w:p w14:paraId="27A0E822">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未及时修剪每处扣1分；枝条未当天清运每处扣1分</w:t>
            </w:r>
          </w:p>
        </w:tc>
      </w:tr>
      <w:tr w14:paraId="4C2A05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continue"/>
            <w:vAlign w:val="center"/>
          </w:tcPr>
          <w:p w14:paraId="4EE43887">
            <w:pPr>
              <w:spacing w:line="360" w:lineRule="auto"/>
              <w:jc w:val="center"/>
              <w:outlineLvl w:val="9"/>
              <w:rPr>
                <w:rFonts w:hint="eastAsia" w:ascii="黑体" w:hAnsi="黑体" w:eastAsia="黑体" w:cs="黑体"/>
                <w:b/>
                <w:bCs/>
                <w:color w:val="auto"/>
                <w:sz w:val="24"/>
                <w:szCs w:val="24"/>
                <w:highlight w:val="none"/>
              </w:rPr>
            </w:pPr>
          </w:p>
        </w:tc>
        <w:tc>
          <w:tcPr>
            <w:tcW w:w="1095" w:type="dxa"/>
            <w:vAlign w:val="center"/>
          </w:tcPr>
          <w:p w14:paraId="7D5A82AD">
            <w:pPr>
              <w:keepNext w:val="0"/>
              <w:keepLines w:val="0"/>
              <w:widowControl/>
              <w:suppressLineNumbers w:val="0"/>
              <w:bidi w:val="0"/>
              <w:spacing w:before="0" w:beforeAutospacing="0" w:after="0" w:afterAutospacing="0" w:line="420" w:lineRule="atLeast"/>
              <w:ind w:left="0" w:leftChars="0" w:right="0" w:rightChars="0" w:firstLine="0" w:firstLineChars="0"/>
              <w:jc w:val="center"/>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b/>
                <w:bCs/>
                <w:i w:val="0"/>
                <w:iCs w:val="0"/>
                <w:caps w:val="0"/>
                <w:color w:val="auto"/>
                <w:spacing w:val="0"/>
                <w:sz w:val="22"/>
                <w:szCs w:val="22"/>
                <w:shd w:val="clear" w:fill="FFFFFF"/>
              </w:rPr>
              <w:t>花箱养护</w:t>
            </w:r>
          </w:p>
        </w:tc>
        <w:tc>
          <w:tcPr>
            <w:tcW w:w="3856" w:type="dxa"/>
            <w:vAlign w:val="center"/>
          </w:tcPr>
          <w:p w14:paraId="7CBE540D">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花箱整洁、无破损，花卉鲜活、无枯死缺株</w:t>
            </w:r>
          </w:p>
        </w:tc>
        <w:tc>
          <w:tcPr>
            <w:tcW w:w="3879" w:type="dxa"/>
            <w:vAlign w:val="center"/>
          </w:tcPr>
          <w:p w14:paraId="0F91F150">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花箱脏污、破损每处扣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分；花卉枯死缺株每处扣1分</w:t>
            </w:r>
          </w:p>
        </w:tc>
      </w:tr>
      <w:tr w14:paraId="7260A1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continue"/>
            <w:vAlign w:val="center"/>
          </w:tcPr>
          <w:p w14:paraId="522909DB">
            <w:pPr>
              <w:spacing w:line="360" w:lineRule="auto"/>
              <w:jc w:val="center"/>
              <w:outlineLvl w:val="9"/>
              <w:rPr>
                <w:rFonts w:hint="eastAsia" w:ascii="黑体" w:hAnsi="黑体" w:eastAsia="黑体" w:cs="黑体"/>
                <w:b/>
                <w:bCs/>
                <w:color w:val="auto"/>
                <w:sz w:val="24"/>
                <w:szCs w:val="24"/>
                <w:highlight w:val="none"/>
              </w:rPr>
            </w:pPr>
          </w:p>
        </w:tc>
        <w:tc>
          <w:tcPr>
            <w:tcW w:w="1095" w:type="dxa"/>
            <w:vAlign w:val="center"/>
          </w:tcPr>
          <w:p w14:paraId="733953F5">
            <w:pPr>
              <w:keepNext w:val="0"/>
              <w:keepLines w:val="0"/>
              <w:widowControl/>
              <w:suppressLineNumbers w:val="0"/>
              <w:bidi w:val="0"/>
              <w:spacing w:before="0" w:beforeAutospacing="0" w:after="0" w:afterAutospacing="0" w:line="420" w:lineRule="atLeast"/>
              <w:ind w:left="0" w:leftChars="0" w:right="0" w:rightChars="0" w:firstLine="0" w:firstLineChars="0"/>
              <w:jc w:val="center"/>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b/>
                <w:bCs/>
                <w:i w:val="0"/>
                <w:iCs w:val="0"/>
                <w:caps w:val="0"/>
                <w:color w:val="auto"/>
                <w:spacing w:val="0"/>
                <w:sz w:val="22"/>
                <w:szCs w:val="22"/>
                <w:shd w:val="clear" w:fill="FFFFFF"/>
              </w:rPr>
              <w:t>死树病树砍伐</w:t>
            </w:r>
          </w:p>
        </w:tc>
        <w:tc>
          <w:tcPr>
            <w:tcW w:w="3856" w:type="dxa"/>
            <w:vAlign w:val="center"/>
          </w:tcPr>
          <w:p w14:paraId="08A9B67D">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死树、病树、隐患树发现后3日内砍伐清运</w:t>
            </w:r>
          </w:p>
        </w:tc>
        <w:tc>
          <w:tcPr>
            <w:tcW w:w="3879" w:type="dxa"/>
            <w:vAlign w:val="center"/>
          </w:tcPr>
          <w:p w14:paraId="2D05D64F">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未在规定时间内砍伐清运，每株扣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w:t>
            </w:r>
          </w:p>
        </w:tc>
      </w:tr>
      <w:tr w14:paraId="7AEBDF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continue"/>
            <w:vAlign w:val="center"/>
          </w:tcPr>
          <w:p w14:paraId="34A0D3B6">
            <w:pPr>
              <w:spacing w:line="360" w:lineRule="auto"/>
              <w:jc w:val="center"/>
              <w:outlineLvl w:val="9"/>
              <w:rPr>
                <w:rFonts w:hint="eastAsia" w:ascii="黑体" w:hAnsi="黑体" w:eastAsia="黑体" w:cs="黑体"/>
                <w:b/>
                <w:bCs/>
                <w:color w:val="auto"/>
                <w:sz w:val="24"/>
                <w:szCs w:val="24"/>
                <w:highlight w:val="none"/>
              </w:rPr>
            </w:pPr>
          </w:p>
        </w:tc>
        <w:tc>
          <w:tcPr>
            <w:tcW w:w="1095" w:type="dxa"/>
            <w:vAlign w:val="center"/>
          </w:tcPr>
          <w:p w14:paraId="62384A7D">
            <w:pPr>
              <w:keepNext w:val="0"/>
              <w:keepLines w:val="0"/>
              <w:widowControl/>
              <w:suppressLineNumbers w:val="0"/>
              <w:bidi w:val="0"/>
              <w:spacing w:before="0" w:beforeAutospacing="0" w:after="0" w:afterAutospacing="0" w:line="420" w:lineRule="atLeast"/>
              <w:ind w:left="0" w:leftChars="0" w:right="0" w:rightChars="0" w:firstLine="0" w:firstLineChars="0"/>
              <w:jc w:val="center"/>
              <w:outlineLvl w:val="9"/>
              <w:rPr>
                <w:rFonts w:hint="eastAsia" w:ascii="黑体" w:hAnsi="黑体" w:eastAsia="黑体" w:cs="黑体"/>
                <w:b/>
                <w:bCs/>
                <w:i w:val="0"/>
                <w:iCs w:val="0"/>
                <w:caps w:val="0"/>
                <w:color w:val="auto"/>
                <w:spacing w:val="0"/>
                <w:sz w:val="22"/>
                <w:szCs w:val="22"/>
                <w:shd w:val="clear" w:fill="FFFFFF"/>
              </w:rPr>
            </w:pPr>
            <w:r>
              <w:rPr>
                <w:rFonts w:hint="eastAsia" w:ascii="黑体" w:hAnsi="黑体" w:eastAsia="黑体" w:cs="黑体"/>
                <w:b/>
                <w:bCs/>
                <w:i w:val="0"/>
                <w:iCs w:val="0"/>
                <w:caps w:val="0"/>
                <w:color w:val="auto"/>
                <w:spacing w:val="0"/>
                <w:sz w:val="22"/>
                <w:szCs w:val="22"/>
                <w:shd w:val="clear" w:fill="FFFFFF"/>
              </w:rPr>
              <w:t>补植</w:t>
            </w:r>
          </w:p>
        </w:tc>
        <w:tc>
          <w:tcPr>
            <w:tcW w:w="3856" w:type="dxa"/>
            <w:vAlign w:val="center"/>
          </w:tcPr>
          <w:p w14:paraId="5ECFBA18">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砍伐后7日内补植同品种同规格苗木，确保成活</w:t>
            </w:r>
          </w:p>
        </w:tc>
        <w:tc>
          <w:tcPr>
            <w:tcW w:w="3879" w:type="dxa"/>
            <w:vAlign w:val="center"/>
          </w:tcPr>
          <w:p w14:paraId="0D0BE172">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未按时补植每株扣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分；补植后成活率低于95%每株扣1分</w:t>
            </w:r>
          </w:p>
        </w:tc>
      </w:tr>
      <w:tr w14:paraId="0E6D55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continue"/>
            <w:vAlign w:val="center"/>
          </w:tcPr>
          <w:p w14:paraId="258AA4D2">
            <w:pPr>
              <w:spacing w:line="360" w:lineRule="auto"/>
              <w:jc w:val="center"/>
              <w:outlineLvl w:val="9"/>
              <w:rPr>
                <w:rFonts w:hint="eastAsia" w:ascii="黑体" w:hAnsi="黑体" w:eastAsia="黑体" w:cs="黑体"/>
                <w:b/>
                <w:bCs/>
                <w:color w:val="auto"/>
                <w:sz w:val="24"/>
                <w:szCs w:val="24"/>
                <w:highlight w:val="none"/>
              </w:rPr>
            </w:pPr>
          </w:p>
        </w:tc>
        <w:tc>
          <w:tcPr>
            <w:tcW w:w="1095" w:type="dxa"/>
            <w:vAlign w:val="center"/>
          </w:tcPr>
          <w:p w14:paraId="3A048E87">
            <w:pPr>
              <w:keepNext w:val="0"/>
              <w:keepLines w:val="0"/>
              <w:widowControl/>
              <w:suppressLineNumbers w:val="0"/>
              <w:bidi w:val="0"/>
              <w:spacing w:before="0" w:beforeAutospacing="0" w:after="0" w:afterAutospacing="0" w:line="420" w:lineRule="atLeast"/>
              <w:ind w:left="0" w:leftChars="0" w:right="0" w:rightChars="0" w:firstLine="0" w:firstLineChars="0"/>
              <w:jc w:val="center"/>
              <w:outlineLvl w:val="9"/>
              <w:rPr>
                <w:rFonts w:hint="eastAsia" w:ascii="黑体" w:hAnsi="黑体" w:eastAsia="黑体" w:cs="黑体"/>
                <w:b/>
                <w:bCs/>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施肥</w:t>
            </w:r>
          </w:p>
        </w:tc>
        <w:tc>
          <w:tcPr>
            <w:tcW w:w="3856" w:type="dxa"/>
            <w:vAlign w:val="center"/>
          </w:tcPr>
          <w:p w14:paraId="52C6D43A">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0"/>
                <w:sz w:val="22"/>
                <w:szCs w:val="22"/>
                <w:shd w:val="clear" w:fill="FFFFFF"/>
                <w:lang w:val="en-US" w:eastAsia="zh-CN"/>
              </w:rPr>
            </w:pPr>
            <w:r>
              <w:rPr>
                <w:rFonts w:hint="eastAsia" w:ascii="黑体" w:hAnsi="黑体" w:eastAsia="黑体" w:cs="黑体"/>
                <w:i w:val="0"/>
                <w:iCs w:val="0"/>
                <w:caps w:val="0"/>
                <w:color w:val="auto"/>
                <w:spacing w:val="0"/>
                <w:sz w:val="22"/>
                <w:szCs w:val="22"/>
                <w:shd w:val="clear" w:fill="FFFFFF"/>
              </w:rPr>
              <w:t>每年不少于2次，不得出现缺肥或肥害</w:t>
            </w:r>
            <w:r>
              <w:rPr>
                <w:rFonts w:hint="eastAsia" w:ascii="黑体" w:hAnsi="黑体" w:eastAsia="黑体" w:cs="黑体"/>
                <w:i w:val="0"/>
                <w:iCs w:val="0"/>
                <w:caps w:val="0"/>
                <w:color w:val="auto"/>
                <w:spacing w:val="0"/>
                <w:sz w:val="22"/>
                <w:szCs w:val="22"/>
                <w:shd w:val="clear" w:fill="FFFFFF"/>
                <w:lang w:val="en-US" w:eastAsia="zh-CN"/>
              </w:rPr>
              <w:t xml:space="preserve"> </w:t>
            </w:r>
          </w:p>
        </w:tc>
        <w:tc>
          <w:tcPr>
            <w:tcW w:w="3879" w:type="dxa"/>
            <w:vAlign w:val="center"/>
          </w:tcPr>
          <w:p w14:paraId="67CAB0F0">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未按时施肥每次扣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分；肥害每处扣1分</w:t>
            </w:r>
          </w:p>
        </w:tc>
      </w:tr>
      <w:tr w14:paraId="6A31DE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continue"/>
            <w:vAlign w:val="center"/>
          </w:tcPr>
          <w:p w14:paraId="01A72ECC">
            <w:pPr>
              <w:spacing w:line="360" w:lineRule="auto"/>
              <w:jc w:val="center"/>
              <w:outlineLvl w:val="9"/>
              <w:rPr>
                <w:rFonts w:hint="eastAsia" w:ascii="黑体" w:hAnsi="黑体" w:eastAsia="黑体" w:cs="黑体"/>
                <w:b/>
                <w:bCs/>
                <w:color w:val="auto"/>
                <w:sz w:val="24"/>
                <w:szCs w:val="24"/>
                <w:highlight w:val="none"/>
              </w:rPr>
            </w:pPr>
          </w:p>
        </w:tc>
        <w:tc>
          <w:tcPr>
            <w:tcW w:w="1095" w:type="dxa"/>
            <w:vAlign w:val="center"/>
          </w:tcPr>
          <w:p w14:paraId="35B2F314">
            <w:pPr>
              <w:keepNext w:val="0"/>
              <w:keepLines w:val="0"/>
              <w:widowControl/>
              <w:suppressLineNumbers w:val="0"/>
              <w:bidi w:val="0"/>
              <w:spacing w:before="0" w:beforeAutospacing="0" w:after="0" w:afterAutospacing="0" w:line="420" w:lineRule="atLeast"/>
              <w:ind w:left="0" w:leftChars="0" w:right="0" w:rightChars="0" w:firstLine="0" w:firstLineChars="0"/>
              <w:jc w:val="center"/>
              <w:outlineLvl w:val="9"/>
              <w:rPr>
                <w:rFonts w:hint="eastAsia" w:ascii="黑体" w:hAnsi="黑体" w:eastAsia="黑体" w:cs="黑体"/>
                <w:b/>
                <w:bCs/>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病虫害防治</w:t>
            </w:r>
          </w:p>
        </w:tc>
        <w:tc>
          <w:tcPr>
            <w:tcW w:w="3856" w:type="dxa"/>
            <w:vAlign w:val="center"/>
          </w:tcPr>
          <w:p w14:paraId="24B5E620">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预防为主，综合防治，无连片病虫害</w:t>
            </w:r>
          </w:p>
        </w:tc>
        <w:tc>
          <w:tcPr>
            <w:tcW w:w="3879" w:type="dxa"/>
            <w:vAlign w:val="center"/>
          </w:tcPr>
          <w:p w14:paraId="24556416">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单株病虫害每株扣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分；连片病虫害每处扣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w:t>
            </w:r>
          </w:p>
        </w:tc>
      </w:tr>
      <w:tr w14:paraId="6B9524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continue"/>
            <w:vAlign w:val="center"/>
          </w:tcPr>
          <w:p w14:paraId="33FD9F6D">
            <w:pPr>
              <w:spacing w:line="360" w:lineRule="auto"/>
              <w:jc w:val="center"/>
              <w:outlineLvl w:val="9"/>
              <w:rPr>
                <w:rFonts w:hint="eastAsia" w:ascii="黑体" w:hAnsi="黑体" w:eastAsia="黑体" w:cs="黑体"/>
                <w:b/>
                <w:bCs/>
                <w:color w:val="auto"/>
                <w:sz w:val="24"/>
                <w:szCs w:val="24"/>
                <w:highlight w:val="none"/>
              </w:rPr>
            </w:pPr>
          </w:p>
        </w:tc>
        <w:tc>
          <w:tcPr>
            <w:tcW w:w="1095" w:type="dxa"/>
            <w:vAlign w:val="center"/>
          </w:tcPr>
          <w:p w14:paraId="14866DBF">
            <w:pPr>
              <w:keepNext w:val="0"/>
              <w:keepLines w:val="0"/>
              <w:widowControl/>
              <w:suppressLineNumbers w:val="0"/>
              <w:bidi w:val="0"/>
              <w:spacing w:before="0" w:beforeAutospacing="0" w:after="0" w:afterAutospacing="0" w:line="420" w:lineRule="atLeast"/>
              <w:ind w:left="0" w:leftChars="0" w:right="0" w:rightChars="0" w:firstLine="0" w:firstLineChars="0"/>
              <w:jc w:val="center"/>
              <w:outlineLvl w:val="9"/>
              <w:rPr>
                <w:rFonts w:hint="eastAsia" w:ascii="黑体" w:hAnsi="黑体" w:eastAsia="黑体" w:cs="黑体"/>
                <w:b/>
                <w:bCs/>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浇水</w:t>
            </w:r>
          </w:p>
        </w:tc>
        <w:tc>
          <w:tcPr>
            <w:tcW w:w="3856" w:type="dxa"/>
            <w:vAlign w:val="center"/>
          </w:tcPr>
          <w:p w14:paraId="55B16DBE">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夏季每天浇水1次（雨水天除外），确保不缺水枯萎</w:t>
            </w:r>
          </w:p>
        </w:tc>
        <w:tc>
          <w:tcPr>
            <w:tcW w:w="3879" w:type="dxa"/>
            <w:vAlign w:val="center"/>
          </w:tcPr>
          <w:p w14:paraId="56C9730D">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夏季未浇水每天扣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分；植被缺水枯萎每处扣1分</w:t>
            </w:r>
          </w:p>
        </w:tc>
      </w:tr>
      <w:tr w14:paraId="3BECE2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continue"/>
            <w:vAlign w:val="center"/>
          </w:tcPr>
          <w:p w14:paraId="2E4127D0">
            <w:pPr>
              <w:spacing w:line="360" w:lineRule="auto"/>
              <w:jc w:val="center"/>
              <w:outlineLvl w:val="9"/>
              <w:rPr>
                <w:rFonts w:hint="eastAsia" w:ascii="黑体" w:hAnsi="黑体" w:eastAsia="黑体" w:cs="黑体"/>
                <w:b/>
                <w:bCs/>
                <w:color w:val="auto"/>
                <w:sz w:val="24"/>
                <w:szCs w:val="24"/>
                <w:highlight w:val="none"/>
              </w:rPr>
            </w:pPr>
          </w:p>
        </w:tc>
        <w:tc>
          <w:tcPr>
            <w:tcW w:w="1095" w:type="dxa"/>
            <w:vAlign w:val="center"/>
          </w:tcPr>
          <w:p w14:paraId="79E65ACC">
            <w:pPr>
              <w:keepNext w:val="0"/>
              <w:keepLines w:val="0"/>
              <w:widowControl/>
              <w:suppressLineNumbers w:val="0"/>
              <w:bidi w:val="0"/>
              <w:spacing w:before="0" w:beforeAutospacing="0" w:after="0" w:afterAutospacing="0" w:line="420" w:lineRule="atLeast"/>
              <w:ind w:left="0" w:leftChars="0" w:right="0" w:rightChars="0" w:firstLine="0" w:firstLineChars="0"/>
              <w:jc w:val="center"/>
              <w:outlineLvl w:val="9"/>
              <w:rPr>
                <w:rFonts w:hint="eastAsia" w:ascii="黑体" w:hAnsi="黑体" w:eastAsia="黑体" w:cs="黑体"/>
                <w:b/>
                <w:bCs/>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除草</w:t>
            </w:r>
          </w:p>
        </w:tc>
        <w:tc>
          <w:tcPr>
            <w:tcW w:w="3856" w:type="dxa"/>
            <w:vAlign w:val="center"/>
          </w:tcPr>
          <w:p w14:paraId="0D54A8EE">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树穴、绿化带无明显杂草</w:t>
            </w:r>
          </w:p>
        </w:tc>
        <w:tc>
          <w:tcPr>
            <w:tcW w:w="3879" w:type="dxa"/>
            <w:vAlign w:val="center"/>
          </w:tcPr>
          <w:p w14:paraId="7A301E27">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杂草明显每处扣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w:t>
            </w:r>
          </w:p>
        </w:tc>
      </w:tr>
      <w:tr w14:paraId="6BF085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Align w:val="center"/>
          </w:tcPr>
          <w:p w14:paraId="0636B740">
            <w:pPr>
              <w:spacing w:line="360" w:lineRule="auto"/>
              <w:jc w:val="center"/>
              <w:outlineLvl w:val="9"/>
              <w:rPr>
                <w:rFonts w:hint="eastAsia" w:ascii="黑体" w:hAnsi="黑体" w:eastAsia="黑体" w:cs="黑体"/>
                <w:b/>
                <w:bCs/>
                <w:color w:val="auto"/>
                <w:sz w:val="24"/>
                <w:szCs w:val="24"/>
                <w:highlight w:val="none"/>
              </w:rPr>
            </w:pPr>
            <w:r>
              <w:rPr>
                <w:rFonts w:hint="eastAsia" w:ascii="黑体" w:hAnsi="黑体" w:eastAsia="黑体" w:cs="黑体"/>
                <w:b/>
                <w:bCs/>
                <w:i w:val="0"/>
                <w:iCs w:val="0"/>
                <w:caps w:val="0"/>
                <w:color w:val="auto"/>
                <w:spacing w:val="0"/>
                <w:sz w:val="22"/>
                <w:szCs w:val="22"/>
                <w:shd w:val="clear" w:fill="FFFFFF"/>
              </w:rPr>
              <w:t>二、卫生保洁</w:t>
            </w:r>
          </w:p>
        </w:tc>
        <w:tc>
          <w:tcPr>
            <w:tcW w:w="1095" w:type="dxa"/>
            <w:vAlign w:val="center"/>
          </w:tcPr>
          <w:p w14:paraId="06A7BFAF">
            <w:pPr>
              <w:keepNext w:val="0"/>
              <w:keepLines w:val="0"/>
              <w:widowControl/>
              <w:suppressLineNumbers w:val="0"/>
              <w:bidi w:val="0"/>
              <w:spacing w:before="0" w:beforeAutospacing="0" w:after="0" w:afterAutospacing="0" w:line="420" w:lineRule="atLeast"/>
              <w:ind w:left="0" w:leftChars="0" w:right="0" w:rightChars="0" w:firstLine="0" w:firstLineChars="0"/>
              <w:jc w:val="center"/>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垃圾清理</w:t>
            </w:r>
          </w:p>
        </w:tc>
        <w:tc>
          <w:tcPr>
            <w:tcW w:w="3856" w:type="dxa"/>
            <w:vAlign w:val="center"/>
          </w:tcPr>
          <w:p w14:paraId="786ACF0E">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日产日清，绿地内无垃圾连片</w:t>
            </w:r>
          </w:p>
        </w:tc>
        <w:tc>
          <w:tcPr>
            <w:tcW w:w="3879" w:type="dxa"/>
            <w:vAlign w:val="center"/>
          </w:tcPr>
          <w:p w14:paraId="03445767">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垃圾未清理每处扣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w:t>
            </w:r>
          </w:p>
        </w:tc>
      </w:tr>
      <w:tr w14:paraId="179A45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restart"/>
            <w:vAlign w:val="center"/>
          </w:tcPr>
          <w:p w14:paraId="53AFA3CF">
            <w:pPr>
              <w:spacing w:line="360" w:lineRule="auto"/>
              <w:jc w:val="center"/>
              <w:outlineLvl w:val="9"/>
              <w:rPr>
                <w:rFonts w:hint="eastAsia" w:ascii="黑体" w:hAnsi="黑体" w:eastAsia="黑体" w:cs="黑体"/>
                <w:b/>
                <w:bCs/>
                <w:color w:val="auto"/>
                <w:sz w:val="24"/>
                <w:szCs w:val="24"/>
                <w:highlight w:val="none"/>
              </w:rPr>
            </w:pPr>
            <w:r>
              <w:rPr>
                <w:rFonts w:hint="eastAsia" w:ascii="黑体" w:hAnsi="黑体" w:eastAsia="黑体" w:cs="黑体"/>
                <w:b/>
                <w:bCs/>
                <w:i w:val="0"/>
                <w:iCs w:val="0"/>
                <w:caps w:val="0"/>
                <w:color w:val="auto"/>
                <w:spacing w:val="0"/>
                <w:sz w:val="22"/>
                <w:szCs w:val="22"/>
                <w:shd w:val="clear" w:fill="FFFFFF"/>
              </w:rPr>
              <w:t>三、人员管理</w:t>
            </w:r>
          </w:p>
        </w:tc>
        <w:tc>
          <w:tcPr>
            <w:tcW w:w="1095" w:type="dxa"/>
            <w:vAlign w:val="center"/>
          </w:tcPr>
          <w:p w14:paraId="1B7AD22D">
            <w:pPr>
              <w:spacing w:line="360" w:lineRule="auto"/>
              <w:jc w:val="center"/>
              <w:outlineLvl w:val="9"/>
              <w:rPr>
                <w:rFonts w:hint="eastAsia" w:ascii="黑体" w:hAnsi="黑体" w:eastAsia="黑体" w:cs="黑体"/>
                <w:color w:val="auto"/>
                <w:sz w:val="24"/>
                <w:szCs w:val="24"/>
                <w:highlight w:val="none"/>
                <w:lang w:val="en-US" w:eastAsia="zh-CN"/>
              </w:rPr>
            </w:pPr>
            <w:r>
              <w:rPr>
                <w:rFonts w:hint="eastAsia" w:ascii="黑体" w:hAnsi="黑体" w:eastAsia="黑体" w:cs="黑体"/>
                <w:i w:val="0"/>
                <w:iCs w:val="0"/>
                <w:caps w:val="0"/>
                <w:color w:val="auto"/>
                <w:spacing w:val="0"/>
                <w:sz w:val="22"/>
                <w:szCs w:val="22"/>
                <w:shd w:val="clear" w:fill="FFFFFF"/>
              </w:rPr>
              <w:t>人员到岗</w:t>
            </w:r>
          </w:p>
        </w:tc>
        <w:tc>
          <w:tcPr>
            <w:tcW w:w="3856" w:type="dxa"/>
            <w:vAlign w:val="center"/>
          </w:tcPr>
          <w:p w14:paraId="71183C3F">
            <w:pPr>
              <w:spacing w:line="360" w:lineRule="auto"/>
              <w:jc w:val="left"/>
              <w:outlineLvl w:val="9"/>
              <w:rPr>
                <w:rFonts w:hint="eastAsia" w:ascii="黑体" w:hAnsi="黑体" w:eastAsia="黑体" w:cs="黑体"/>
                <w:color w:val="auto"/>
                <w:sz w:val="24"/>
                <w:szCs w:val="24"/>
                <w:highlight w:val="none"/>
                <w:lang w:eastAsia="zh-CN"/>
              </w:rPr>
            </w:pPr>
            <w:r>
              <w:rPr>
                <w:rFonts w:hint="eastAsia" w:ascii="黑体" w:hAnsi="黑体" w:eastAsia="黑体" w:cs="黑体"/>
                <w:i w:val="0"/>
                <w:iCs w:val="0"/>
                <w:caps w:val="0"/>
                <w:color w:val="auto"/>
                <w:spacing w:val="0"/>
                <w:sz w:val="22"/>
                <w:szCs w:val="22"/>
                <w:shd w:val="clear" w:fill="FFFFFF"/>
              </w:rPr>
              <w:t>按要求配置足够人员，按时到岗</w:t>
            </w:r>
          </w:p>
        </w:tc>
        <w:tc>
          <w:tcPr>
            <w:tcW w:w="3879" w:type="dxa"/>
            <w:vAlign w:val="center"/>
          </w:tcPr>
          <w:p w14:paraId="0A3D0B4B">
            <w:pPr>
              <w:spacing w:line="360" w:lineRule="auto"/>
              <w:jc w:val="left"/>
              <w:outlineLvl w:val="9"/>
              <w:rPr>
                <w:rFonts w:hint="eastAsia" w:ascii="黑体" w:hAnsi="黑体" w:eastAsia="黑体" w:cs="黑体"/>
                <w:color w:val="auto"/>
                <w:sz w:val="24"/>
                <w:szCs w:val="24"/>
                <w:highlight w:val="none"/>
                <w:lang w:val="en-US"/>
              </w:rPr>
            </w:pPr>
            <w:r>
              <w:rPr>
                <w:rFonts w:hint="eastAsia" w:ascii="黑体" w:hAnsi="黑体" w:eastAsia="黑体" w:cs="黑体"/>
                <w:i w:val="0"/>
                <w:iCs w:val="0"/>
                <w:caps w:val="0"/>
                <w:color w:val="auto"/>
                <w:spacing w:val="0"/>
                <w:sz w:val="22"/>
                <w:szCs w:val="22"/>
                <w:shd w:val="clear" w:fill="FFFFFF"/>
              </w:rPr>
              <w:t>关键岗位（项目负责人、巡查员）缺岗每人次扣</w:t>
            </w:r>
            <w:r>
              <w:rPr>
                <w:rFonts w:hint="eastAsia" w:ascii="黑体" w:hAnsi="黑体" w:eastAsia="黑体" w:cs="黑体"/>
                <w:i w:val="0"/>
                <w:iCs w:val="0"/>
                <w:caps w:val="0"/>
                <w:color w:val="auto"/>
                <w:spacing w:val="0"/>
                <w:sz w:val="22"/>
                <w:szCs w:val="22"/>
                <w:shd w:val="clear" w:fill="FFFFFF"/>
                <w:lang w:val="en-US" w:eastAsia="zh-CN"/>
              </w:rPr>
              <w:t>2</w:t>
            </w:r>
            <w:r>
              <w:rPr>
                <w:rFonts w:hint="eastAsia" w:ascii="黑体" w:hAnsi="黑体" w:eastAsia="黑体" w:cs="黑体"/>
                <w:i w:val="0"/>
                <w:iCs w:val="0"/>
                <w:caps w:val="0"/>
                <w:color w:val="auto"/>
                <w:spacing w:val="0"/>
                <w:sz w:val="22"/>
                <w:szCs w:val="22"/>
                <w:shd w:val="clear" w:fill="FFFFFF"/>
              </w:rPr>
              <w:t>分；养护工缺岗每人次扣1分</w:t>
            </w:r>
          </w:p>
        </w:tc>
      </w:tr>
      <w:tr w14:paraId="6D84FB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continue"/>
            <w:vAlign w:val="center"/>
          </w:tcPr>
          <w:p w14:paraId="0FDE6F35">
            <w:pPr>
              <w:spacing w:line="360" w:lineRule="auto"/>
              <w:jc w:val="center"/>
              <w:outlineLvl w:val="9"/>
              <w:rPr>
                <w:rFonts w:hint="eastAsia" w:ascii="黑体" w:hAnsi="黑体" w:eastAsia="黑体" w:cs="黑体"/>
                <w:b/>
                <w:bCs/>
                <w:color w:val="auto"/>
                <w:sz w:val="24"/>
                <w:szCs w:val="24"/>
                <w:highlight w:val="none"/>
              </w:rPr>
            </w:pPr>
          </w:p>
        </w:tc>
        <w:tc>
          <w:tcPr>
            <w:tcW w:w="1095" w:type="dxa"/>
            <w:vAlign w:val="center"/>
          </w:tcPr>
          <w:p w14:paraId="6FF5C36C">
            <w:pPr>
              <w:spacing w:line="360" w:lineRule="auto"/>
              <w:jc w:val="center"/>
              <w:outlineLvl w:val="9"/>
              <w:rPr>
                <w:rFonts w:hint="eastAsia" w:ascii="黑体" w:hAnsi="黑体" w:eastAsia="黑体" w:cs="黑体"/>
                <w:color w:val="auto"/>
                <w:sz w:val="24"/>
                <w:szCs w:val="24"/>
                <w:highlight w:val="none"/>
                <w:lang w:val="en-US" w:eastAsia="zh-CN"/>
              </w:rPr>
            </w:pPr>
            <w:r>
              <w:rPr>
                <w:rFonts w:hint="eastAsia" w:ascii="黑体" w:hAnsi="黑体" w:eastAsia="黑体" w:cs="黑体"/>
                <w:i w:val="0"/>
                <w:iCs w:val="0"/>
                <w:caps w:val="0"/>
                <w:color w:val="auto"/>
                <w:spacing w:val="0"/>
                <w:sz w:val="22"/>
                <w:szCs w:val="22"/>
                <w:shd w:val="clear" w:fill="FFFFFF"/>
              </w:rPr>
              <w:t>保险保障</w:t>
            </w:r>
          </w:p>
        </w:tc>
        <w:tc>
          <w:tcPr>
            <w:tcW w:w="3856" w:type="dxa"/>
            <w:vAlign w:val="center"/>
          </w:tcPr>
          <w:p w14:paraId="72FB1B19">
            <w:pPr>
              <w:spacing w:line="360" w:lineRule="auto"/>
              <w:jc w:val="left"/>
              <w:outlineLvl w:val="9"/>
              <w:rPr>
                <w:rFonts w:hint="eastAsia" w:ascii="黑体" w:hAnsi="黑体" w:eastAsia="黑体" w:cs="黑体"/>
                <w:color w:val="auto"/>
                <w:sz w:val="24"/>
                <w:szCs w:val="24"/>
                <w:highlight w:val="none"/>
                <w:lang w:val="en-US" w:eastAsia="zh-CN"/>
              </w:rPr>
            </w:pPr>
            <w:r>
              <w:rPr>
                <w:rFonts w:hint="eastAsia" w:ascii="黑体" w:hAnsi="黑体" w:eastAsia="黑体" w:cs="黑体"/>
                <w:i w:val="0"/>
                <w:iCs w:val="0"/>
                <w:caps w:val="0"/>
                <w:color w:val="auto"/>
                <w:spacing w:val="0"/>
                <w:sz w:val="22"/>
                <w:szCs w:val="22"/>
                <w:shd w:val="clear" w:fill="FFFFFF"/>
              </w:rPr>
              <w:t>为所有人员缴纳社保、购买意外险</w:t>
            </w:r>
          </w:p>
        </w:tc>
        <w:tc>
          <w:tcPr>
            <w:tcW w:w="3879" w:type="dxa"/>
            <w:vAlign w:val="center"/>
          </w:tcPr>
          <w:p w14:paraId="55157592">
            <w:pPr>
              <w:spacing w:line="360" w:lineRule="auto"/>
              <w:jc w:val="left"/>
              <w:outlineLvl w:val="9"/>
              <w:rPr>
                <w:rFonts w:hint="eastAsia" w:ascii="黑体" w:hAnsi="黑体" w:eastAsia="黑体" w:cs="黑体"/>
                <w:color w:val="auto"/>
                <w:sz w:val="24"/>
                <w:szCs w:val="24"/>
                <w:highlight w:val="none"/>
                <w:lang w:val="en-US" w:eastAsia="zh-CN"/>
              </w:rPr>
            </w:pPr>
            <w:r>
              <w:rPr>
                <w:rFonts w:hint="eastAsia" w:ascii="黑体" w:hAnsi="黑体" w:eastAsia="黑体" w:cs="黑体"/>
                <w:i w:val="0"/>
                <w:iCs w:val="0"/>
                <w:caps w:val="0"/>
                <w:color w:val="auto"/>
                <w:spacing w:val="0"/>
                <w:sz w:val="22"/>
                <w:szCs w:val="22"/>
                <w:shd w:val="clear" w:fill="FFFFFF"/>
              </w:rPr>
              <w:t>未缴纳社保每人次扣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分；未购买意外险每人次扣1分</w:t>
            </w:r>
          </w:p>
        </w:tc>
      </w:tr>
      <w:tr w14:paraId="1AE63C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continue"/>
            <w:vAlign w:val="center"/>
          </w:tcPr>
          <w:p w14:paraId="568254E9">
            <w:pPr>
              <w:spacing w:line="360" w:lineRule="auto"/>
              <w:jc w:val="center"/>
              <w:outlineLvl w:val="9"/>
              <w:rPr>
                <w:rFonts w:hint="eastAsia" w:ascii="黑体" w:hAnsi="黑体" w:eastAsia="黑体" w:cs="黑体"/>
                <w:b/>
                <w:bCs/>
                <w:color w:val="auto"/>
                <w:sz w:val="24"/>
                <w:szCs w:val="24"/>
                <w:highlight w:val="none"/>
              </w:rPr>
            </w:pPr>
          </w:p>
        </w:tc>
        <w:tc>
          <w:tcPr>
            <w:tcW w:w="1095" w:type="dxa"/>
            <w:vAlign w:val="center"/>
          </w:tcPr>
          <w:p w14:paraId="627F9DDF">
            <w:pPr>
              <w:spacing w:line="360" w:lineRule="auto"/>
              <w:jc w:val="center"/>
              <w:outlineLvl w:val="9"/>
              <w:rPr>
                <w:rFonts w:hint="eastAsia" w:ascii="黑体" w:hAnsi="黑体" w:eastAsia="黑体" w:cs="黑体"/>
                <w:color w:val="auto"/>
                <w:sz w:val="24"/>
                <w:szCs w:val="24"/>
                <w:highlight w:val="none"/>
                <w:lang w:val="en-US" w:eastAsia="zh-CN"/>
              </w:rPr>
            </w:pPr>
            <w:r>
              <w:rPr>
                <w:rFonts w:hint="eastAsia" w:ascii="黑体" w:hAnsi="黑体" w:eastAsia="黑体" w:cs="黑体"/>
                <w:i w:val="0"/>
                <w:iCs w:val="0"/>
                <w:caps w:val="0"/>
                <w:color w:val="auto"/>
                <w:spacing w:val="0"/>
                <w:sz w:val="22"/>
                <w:szCs w:val="22"/>
                <w:shd w:val="clear" w:fill="FFFFFF"/>
              </w:rPr>
              <w:t>劳动保障</w:t>
            </w:r>
          </w:p>
        </w:tc>
        <w:tc>
          <w:tcPr>
            <w:tcW w:w="3856" w:type="dxa"/>
            <w:vAlign w:val="center"/>
          </w:tcPr>
          <w:p w14:paraId="3C777AD6">
            <w:pPr>
              <w:spacing w:line="360" w:lineRule="auto"/>
              <w:jc w:val="left"/>
              <w:outlineLvl w:val="9"/>
              <w:rPr>
                <w:rFonts w:hint="eastAsia" w:ascii="黑体" w:hAnsi="黑体" w:eastAsia="黑体" w:cs="黑体"/>
                <w:color w:val="auto"/>
                <w:sz w:val="24"/>
                <w:szCs w:val="24"/>
                <w:highlight w:val="none"/>
                <w:lang w:val="en-US" w:eastAsia="zh-CN"/>
              </w:rPr>
            </w:pPr>
            <w:r>
              <w:rPr>
                <w:rFonts w:hint="eastAsia" w:ascii="黑体" w:hAnsi="黑体" w:eastAsia="黑体" w:cs="黑体"/>
                <w:i w:val="0"/>
                <w:iCs w:val="0"/>
                <w:caps w:val="0"/>
                <w:color w:val="auto"/>
                <w:spacing w:val="0"/>
                <w:sz w:val="22"/>
                <w:szCs w:val="22"/>
                <w:shd w:val="clear" w:fill="FFFFFF"/>
              </w:rPr>
              <w:t>发放防暑降温费、年节福利</w:t>
            </w:r>
          </w:p>
        </w:tc>
        <w:tc>
          <w:tcPr>
            <w:tcW w:w="3879" w:type="dxa"/>
            <w:vAlign w:val="center"/>
          </w:tcPr>
          <w:p w14:paraId="01573ED2">
            <w:pPr>
              <w:spacing w:line="360" w:lineRule="auto"/>
              <w:jc w:val="left"/>
              <w:outlineLvl w:val="9"/>
              <w:rPr>
                <w:rFonts w:hint="eastAsia" w:ascii="黑体" w:hAnsi="黑体" w:eastAsia="黑体" w:cs="黑体"/>
                <w:color w:val="auto"/>
                <w:sz w:val="24"/>
                <w:szCs w:val="24"/>
                <w:highlight w:val="none"/>
                <w:lang w:val="en-US" w:eastAsia="zh-CN"/>
              </w:rPr>
            </w:pPr>
            <w:r>
              <w:rPr>
                <w:rFonts w:hint="eastAsia" w:ascii="黑体" w:hAnsi="黑体" w:eastAsia="黑体" w:cs="黑体"/>
                <w:i w:val="0"/>
                <w:iCs w:val="0"/>
                <w:caps w:val="0"/>
                <w:color w:val="auto"/>
                <w:spacing w:val="0"/>
                <w:sz w:val="22"/>
                <w:szCs w:val="22"/>
                <w:shd w:val="clear" w:fill="FFFFFF"/>
              </w:rPr>
              <w:t>未按规定发放每人次扣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w:t>
            </w:r>
          </w:p>
        </w:tc>
      </w:tr>
      <w:tr w14:paraId="04B7AC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continue"/>
            <w:vAlign w:val="center"/>
          </w:tcPr>
          <w:p w14:paraId="617D2A2D">
            <w:pPr>
              <w:spacing w:line="360" w:lineRule="auto"/>
              <w:jc w:val="center"/>
              <w:outlineLvl w:val="9"/>
              <w:rPr>
                <w:rFonts w:hint="eastAsia" w:ascii="黑体" w:hAnsi="黑体" w:eastAsia="黑体" w:cs="黑体"/>
                <w:b/>
                <w:bCs/>
                <w:color w:val="auto"/>
                <w:sz w:val="24"/>
                <w:szCs w:val="24"/>
                <w:highlight w:val="none"/>
              </w:rPr>
            </w:pPr>
          </w:p>
        </w:tc>
        <w:tc>
          <w:tcPr>
            <w:tcW w:w="1095" w:type="dxa"/>
            <w:vAlign w:val="center"/>
          </w:tcPr>
          <w:p w14:paraId="03153DC3">
            <w:pPr>
              <w:spacing w:line="360" w:lineRule="auto"/>
              <w:jc w:val="center"/>
              <w:outlineLvl w:val="9"/>
              <w:rPr>
                <w:rFonts w:hint="eastAsia" w:ascii="黑体" w:hAnsi="黑体" w:eastAsia="黑体" w:cs="黑体"/>
                <w:color w:val="auto"/>
                <w:sz w:val="24"/>
                <w:szCs w:val="24"/>
                <w:highlight w:val="none"/>
                <w:lang w:val="en-US" w:eastAsia="zh-CN"/>
              </w:rPr>
            </w:pPr>
            <w:r>
              <w:rPr>
                <w:rFonts w:hint="eastAsia" w:ascii="黑体" w:hAnsi="黑体" w:eastAsia="黑体" w:cs="黑体"/>
                <w:i w:val="0"/>
                <w:iCs w:val="0"/>
                <w:caps w:val="0"/>
                <w:color w:val="auto"/>
                <w:spacing w:val="0"/>
                <w:sz w:val="22"/>
                <w:szCs w:val="22"/>
                <w:shd w:val="clear" w:fill="FFFFFF"/>
              </w:rPr>
              <w:t>规范着装</w:t>
            </w:r>
          </w:p>
        </w:tc>
        <w:tc>
          <w:tcPr>
            <w:tcW w:w="3856" w:type="dxa"/>
            <w:vAlign w:val="center"/>
          </w:tcPr>
          <w:p w14:paraId="28A3C569">
            <w:pPr>
              <w:spacing w:line="360" w:lineRule="auto"/>
              <w:jc w:val="left"/>
              <w:outlineLvl w:val="9"/>
              <w:rPr>
                <w:rFonts w:hint="eastAsia" w:ascii="黑体" w:hAnsi="黑体" w:eastAsia="黑体" w:cs="黑体"/>
                <w:color w:val="auto"/>
                <w:sz w:val="24"/>
                <w:szCs w:val="24"/>
                <w:highlight w:val="none"/>
                <w:lang w:val="en-US" w:eastAsia="zh-CN"/>
              </w:rPr>
            </w:pPr>
            <w:r>
              <w:rPr>
                <w:rFonts w:hint="eastAsia" w:ascii="黑体" w:hAnsi="黑体" w:eastAsia="黑体" w:cs="黑体"/>
                <w:i w:val="0"/>
                <w:iCs w:val="0"/>
                <w:caps w:val="0"/>
                <w:color w:val="auto"/>
                <w:spacing w:val="0"/>
                <w:sz w:val="22"/>
                <w:szCs w:val="22"/>
                <w:shd w:val="clear" w:fill="FFFFFF"/>
              </w:rPr>
              <w:t>统一穿着安全马甲上岗</w:t>
            </w:r>
          </w:p>
        </w:tc>
        <w:tc>
          <w:tcPr>
            <w:tcW w:w="3879" w:type="dxa"/>
            <w:vAlign w:val="center"/>
          </w:tcPr>
          <w:p w14:paraId="44323EE5">
            <w:pPr>
              <w:spacing w:line="360" w:lineRule="auto"/>
              <w:jc w:val="left"/>
              <w:outlineLvl w:val="9"/>
              <w:rPr>
                <w:rFonts w:hint="eastAsia" w:ascii="黑体" w:hAnsi="黑体" w:eastAsia="黑体" w:cs="黑体"/>
                <w:color w:val="auto"/>
                <w:sz w:val="24"/>
                <w:szCs w:val="24"/>
                <w:highlight w:val="none"/>
                <w:lang w:val="en-US" w:eastAsia="zh-CN"/>
              </w:rPr>
            </w:pPr>
            <w:r>
              <w:rPr>
                <w:rFonts w:hint="eastAsia" w:ascii="黑体" w:hAnsi="黑体" w:eastAsia="黑体" w:cs="黑体"/>
                <w:i w:val="0"/>
                <w:iCs w:val="0"/>
                <w:caps w:val="0"/>
                <w:color w:val="auto"/>
                <w:spacing w:val="0"/>
                <w:sz w:val="22"/>
                <w:szCs w:val="22"/>
                <w:shd w:val="clear" w:fill="FFFFFF"/>
              </w:rPr>
              <w:t>未按规定着装每人次扣1分</w:t>
            </w:r>
          </w:p>
        </w:tc>
      </w:tr>
      <w:tr w14:paraId="28AC1A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restart"/>
            <w:vAlign w:val="center"/>
          </w:tcPr>
          <w:p w14:paraId="5DBC20B7">
            <w:pPr>
              <w:spacing w:line="360" w:lineRule="auto"/>
              <w:jc w:val="center"/>
              <w:outlineLvl w:val="9"/>
              <w:rPr>
                <w:rFonts w:hint="eastAsia" w:ascii="黑体" w:hAnsi="黑体" w:eastAsia="黑体" w:cs="黑体"/>
                <w:b/>
                <w:bCs/>
                <w:color w:val="auto"/>
                <w:sz w:val="24"/>
                <w:szCs w:val="24"/>
                <w:highlight w:val="none"/>
                <w:lang w:val="en-US" w:eastAsia="zh-CN"/>
              </w:rPr>
            </w:pPr>
            <w:r>
              <w:rPr>
                <w:rFonts w:hint="eastAsia" w:ascii="黑体" w:hAnsi="黑体" w:eastAsia="黑体" w:cs="黑体"/>
                <w:b/>
                <w:bCs/>
                <w:i w:val="0"/>
                <w:iCs w:val="0"/>
                <w:caps w:val="0"/>
                <w:color w:val="auto"/>
                <w:spacing w:val="0"/>
                <w:sz w:val="22"/>
                <w:szCs w:val="22"/>
                <w:shd w:val="clear" w:fill="FFFFFF"/>
              </w:rPr>
              <w:t>四、设备管理</w:t>
            </w:r>
          </w:p>
        </w:tc>
        <w:tc>
          <w:tcPr>
            <w:tcW w:w="1095" w:type="dxa"/>
            <w:vAlign w:val="center"/>
          </w:tcPr>
          <w:p w14:paraId="583DB019">
            <w:pPr>
              <w:keepNext w:val="0"/>
              <w:keepLines w:val="0"/>
              <w:widowControl/>
              <w:suppressLineNumbers w:val="0"/>
              <w:bidi w:val="0"/>
              <w:spacing w:before="0" w:beforeAutospacing="0" w:after="0" w:afterAutospacing="0" w:line="420" w:lineRule="atLeast"/>
              <w:ind w:left="0" w:leftChars="0" w:right="0" w:rightChars="0" w:firstLine="0" w:firstLineChars="0"/>
              <w:jc w:val="center"/>
              <w:outlineLvl w:val="9"/>
              <w:rPr>
                <w:rFonts w:hint="eastAsia" w:ascii="黑体" w:hAnsi="黑体" w:eastAsia="黑体" w:cs="黑体"/>
                <w:color w:val="auto"/>
                <w:sz w:val="24"/>
                <w:szCs w:val="24"/>
                <w:highlight w:val="none"/>
              </w:rPr>
            </w:pPr>
            <w:r>
              <w:rPr>
                <w:rFonts w:hint="eastAsia" w:ascii="黑体" w:hAnsi="黑体" w:eastAsia="黑体" w:cs="黑体"/>
                <w:i w:val="0"/>
                <w:iCs w:val="0"/>
                <w:caps w:val="0"/>
                <w:color w:val="auto"/>
                <w:spacing w:val="0"/>
                <w:sz w:val="22"/>
                <w:szCs w:val="22"/>
                <w:shd w:val="clear" w:fill="FFFFFF"/>
              </w:rPr>
              <w:t>设备配置</w:t>
            </w:r>
          </w:p>
        </w:tc>
        <w:tc>
          <w:tcPr>
            <w:tcW w:w="3856" w:type="dxa"/>
            <w:vAlign w:val="center"/>
          </w:tcPr>
          <w:p w14:paraId="17E1EF13">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color w:val="auto"/>
                <w:sz w:val="24"/>
                <w:szCs w:val="24"/>
                <w:highlight w:val="none"/>
                <w:lang w:eastAsia="zh-CN"/>
              </w:rPr>
            </w:pPr>
            <w:r>
              <w:rPr>
                <w:rFonts w:hint="eastAsia" w:ascii="黑体" w:hAnsi="黑体" w:eastAsia="黑体" w:cs="黑体"/>
                <w:i w:val="0"/>
                <w:iCs w:val="0"/>
                <w:caps w:val="0"/>
                <w:color w:val="auto"/>
                <w:spacing w:val="0"/>
                <w:sz w:val="22"/>
                <w:szCs w:val="22"/>
                <w:shd w:val="clear" w:fill="FFFFFF"/>
              </w:rPr>
              <w:t>按要求配备洒水车、货车、油锯、割草机等设备</w:t>
            </w:r>
          </w:p>
        </w:tc>
        <w:tc>
          <w:tcPr>
            <w:tcW w:w="3879" w:type="dxa"/>
            <w:vAlign w:val="center"/>
          </w:tcPr>
          <w:p w14:paraId="73EDC2C9">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color w:val="auto"/>
                <w:sz w:val="24"/>
                <w:szCs w:val="24"/>
                <w:highlight w:val="none"/>
                <w:lang w:val="en-US"/>
              </w:rPr>
            </w:pPr>
            <w:r>
              <w:rPr>
                <w:rFonts w:hint="eastAsia" w:ascii="黑体" w:hAnsi="黑体" w:eastAsia="黑体" w:cs="黑体"/>
                <w:i w:val="0"/>
                <w:iCs w:val="0"/>
                <w:caps w:val="0"/>
                <w:color w:val="auto"/>
                <w:spacing w:val="0"/>
                <w:sz w:val="22"/>
                <w:szCs w:val="22"/>
                <w:shd w:val="clear" w:fill="FFFFFF"/>
              </w:rPr>
              <w:t>设备数量不足每项扣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分；设备损坏未及时维修每台扣1分</w:t>
            </w:r>
          </w:p>
        </w:tc>
      </w:tr>
      <w:tr w14:paraId="6B54A5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continue"/>
            <w:vAlign w:val="center"/>
          </w:tcPr>
          <w:p w14:paraId="44223D49">
            <w:pPr>
              <w:spacing w:line="360" w:lineRule="auto"/>
              <w:jc w:val="center"/>
              <w:outlineLvl w:val="9"/>
              <w:rPr>
                <w:rFonts w:hint="eastAsia" w:ascii="黑体" w:hAnsi="黑体" w:eastAsia="黑体" w:cs="黑体"/>
                <w:b/>
                <w:bCs/>
                <w:color w:val="auto"/>
                <w:sz w:val="24"/>
                <w:szCs w:val="24"/>
                <w:highlight w:val="none"/>
                <w:lang w:val="en-US" w:eastAsia="zh-CN"/>
              </w:rPr>
            </w:pPr>
          </w:p>
        </w:tc>
        <w:tc>
          <w:tcPr>
            <w:tcW w:w="1095" w:type="dxa"/>
            <w:vAlign w:val="center"/>
          </w:tcPr>
          <w:p w14:paraId="73642591">
            <w:pPr>
              <w:keepNext w:val="0"/>
              <w:keepLines w:val="0"/>
              <w:widowControl/>
              <w:suppressLineNumbers w:val="0"/>
              <w:bidi w:val="0"/>
              <w:spacing w:before="0" w:beforeAutospacing="0" w:after="0" w:afterAutospacing="0" w:line="420" w:lineRule="atLeast"/>
              <w:ind w:left="0" w:leftChars="0" w:right="0" w:rightChars="0" w:firstLine="0" w:firstLineChars="0"/>
              <w:jc w:val="center"/>
              <w:outlineLvl w:val="9"/>
              <w:rPr>
                <w:rFonts w:hint="eastAsia" w:ascii="黑体" w:hAnsi="黑体" w:eastAsia="黑体" w:cs="黑体"/>
                <w:color w:val="auto"/>
                <w:sz w:val="24"/>
                <w:szCs w:val="24"/>
                <w:highlight w:val="none"/>
              </w:rPr>
            </w:pPr>
            <w:r>
              <w:rPr>
                <w:rFonts w:hint="eastAsia" w:ascii="黑体" w:hAnsi="黑体" w:eastAsia="黑体" w:cs="黑体"/>
                <w:i w:val="0"/>
                <w:iCs w:val="0"/>
                <w:caps w:val="0"/>
                <w:color w:val="auto"/>
                <w:spacing w:val="0"/>
                <w:sz w:val="22"/>
                <w:szCs w:val="22"/>
                <w:shd w:val="clear" w:fill="FFFFFF"/>
              </w:rPr>
              <w:t>设备使用</w:t>
            </w:r>
          </w:p>
        </w:tc>
        <w:tc>
          <w:tcPr>
            <w:tcW w:w="3856" w:type="dxa"/>
            <w:vAlign w:val="center"/>
          </w:tcPr>
          <w:p w14:paraId="6AF78D35">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color w:val="auto"/>
                <w:sz w:val="24"/>
                <w:szCs w:val="24"/>
                <w:highlight w:val="none"/>
                <w:lang w:eastAsia="zh-CN"/>
              </w:rPr>
            </w:pPr>
            <w:r>
              <w:rPr>
                <w:rFonts w:hint="eastAsia" w:ascii="黑体" w:hAnsi="黑体" w:eastAsia="黑体" w:cs="黑体"/>
                <w:i w:val="0"/>
                <w:iCs w:val="0"/>
                <w:caps w:val="0"/>
                <w:color w:val="auto"/>
                <w:spacing w:val="0"/>
                <w:sz w:val="22"/>
                <w:szCs w:val="22"/>
                <w:shd w:val="clear" w:fill="FFFFFF"/>
              </w:rPr>
              <w:t>设备正常投入使用</w:t>
            </w:r>
          </w:p>
        </w:tc>
        <w:tc>
          <w:tcPr>
            <w:tcW w:w="3879" w:type="dxa"/>
            <w:vAlign w:val="center"/>
          </w:tcPr>
          <w:p w14:paraId="527EB093">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color w:val="auto"/>
                <w:sz w:val="24"/>
                <w:szCs w:val="24"/>
                <w:highlight w:val="none"/>
              </w:rPr>
            </w:pPr>
            <w:r>
              <w:rPr>
                <w:rFonts w:hint="eastAsia" w:ascii="黑体" w:hAnsi="黑体" w:eastAsia="黑体" w:cs="黑体"/>
                <w:i w:val="0"/>
                <w:iCs w:val="0"/>
                <w:caps w:val="0"/>
                <w:color w:val="auto"/>
                <w:spacing w:val="0"/>
                <w:sz w:val="22"/>
                <w:szCs w:val="22"/>
                <w:shd w:val="clear" w:fill="FFFFFF"/>
              </w:rPr>
              <w:t>设备闲置未使用每项扣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w:t>
            </w:r>
          </w:p>
        </w:tc>
      </w:tr>
      <w:tr w14:paraId="7E5D7D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restart"/>
            <w:vAlign w:val="center"/>
          </w:tcPr>
          <w:p w14:paraId="7ACE9460">
            <w:pPr>
              <w:spacing w:line="360" w:lineRule="auto"/>
              <w:jc w:val="center"/>
              <w:outlineLvl w:val="9"/>
              <w:rPr>
                <w:rFonts w:hint="eastAsia" w:ascii="黑体" w:hAnsi="黑体" w:eastAsia="黑体" w:cs="黑体"/>
                <w:b/>
                <w:bCs/>
                <w:color w:val="auto"/>
                <w:sz w:val="24"/>
                <w:szCs w:val="24"/>
                <w:highlight w:val="none"/>
                <w:lang w:val="en-US" w:eastAsia="zh-CN"/>
              </w:rPr>
            </w:pPr>
            <w:r>
              <w:rPr>
                <w:rFonts w:hint="eastAsia" w:ascii="黑体" w:hAnsi="黑体" w:eastAsia="黑体" w:cs="黑体"/>
                <w:b/>
                <w:bCs/>
                <w:i w:val="0"/>
                <w:iCs w:val="0"/>
                <w:caps w:val="0"/>
                <w:color w:val="auto"/>
                <w:spacing w:val="0"/>
                <w:sz w:val="22"/>
                <w:szCs w:val="22"/>
                <w:shd w:val="clear" w:fill="FFFFFF"/>
              </w:rPr>
              <w:t>五、安全生产</w:t>
            </w:r>
          </w:p>
        </w:tc>
        <w:tc>
          <w:tcPr>
            <w:tcW w:w="1095" w:type="dxa"/>
            <w:vAlign w:val="center"/>
          </w:tcPr>
          <w:p w14:paraId="0F02D8EA">
            <w:pPr>
              <w:keepNext w:val="0"/>
              <w:keepLines w:val="0"/>
              <w:widowControl/>
              <w:suppressLineNumbers w:val="0"/>
              <w:bidi w:val="0"/>
              <w:spacing w:before="0" w:beforeAutospacing="0" w:after="0" w:afterAutospacing="0" w:line="420" w:lineRule="atLeast"/>
              <w:ind w:left="0" w:leftChars="0" w:right="0" w:rightChars="0" w:firstLine="0" w:firstLineChars="0"/>
              <w:jc w:val="center"/>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安全作业</w:t>
            </w:r>
          </w:p>
        </w:tc>
        <w:tc>
          <w:tcPr>
            <w:tcW w:w="3856" w:type="dxa"/>
            <w:vAlign w:val="center"/>
          </w:tcPr>
          <w:p w14:paraId="1EAA5548">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设置安全警示标志，规范操作</w:t>
            </w:r>
          </w:p>
        </w:tc>
        <w:tc>
          <w:tcPr>
            <w:tcW w:w="3879" w:type="dxa"/>
            <w:vAlign w:val="center"/>
          </w:tcPr>
          <w:p w14:paraId="085E1197">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未设置安全警示每处扣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分；违规操作每次扣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w:t>
            </w:r>
          </w:p>
        </w:tc>
      </w:tr>
      <w:tr w14:paraId="6B7209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continue"/>
            <w:vAlign w:val="center"/>
          </w:tcPr>
          <w:p w14:paraId="0113669A">
            <w:pPr>
              <w:spacing w:line="360" w:lineRule="auto"/>
              <w:jc w:val="center"/>
              <w:outlineLvl w:val="9"/>
              <w:rPr>
                <w:rFonts w:hint="eastAsia" w:ascii="黑体" w:hAnsi="黑体" w:eastAsia="黑体" w:cs="黑体"/>
                <w:b/>
                <w:bCs/>
                <w:i w:val="0"/>
                <w:iCs w:val="0"/>
                <w:caps w:val="0"/>
                <w:color w:val="auto"/>
                <w:spacing w:val="0"/>
                <w:sz w:val="22"/>
                <w:szCs w:val="22"/>
                <w:shd w:val="clear" w:fill="FFFFFF"/>
              </w:rPr>
            </w:pPr>
          </w:p>
        </w:tc>
        <w:tc>
          <w:tcPr>
            <w:tcW w:w="1095" w:type="dxa"/>
            <w:vAlign w:val="center"/>
          </w:tcPr>
          <w:p w14:paraId="781FF022">
            <w:pPr>
              <w:keepNext w:val="0"/>
              <w:keepLines w:val="0"/>
              <w:widowControl/>
              <w:suppressLineNumbers w:val="0"/>
              <w:bidi w:val="0"/>
              <w:spacing w:before="0" w:beforeAutospacing="0" w:after="0" w:afterAutospacing="0" w:line="420" w:lineRule="atLeast"/>
              <w:ind w:left="0" w:leftChars="0" w:right="0" w:rightChars="0" w:firstLine="0" w:firstLineChars="0"/>
              <w:jc w:val="center"/>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安全事故</w:t>
            </w:r>
          </w:p>
        </w:tc>
        <w:tc>
          <w:tcPr>
            <w:tcW w:w="3856" w:type="dxa"/>
            <w:vAlign w:val="center"/>
          </w:tcPr>
          <w:p w14:paraId="4BA0FACC">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无人员伤亡事故</w:t>
            </w:r>
          </w:p>
        </w:tc>
        <w:tc>
          <w:tcPr>
            <w:tcW w:w="3879" w:type="dxa"/>
            <w:vAlign w:val="center"/>
          </w:tcPr>
          <w:p w14:paraId="4C97AB35">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0"/>
                <w:sz w:val="22"/>
                <w:szCs w:val="22"/>
                <w:shd w:val="clear" w:fill="FFFFFF"/>
              </w:rPr>
            </w:pPr>
            <w:r>
              <w:rPr>
                <w:rFonts w:hint="eastAsia" w:ascii="黑体" w:hAnsi="黑体" w:eastAsia="黑体" w:cs="黑体"/>
                <w:i w:val="0"/>
                <w:iCs w:val="0"/>
                <w:caps w:val="0"/>
                <w:color w:val="auto"/>
                <w:spacing w:val="0"/>
                <w:sz w:val="22"/>
                <w:szCs w:val="22"/>
                <w:shd w:val="clear" w:fill="FFFFFF"/>
              </w:rPr>
              <w:t>发生轻伤事故每次扣5分；发生重伤或死亡事故扣10分并解除合同</w:t>
            </w:r>
          </w:p>
        </w:tc>
      </w:tr>
      <w:tr w14:paraId="44314E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restart"/>
            <w:vAlign w:val="center"/>
          </w:tcPr>
          <w:p w14:paraId="233A4D4A">
            <w:pPr>
              <w:spacing w:line="360" w:lineRule="auto"/>
              <w:jc w:val="center"/>
              <w:outlineLvl w:val="9"/>
              <w:rPr>
                <w:rFonts w:hint="eastAsia" w:ascii="黑体" w:hAnsi="黑体" w:eastAsia="黑体" w:cs="黑体"/>
                <w:b/>
                <w:bCs/>
                <w:color w:val="auto"/>
                <w:sz w:val="24"/>
                <w:szCs w:val="24"/>
                <w:highlight w:val="none"/>
                <w:lang w:val="en-US" w:eastAsia="zh-CN"/>
              </w:rPr>
            </w:pPr>
            <w:r>
              <w:rPr>
                <w:rFonts w:hint="eastAsia" w:ascii="黑体" w:hAnsi="黑体" w:eastAsia="黑体" w:cs="黑体"/>
                <w:b/>
                <w:bCs/>
                <w:i w:val="0"/>
                <w:iCs w:val="0"/>
                <w:caps w:val="0"/>
                <w:color w:val="auto"/>
                <w:spacing w:val="0"/>
                <w:sz w:val="22"/>
                <w:szCs w:val="22"/>
                <w:shd w:val="clear" w:fill="FFFFFF"/>
              </w:rPr>
              <w:t>六、应急保障</w:t>
            </w:r>
          </w:p>
        </w:tc>
        <w:tc>
          <w:tcPr>
            <w:tcW w:w="1095" w:type="dxa"/>
            <w:vAlign w:val="center"/>
          </w:tcPr>
          <w:p w14:paraId="4EFA68E0">
            <w:pPr>
              <w:keepNext w:val="0"/>
              <w:keepLines w:val="0"/>
              <w:widowControl/>
              <w:suppressLineNumbers w:val="0"/>
              <w:bidi w:val="0"/>
              <w:spacing w:before="0" w:beforeAutospacing="0" w:after="0" w:afterAutospacing="0" w:line="420" w:lineRule="atLeast"/>
              <w:ind w:left="0" w:leftChars="0" w:right="0" w:rightChars="0" w:firstLine="0" w:firstLineChars="0"/>
              <w:jc w:val="center"/>
              <w:outlineLvl w:val="9"/>
              <w:rPr>
                <w:rFonts w:hint="eastAsia" w:ascii="黑体" w:hAnsi="黑体" w:eastAsia="黑体" w:cs="黑体"/>
                <w:color w:val="auto"/>
                <w:sz w:val="24"/>
                <w:szCs w:val="24"/>
                <w:highlight w:val="none"/>
                <w:lang w:val="en-US" w:eastAsia="zh-CN"/>
              </w:rPr>
            </w:pPr>
            <w:r>
              <w:rPr>
                <w:rFonts w:hint="eastAsia" w:ascii="黑体" w:hAnsi="黑体" w:eastAsia="黑体" w:cs="黑体"/>
                <w:i w:val="0"/>
                <w:iCs w:val="0"/>
                <w:caps w:val="0"/>
                <w:color w:val="auto"/>
                <w:spacing w:val="0"/>
                <w:sz w:val="22"/>
                <w:szCs w:val="22"/>
                <w:shd w:val="clear" w:fill="FFFFFF"/>
              </w:rPr>
              <w:t>应急响应</w:t>
            </w:r>
          </w:p>
        </w:tc>
        <w:tc>
          <w:tcPr>
            <w:tcW w:w="3856" w:type="dxa"/>
            <w:vAlign w:val="center"/>
          </w:tcPr>
          <w:p w14:paraId="324F4BD6">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color w:val="auto"/>
                <w:sz w:val="24"/>
                <w:szCs w:val="24"/>
                <w:highlight w:val="none"/>
              </w:rPr>
            </w:pPr>
            <w:r>
              <w:rPr>
                <w:rFonts w:hint="eastAsia" w:ascii="黑体" w:hAnsi="黑体" w:eastAsia="黑体" w:cs="黑体"/>
                <w:i w:val="0"/>
                <w:iCs w:val="0"/>
                <w:caps w:val="0"/>
                <w:color w:val="auto"/>
                <w:spacing w:val="0"/>
                <w:sz w:val="22"/>
                <w:szCs w:val="22"/>
                <w:shd w:val="clear" w:fill="FFFFFF"/>
              </w:rPr>
              <w:t>组建应急队伍，保持24小时通讯畅通</w:t>
            </w:r>
          </w:p>
        </w:tc>
        <w:tc>
          <w:tcPr>
            <w:tcW w:w="3879" w:type="dxa"/>
            <w:vAlign w:val="center"/>
          </w:tcPr>
          <w:p w14:paraId="59260ECB">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color w:val="auto"/>
                <w:sz w:val="24"/>
                <w:szCs w:val="24"/>
                <w:highlight w:val="none"/>
              </w:rPr>
            </w:pPr>
            <w:r>
              <w:rPr>
                <w:rFonts w:hint="eastAsia" w:ascii="黑体" w:hAnsi="黑体" w:eastAsia="黑体" w:cs="黑体"/>
                <w:i w:val="0"/>
                <w:iCs w:val="0"/>
                <w:caps w:val="0"/>
                <w:color w:val="auto"/>
                <w:spacing w:val="0"/>
                <w:sz w:val="22"/>
                <w:szCs w:val="22"/>
                <w:shd w:val="clear" w:fill="FFFFFF"/>
              </w:rPr>
              <w:t>应急队伍未达标扣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分；通讯不畅每次扣1分</w:t>
            </w:r>
          </w:p>
        </w:tc>
      </w:tr>
      <w:tr w14:paraId="300D0C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continue"/>
            <w:vAlign w:val="center"/>
          </w:tcPr>
          <w:p w14:paraId="5BA27CE3">
            <w:pPr>
              <w:spacing w:line="360" w:lineRule="auto"/>
              <w:jc w:val="center"/>
              <w:outlineLvl w:val="9"/>
              <w:rPr>
                <w:rFonts w:hint="eastAsia" w:ascii="黑体" w:hAnsi="黑体" w:eastAsia="黑体" w:cs="黑体"/>
                <w:b/>
                <w:bCs/>
                <w:color w:val="auto"/>
                <w:sz w:val="24"/>
                <w:szCs w:val="24"/>
                <w:highlight w:val="none"/>
                <w:lang w:val="en-US" w:eastAsia="zh-CN"/>
              </w:rPr>
            </w:pPr>
          </w:p>
        </w:tc>
        <w:tc>
          <w:tcPr>
            <w:tcW w:w="1095" w:type="dxa"/>
            <w:shd w:val="clear" w:color="auto" w:fill="auto"/>
            <w:vAlign w:val="center"/>
          </w:tcPr>
          <w:p w14:paraId="345F76F3">
            <w:pPr>
              <w:keepNext w:val="0"/>
              <w:keepLines w:val="0"/>
              <w:widowControl/>
              <w:suppressLineNumbers w:val="0"/>
              <w:bidi w:val="0"/>
              <w:spacing w:before="0" w:beforeAutospacing="0" w:after="0" w:afterAutospacing="0" w:line="420" w:lineRule="atLeast"/>
              <w:ind w:left="0" w:leftChars="0" w:right="0" w:rightChars="0" w:firstLine="0" w:firstLineChars="0"/>
              <w:jc w:val="center"/>
              <w:outlineLvl w:val="9"/>
              <w:rPr>
                <w:rFonts w:hint="eastAsia" w:ascii="黑体" w:hAnsi="黑体" w:eastAsia="黑体" w:cs="黑体"/>
                <w:i w:val="0"/>
                <w:iCs w:val="0"/>
                <w:caps w:val="0"/>
                <w:snapToGrid w:val="0"/>
                <w:color w:val="auto"/>
                <w:spacing w:val="-2"/>
                <w:sz w:val="24"/>
                <w:szCs w:val="24"/>
                <w:highlight w:val="none"/>
                <w:shd w:val="clear" w:fill="FFFFFF"/>
                <w:lang w:val="en-US" w:eastAsia="zh-CN" w:bidi="ar-SA"/>
              </w:rPr>
            </w:pPr>
            <w:r>
              <w:rPr>
                <w:rFonts w:hint="eastAsia" w:ascii="黑体" w:hAnsi="黑体" w:eastAsia="黑体" w:cs="黑体"/>
                <w:i w:val="0"/>
                <w:iCs w:val="0"/>
                <w:caps w:val="0"/>
                <w:color w:val="auto"/>
                <w:spacing w:val="0"/>
                <w:sz w:val="22"/>
                <w:szCs w:val="22"/>
                <w:shd w:val="clear" w:fill="FFFFFF"/>
              </w:rPr>
              <w:t>突发事件处理</w:t>
            </w:r>
          </w:p>
        </w:tc>
        <w:tc>
          <w:tcPr>
            <w:tcW w:w="3856" w:type="dxa"/>
            <w:shd w:val="clear" w:color="auto" w:fill="auto"/>
            <w:vAlign w:val="center"/>
          </w:tcPr>
          <w:p w14:paraId="3A4F7308">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snapToGrid w:val="0"/>
                <w:color w:val="auto"/>
                <w:spacing w:val="-2"/>
                <w:sz w:val="24"/>
                <w:szCs w:val="24"/>
                <w:highlight w:val="none"/>
                <w:shd w:val="clear" w:fill="FFFFFF"/>
                <w:lang w:val="en-US" w:eastAsia="zh-CN" w:bidi="ar-SA"/>
              </w:rPr>
            </w:pPr>
            <w:r>
              <w:rPr>
                <w:rFonts w:hint="eastAsia" w:ascii="黑体" w:hAnsi="黑体" w:eastAsia="黑体" w:cs="黑体"/>
                <w:i w:val="0"/>
                <w:iCs w:val="0"/>
                <w:caps w:val="0"/>
                <w:color w:val="auto"/>
                <w:spacing w:val="0"/>
                <w:sz w:val="22"/>
                <w:szCs w:val="22"/>
                <w:shd w:val="clear" w:fill="FFFFFF"/>
              </w:rPr>
              <w:t>接到通知后30分钟内到达现场处理</w:t>
            </w:r>
          </w:p>
        </w:tc>
        <w:tc>
          <w:tcPr>
            <w:tcW w:w="3879" w:type="dxa"/>
            <w:shd w:val="clear" w:color="auto" w:fill="auto"/>
            <w:vAlign w:val="center"/>
          </w:tcPr>
          <w:p w14:paraId="75E88D39">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snapToGrid w:val="0"/>
                <w:color w:val="auto"/>
                <w:sz w:val="24"/>
                <w:szCs w:val="24"/>
                <w:highlight w:val="none"/>
                <w:lang w:val="en-US" w:eastAsia="zh-CN" w:bidi="ar-SA"/>
              </w:rPr>
            </w:pPr>
            <w:r>
              <w:rPr>
                <w:rFonts w:hint="eastAsia" w:ascii="黑体" w:hAnsi="黑体" w:eastAsia="黑体" w:cs="黑体"/>
                <w:i w:val="0"/>
                <w:iCs w:val="0"/>
                <w:caps w:val="0"/>
                <w:color w:val="auto"/>
                <w:spacing w:val="0"/>
                <w:sz w:val="22"/>
                <w:szCs w:val="22"/>
                <w:shd w:val="clear" w:fill="FFFFFF"/>
              </w:rPr>
              <w:t>未按时到达每次扣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分；处理不到位每次扣</w:t>
            </w:r>
            <w:r>
              <w:rPr>
                <w:rFonts w:hint="eastAsia" w:ascii="黑体" w:hAnsi="黑体" w:eastAsia="黑体" w:cs="黑体"/>
                <w:i w:val="0"/>
                <w:iCs w:val="0"/>
                <w:caps w:val="0"/>
                <w:color w:val="auto"/>
                <w:spacing w:val="0"/>
                <w:sz w:val="22"/>
                <w:szCs w:val="22"/>
                <w:shd w:val="clear" w:fill="FFFFFF"/>
                <w:lang w:val="en-US" w:eastAsia="zh-CN"/>
              </w:rPr>
              <w:t>1</w:t>
            </w:r>
            <w:r>
              <w:rPr>
                <w:rFonts w:hint="eastAsia" w:ascii="黑体" w:hAnsi="黑体" w:eastAsia="黑体" w:cs="黑体"/>
                <w:i w:val="0"/>
                <w:iCs w:val="0"/>
                <w:caps w:val="0"/>
                <w:color w:val="auto"/>
                <w:spacing w:val="0"/>
                <w:sz w:val="22"/>
                <w:szCs w:val="22"/>
                <w:shd w:val="clear" w:fill="FFFFFF"/>
              </w:rPr>
              <w:t>分</w:t>
            </w:r>
          </w:p>
        </w:tc>
      </w:tr>
      <w:tr w14:paraId="3F03B2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continue"/>
            <w:vAlign w:val="center"/>
          </w:tcPr>
          <w:p w14:paraId="52494A5A">
            <w:pPr>
              <w:spacing w:line="360" w:lineRule="auto"/>
              <w:jc w:val="center"/>
              <w:outlineLvl w:val="9"/>
              <w:rPr>
                <w:rFonts w:hint="eastAsia" w:ascii="黑体" w:hAnsi="黑体" w:eastAsia="黑体" w:cs="黑体"/>
                <w:b/>
                <w:bCs/>
                <w:color w:val="auto"/>
                <w:sz w:val="24"/>
                <w:szCs w:val="24"/>
                <w:highlight w:val="none"/>
                <w:lang w:val="en-US" w:eastAsia="zh-CN"/>
              </w:rPr>
            </w:pPr>
          </w:p>
        </w:tc>
        <w:tc>
          <w:tcPr>
            <w:tcW w:w="1095" w:type="dxa"/>
            <w:shd w:val="clear" w:color="auto" w:fill="auto"/>
            <w:vAlign w:val="center"/>
          </w:tcPr>
          <w:p w14:paraId="093B76DC">
            <w:pPr>
              <w:keepNext w:val="0"/>
              <w:keepLines w:val="0"/>
              <w:widowControl/>
              <w:suppressLineNumbers w:val="0"/>
              <w:bidi w:val="0"/>
              <w:spacing w:before="0" w:beforeAutospacing="0" w:after="0" w:afterAutospacing="0" w:line="420" w:lineRule="atLeast"/>
              <w:ind w:left="0" w:leftChars="0" w:right="0" w:rightChars="0" w:firstLine="0" w:firstLineChars="0"/>
              <w:jc w:val="center"/>
              <w:outlineLvl w:val="9"/>
              <w:rPr>
                <w:rFonts w:hint="eastAsia" w:ascii="黑体" w:hAnsi="黑体" w:eastAsia="黑体" w:cs="黑体"/>
                <w:color w:val="auto"/>
                <w:kern w:val="0"/>
                <w:sz w:val="24"/>
                <w:szCs w:val="24"/>
                <w:highlight w:val="none"/>
                <w:lang w:val="en-US" w:eastAsia="zh-CN" w:bidi="ar"/>
              </w:rPr>
            </w:pPr>
            <w:r>
              <w:rPr>
                <w:rFonts w:hint="eastAsia" w:ascii="黑体" w:hAnsi="黑体" w:eastAsia="黑体" w:cs="黑体"/>
                <w:i w:val="0"/>
                <w:iCs w:val="0"/>
                <w:caps w:val="0"/>
                <w:color w:val="auto"/>
                <w:spacing w:val="0"/>
                <w:sz w:val="22"/>
                <w:szCs w:val="22"/>
                <w:shd w:val="clear" w:fill="FFFFFF"/>
              </w:rPr>
              <w:t>重大活动保障</w:t>
            </w:r>
          </w:p>
        </w:tc>
        <w:tc>
          <w:tcPr>
            <w:tcW w:w="3856" w:type="dxa"/>
            <w:shd w:val="clear" w:color="auto" w:fill="auto"/>
            <w:vAlign w:val="center"/>
          </w:tcPr>
          <w:p w14:paraId="2605941E">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color w:val="auto"/>
                <w:kern w:val="0"/>
                <w:sz w:val="24"/>
                <w:szCs w:val="24"/>
                <w:highlight w:val="none"/>
                <w:lang w:val="en-US" w:eastAsia="zh-CN" w:bidi="ar"/>
              </w:rPr>
            </w:pPr>
            <w:r>
              <w:rPr>
                <w:rFonts w:hint="eastAsia" w:ascii="黑体" w:hAnsi="黑体" w:eastAsia="黑体" w:cs="黑体"/>
                <w:i w:val="0"/>
                <w:iCs w:val="0"/>
                <w:caps w:val="0"/>
                <w:color w:val="auto"/>
                <w:spacing w:val="0"/>
                <w:sz w:val="22"/>
                <w:szCs w:val="22"/>
                <w:shd w:val="clear" w:fill="FFFFFF"/>
              </w:rPr>
              <w:t>重大活动期间按要求完成保障任务</w:t>
            </w:r>
          </w:p>
        </w:tc>
        <w:tc>
          <w:tcPr>
            <w:tcW w:w="3879" w:type="dxa"/>
            <w:shd w:val="clear" w:color="auto" w:fill="auto"/>
            <w:vAlign w:val="center"/>
          </w:tcPr>
          <w:p w14:paraId="1EA604C4">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color w:val="auto"/>
                <w:kern w:val="0"/>
                <w:sz w:val="24"/>
                <w:szCs w:val="24"/>
                <w:highlight w:val="none"/>
                <w:lang w:val="en-US" w:eastAsia="zh-CN" w:bidi="ar"/>
              </w:rPr>
            </w:pPr>
            <w:r>
              <w:rPr>
                <w:rFonts w:hint="eastAsia" w:ascii="黑体" w:hAnsi="黑体" w:eastAsia="黑体" w:cs="黑体"/>
                <w:i w:val="0"/>
                <w:iCs w:val="0"/>
                <w:caps w:val="0"/>
                <w:color w:val="auto"/>
                <w:spacing w:val="0"/>
                <w:sz w:val="22"/>
                <w:szCs w:val="22"/>
                <w:shd w:val="clear" w:fill="FFFFFF"/>
              </w:rPr>
              <w:t>保障不到位每次扣</w:t>
            </w:r>
            <w:r>
              <w:rPr>
                <w:rFonts w:hint="eastAsia" w:ascii="黑体" w:hAnsi="黑体" w:eastAsia="黑体" w:cs="黑体"/>
                <w:i w:val="0"/>
                <w:iCs w:val="0"/>
                <w:caps w:val="0"/>
                <w:color w:val="auto"/>
                <w:spacing w:val="0"/>
                <w:sz w:val="22"/>
                <w:szCs w:val="22"/>
                <w:shd w:val="clear" w:fill="FFFFFF"/>
                <w:lang w:val="en-US" w:eastAsia="zh-CN"/>
              </w:rPr>
              <w:t>5</w:t>
            </w:r>
            <w:r>
              <w:rPr>
                <w:rFonts w:hint="eastAsia" w:ascii="黑体" w:hAnsi="黑体" w:eastAsia="黑体" w:cs="黑体"/>
                <w:i w:val="0"/>
                <w:iCs w:val="0"/>
                <w:caps w:val="0"/>
                <w:color w:val="auto"/>
                <w:spacing w:val="0"/>
                <w:sz w:val="22"/>
                <w:szCs w:val="22"/>
                <w:shd w:val="clear" w:fill="FFFFFF"/>
              </w:rPr>
              <w:t>分；造成重大影响的扣10分</w:t>
            </w:r>
          </w:p>
        </w:tc>
      </w:tr>
      <w:tr w14:paraId="41B695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restart"/>
            <w:vAlign w:val="center"/>
          </w:tcPr>
          <w:p w14:paraId="36B4C84C">
            <w:pPr>
              <w:spacing w:line="360" w:lineRule="auto"/>
              <w:jc w:val="center"/>
              <w:outlineLvl w:val="9"/>
              <w:rPr>
                <w:rFonts w:hint="eastAsia" w:ascii="黑体" w:hAnsi="黑体" w:eastAsia="黑体" w:cs="黑体"/>
                <w:b/>
                <w:bCs/>
                <w:color w:val="auto"/>
                <w:sz w:val="24"/>
                <w:szCs w:val="24"/>
                <w:highlight w:val="none"/>
                <w:lang w:val="en-US" w:eastAsia="zh-CN"/>
              </w:rPr>
            </w:pPr>
            <w:r>
              <w:rPr>
                <w:rFonts w:hint="eastAsia" w:ascii="黑体" w:hAnsi="黑体" w:eastAsia="黑体" w:cs="黑体"/>
                <w:b/>
                <w:bCs/>
                <w:i w:val="0"/>
                <w:iCs w:val="0"/>
                <w:caps w:val="0"/>
                <w:color w:val="auto"/>
                <w:spacing w:val="0"/>
                <w:sz w:val="22"/>
                <w:szCs w:val="22"/>
                <w:shd w:val="clear" w:fill="FFFFFF"/>
              </w:rPr>
              <w:t>七、综合管理</w:t>
            </w:r>
          </w:p>
        </w:tc>
        <w:tc>
          <w:tcPr>
            <w:tcW w:w="1095" w:type="dxa"/>
            <w:vAlign w:val="center"/>
          </w:tcPr>
          <w:p w14:paraId="4B4438E8">
            <w:pPr>
              <w:keepNext w:val="0"/>
              <w:keepLines w:val="0"/>
              <w:widowControl/>
              <w:suppressLineNumbers w:val="0"/>
              <w:bidi w:val="0"/>
              <w:spacing w:before="0" w:beforeAutospacing="0" w:after="0" w:afterAutospacing="0" w:line="420" w:lineRule="atLeast"/>
              <w:ind w:left="0" w:leftChars="0" w:right="0" w:rightChars="0" w:firstLine="0" w:firstLineChars="0"/>
              <w:jc w:val="center"/>
              <w:outlineLvl w:val="9"/>
              <w:rPr>
                <w:rFonts w:hint="eastAsia" w:ascii="黑体" w:hAnsi="黑体" w:eastAsia="黑体" w:cs="黑体"/>
                <w:i w:val="0"/>
                <w:iCs w:val="0"/>
                <w:caps w:val="0"/>
                <w:color w:val="auto"/>
                <w:spacing w:val="-2"/>
                <w:sz w:val="24"/>
                <w:szCs w:val="24"/>
                <w:highlight w:val="none"/>
                <w:shd w:val="clear" w:fill="FFFFFF"/>
              </w:rPr>
            </w:pPr>
            <w:r>
              <w:rPr>
                <w:rFonts w:hint="eastAsia" w:ascii="黑体" w:hAnsi="黑体" w:eastAsia="黑体" w:cs="黑体"/>
                <w:i w:val="0"/>
                <w:iCs w:val="0"/>
                <w:caps w:val="0"/>
                <w:color w:val="auto"/>
                <w:spacing w:val="0"/>
                <w:sz w:val="22"/>
                <w:szCs w:val="22"/>
                <w:shd w:val="clear" w:fill="FFFFFF"/>
              </w:rPr>
              <w:t>服从调度</w:t>
            </w:r>
          </w:p>
        </w:tc>
        <w:tc>
          <w:tcPr>
            <w:tcW w:w="3856" w:type="dxa"/>
            <w:vAlign w:val="center"/>
          </w:tcPr>
          <w:p w14:paraId="5848F798">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2"/>
                <w:sz w:val="24"/>
                <w:szCs w:val="24"/>
                <w:highlight w:val="none"/>
                <w:shd w:val="clear" w:fill="FFFFFF"/>
              </w:rPr>
            </w:pPr>
            <w:r>
              <w:rPr>
                <w:rFonts w:hint="eastAsia" w:ascii="黑体" w:hAnsi="黑体" w:eastAsia="黑体" w:cs="黑体"/>
                <w:i w:val="0"/>
                <w:iCs w:val="0"/>
                <w:caps w:val="0"/>
                <w:color w:val="auto"/>
                <w:spacing w:val="0"/>
                <w:sz w:val="22"/>
                <w:szCs w:val="22"/>
                <w:shd w:val="clear" w:fill="FFFFFF"/>
              </w:rPr>
              <w:t>服从采购人管理调度</w:t>
            </w:r>
          </w:p>
        </w:tc>
        <w:tc>
          <w:tcPr>
            <w:tcW w:w="3879" w:type="dxa"/>
            <w:vAlign w:val="center"/>
          </w:tcPr>
          <w:p w14:paraId="787EC9F2">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color w:val="auto"/>
                <w:sz w:val="24"/>
                <w:szCs w:val="24"/>
                <w:highlight w:val="none"/>
              </w:rPr>
            </w:pPr>
            <w:r>
              <w:rPr>
                <w:rFonts w:hint="eastAsia" w:ascii="黑体" w:hAnsi="黑体" w:eastAsia="黑体" w:cs="黑体"/>
                <w:i w:val="0"/>
                <w:iCs w:val="0"/>
                <w:caps w:val="0"/>
                <w:color w:val="auto"/>
                <w:spacing w:val="0"/>
                <w:sz w:val="22"/>
                <w:szCs w:val="22"/>
                <w:shd w:val="clear" w:fill="FFFFFF"/>
              </w:rPr>
              <w:t>不服从管理每次扣3分</w:t>
            </w:r>
          </w:p>
        </w:tc>
      </w:tr>
      <w:tr w14:paraId="5C1E4C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continue"/>
            <w:vAlign w:val="center"/>
          </w:tcPr>
          <w:p w14:paraId="28E84992">
            <w:pPr>
              <w:spacing w:line="360" w:lineRule="auto"/>
              <w:jc w:val="center"/>
              <w:outlineLvl w:val="9"/>
              <w:rPr>
                <w:rFonts w:hint="eastAsia" w:ascii="黑体" w:hAnsi="黑体" w:eastAsia="黑体" w:cs="黑体"/>
                <w:b/>
                <w:bCs/>
                <w:i w:val="0"/>
                <w:iCs w:val="0"/>
                <w:caps w:val="0"/>
                <w:color w:val="auto"/>
                <w:spacing w:val="0"/>
                <w:sz w:val="22"/>
                <w:szCs w:val="22"/>
                <w:shd w:val="clear" w:fill="FFFFFF"/>
              </w:rPr>
            </w:pPr>
          </w:p>
        </w:tc>
        <w:tc>
          <w:tcPr>
            <w:tcW w:w="1095" w:type="dxa"/>
            <w:vAlign w:val="center"/>
          </w:tcPr>
          <w:p w14:paraId="7D0994D1">
            <w:pPr>
              <w:keepNext w:val="0"/>
              <w:keepLines w:val="0"/>
              <w:widowControl/>
              <w:suppressLineNumbers w:val="0"/>
              <w:bidi w:val="0"/>
              <w:spacing w:before="0" w:beforeAutospacing="0" w:after="0" w:afterAutospacing="0" w:line="420" w:lineRule="atLeast"/>
              <w:ind w:left="0" w:leftChars="0" w:right="0" w:rightChars="0" w:firstLine="0" w:firstLineChars="0"/>
              <w:jc w:val="center"/>
              <w:outlineLvl w:val="9"/>
              <w:rPr>
                <w:rFonts w:hint="eastAsia" w:ascii="黑体" w:hAnsi="黑体" w:eastAsia="黑体" w:cs="黑体"/>
                <w:i w:val="0"/>
                <w:iCs w:val="0"/>
                <w:caps w:val="0"/>
                <w:color w:val="auto"/>
                <w:spacing w:val="-2"/>
                <w:sz w:val="24"/>
                <w:szCs w:val="24"/>
                <w:highlight w:val="none"/>
                <w:shd w:val="clear" w:fill="FFFFFF"/>
              </w:rPr>
            </w:pPr>
            <w:r>
              <w:rPr>
                <w:rFonts w:hint="eastAsia" w:ascii="黑体" w:hAnsi="黑体" w:eastAsia="黑体" w:cs="黑体"/>
                <w:i w:val="0"/>
                <w:iCs w:val="0"/>
                <w:caps w:val="0"/>
                <w:color w:val="auto"/>
                <w:spacing w:val="0"/>
                <w:sz w:val="22"/>
                <w:szCs w:val="22"/>
                <w:shd w:val="clear" w:fill="FFFFFF"/>
              </w:rPr>
              <w:t>整改落实</w:t>
            </w:r>
          </w:p>
        </w:tc>
        <w:tc>
          <w:tcPr>
            <w:tcW w:w="3856" w:type="dxa"/>
            <w:vAlign w:val="center"/>
          </w:tcPr>
          <w:p w14:paraId="7BB601BE">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color w:val="auto"/>
                <w:spacing w:val="-2"/>
                <w:sz w:val="24"/>
                <w:szCs w:val="24"/>
                <w:highlight w:val="none"/>
                <w:shd w:val="clear" w:fill="FFFFFF"/>
              </w:rPr>
            </w:pPr>
            <w:r>
              <w:rPr>
                <w:rFonts w:hint="eastAsia" w:ascii="黑体" w:hAnsi="黑体" w:eastAsia="黑体" w:cs="黑体"/>
                <w:i w:val="0"/>
                <w:iCs w:val="0"/>
                <w:caps w:val="0"/>
                <w:color w:val="auto"/>
                <w:spacing w:val="0"/>
                <w:sz w:val="22"/>
                <w:szCs w:val="22"/>
                <w:shd w:val="clear" w:fill="FFFFFF"/>
              </w:rPr>
              <w:t>对考核发现问题按时整改到位</w:t>
            </w:r>
          </w:p>
        </w:tc>
        <w:tc>
          <w:tcPr>
            <w:tcW w:w="3879" w:type="dxa"/>
            <w:vAlign w:val="center"/>
          </w:tcPr>
          <w:p w14:paraId="1AC9E14C">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color w:val="auto"/>
                <w:sz w:val="24"/>
                <w:szCs w:val="24"/>
                <w:highlight w:val="none"/>
              </w:rPr>
            </w:pPr>
            <w:r>
              <w:rPr>
                <w:rFonts w:hint="eastAsia" w:ascii="黑体" w:hAnsi="黑体" w:eastAsia="黑体" w:cs="黑体"/>
                <w:i w:val="0"/>
                <w:iCs w:val="0"/>
                <w:caps w:val="0"/>
                <w:color w:val="auto"/>
                <w:spacing w:val="0"/>
                <w:sz w:val="22"/>
                <w:szCs w:val="22"/>
                <w:shd w:val="clear" w:fill="FFFFFF"/>
              </w:rPr>
              <w:t>未按时整改每处扣1分；整改不到位每处扣2分</w:t>
            </w:r>
          </w:p>
        </w:tc>
      </w:tr>
      <w:tr w14:paraId="1A6BBA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continue"/>
            <w:shd w:val="clear" w:color="auto" w:fill="auto"/>
            <w:vAlign w:val="center"/>
          </w:tcPr>
          <w:p w14:paraId="164685A7">
            <w:pPr>
              <w:bidi w:val="0"/>
              <w:ind w:left="0" w:leftChars="0" w:firstLine="0" w:firstLineChars="0"/>
              <w:jc w:val="center"/>
              <w:rPr>
                <w:rFonts w:hint="eastAsia" w:ascii="黑体" w:hAnsi="黑体" w:eastAsia="黑体" w:cs="黑体"/>
                <w:snapToGrid w:val="0"/>
                <w:color w:val="auto"/>
                <w:szCs w:val="24"/>
                <w:highlight w:val="none"/>
                <w:lang w:val="en-US" w:eastAsia="zh-CN" w:bidi="ar-SA"/>
              </w:rPr>
            </w:pPr>
          </w:p>
        </w:tc>
        <w:tc>
          <w:tcPr>
            <w:tcW w:w="1095" w:type="dxa"/>
            <w:shd w:val="clear" w:color="auto" w:fill="auto"/>
            <w:vAlign w:val="center"/>
          </w:tcPr>
          <w:p w14:paraId="23391A3C">
            <w:pPr>
              <w:spacing w:line="360" w:lineRule="auto"/>
              <w:jc w:val="center"/>
              <w:rPr>
                <w:rFonts w:hint="eastAsia" w:ascii="黑体" w:hAnsi="黑体" w:eastAsia="黑体" w:cs="黑体"/>
                <w:snapToGrid w:val="0"/>
                <w:color w:val="auto"/>
                <w:sz w:val="24"/>
                <w:szCs w:val="24"/>
                <w:highlight w:val="none"/>
                <w:lang w:val="en-US" w:eastAsia="zh-CN" w:bidi="ar-SA"/>
              </w:rPr>
            </w:pPr>
            <w:r>
              <w:rPr>
                <w:rFonts w:hint="eastAsia" w:ascii="黑体" w:hAnsi="黑体" w:eastAsia="黑体" w:cs="黑体"/>
                <w:i w:val="0"/>
                <w:iCs w:val="0"/>
                <w:caps w:val="0"/>
                <w:color w:val="auto"/>
                <w:spacing w:val="0"/>
                <w:sz w:val="22"/>
                <w:szCs w:val="22"/>
                <w:shd w:val="clear" w:fill="FFFFFF"/>
              </w:rPr>
              <w:t>服务范围调整</w:t>
            </w:r>
          </w:p>
        </w:tc>
        <w:tc>
          <w:tcPr>
            <w:tcW w:w="3856" w:type="dxa"/>
            <w:shd w:val="clear" w:color="auto" w:fill="auto"/>
            <w:vAlign w:val="center"/>
          </w:tcPr>
          <w:p w14:paraId="6C821853">
            <w:pPr>
              <w:spacing w:line="360" w:lineRule="auto"/>
              <w:rPr>
                <w:rFonts w:hint="eastAsia" w:ascii="黑体" w:hAnsi="黑体" w:eastAsia="黑体" w:cs="黑体"/>
                <w:snapToGrid w:val="0"/>
                <w:color w:val="auto"/>
                <w:sz w:val="24"/>
                <w:szCs w:val="24"/>
                <w:highlight w:val="none"/>
                <w:lang w:val="en-US" w:eastAsia="zh-CN" w:bidi="ar-SA"/>
              </w:rPr>
            </w:pPr>
            <w:r>
              <w:rPr>
                <w:rFonts w:hint="eastAsia" w:ascii="黑体" w:hAnsi="黑体" w:eastAsia="黑体" w:cs="黑体"/>
                <w:i w:val="0"/>
                <w:iCs w:val="0"/>
                <w:caps w:val="0"/>
                <w:color w:val="auto"/>
                <w:spacing w:val="0"/>
                <w:sz w:val="22"/>
                <w:szCs w:val="22"/>
                <w:shd w:val="clear" w:fill="FFFFFF"/>
              </w:rPr>
              <w:t>接受采购人对服务范围的适度调整</w:t>
            </w:r>
          </w:p>
        </w:tc>
        <w:tc>
          <w:tcPr>
            <w:tcW w:w="3879" w:type="dxa"/>
            <w:shd w:val="clear" w:color="auto" w:fill="auto"/>
            <w:vAlign w:val="center"/>
          </w:tcPr>
          <w:p w14:paraId="79963E3A">
            <w:pPr>
              <w:spacing w:line="360" w:lineRule="auto"/>
              <w:rPr>
                <w:rFonts w:hint="eastAsia" w:ascii="黑体" w:hAnsi="黑体" w:eastAsia="黑体" w:cs="黑体"/>
                <w:snapToGrid w:val="0"/>
                <w:color w:val="auto"/>
                <w:sz w:val="24"/>
                <w:szCs w:val="24"/>
                <w:highlight w:val="none"/>
                <w:lang w:val="en-US" w:eastAsia="zh-CN" w:bidi="ar-SA"/>
              </w:rPr>
            </w:pPr>
            <w:r>
              <w:rPr>
                <w:rFonts w:hint="eastAsia" w:ascii="黑体" w:hAnsi="黑体" w:eastAsia="黑体" w:cs="黑体"/>
                <w:i w:val="0"/>
                <w:iCs w:val="0"/>
                <w:caps w:val="0"/>
                <w:color w:val="auto"/>
                <w:spacing w:val="0"/>
                <w:sz w:val="22"/>
                <w:szCs w:val="22"/>
                <w:shd w:val="clear" w:fill="FFFFFF"/>
              </w:rPr>
              <w:t>拒绝调整每次扣3分</w:t>
            </w:r>
          </w:p>
        </w:tc>
      </w:tr>
      <w:tr w14:paraId="0CC453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restart"/>
            <w:vAlign w:val="center"/>
          </w:tcPr>
          <w:p w14:paraId="1C96BD22">
            <w:pPr>
              <w:spacing w:line="360" w:lineRule="auto"/>
              <w:jc w:val="center"/>
              <w:outlineLvl w:val="9"/>
              <w:rPr>
                <w:rFonts w:hint="eastAsia" w:ascii="黑体" w:hAnsi="黑体" w:eastAsia="黑体" w:cs="黑体"/>
                <w:b/>
                <w:bCs/>
                <w:color w:val="auto"/>
                <w:sz w:val="24"/>
                <w:szCs w:val="24"/>
                <w:highlight w:val="none"/>
                <w:lang w:val="en-US" w:eastAsia="zh-CN"/>
              </w:rPr>
            </w:pPr>
            <w:r>
              <w:rPr>
                <w:rFonts w:hint="eastAsia" w:ascii="黑体" w:hAnsi="黑体" w:eastAsia="黑体" w:cs="黑体"/>
                <w:b/>
                <w:bCs/>
                <w:i w:val="0"/>
                <w:iCs w:val="0"/>
                <w:caps w:val="0"/>
                <w:color w:val="auto"/>
                <w:spacing w:val="0"/>
                <w:sz w:val="22"/>
                <w:szCs w:val="22"/>
                <w:shd w:val="clear" w:fill="FFFFFF"/>
              </w:rPr>
              <w:t>八、社会评价</w:t>
            </w:r>
          </w:p>
        </w:tc>
        <w:tc>
          <w:tcPr>
            <w:tcW w:w="1095" w:type="dxa"/>
            <w:shd w:val="clear" w:color="auto" w:fill="auto"/>
            <w:vAlign w:val="center"/>
          </w:tcPr>
          <w:p w14:paraId="1237340A">
            <w:pPr>
              <w:spacing w:line="360" w:lineRule="auto"/>
              <w:jc w:val="center"/>
              <w:outlineLvl w:val="9"/>
              <w:rPr>
                <w:rFonts w:hint="eastAsia" w:ascii="黑体" w:hAnsi="黑体" w:eastAsia="黑体" w:cs="黑体"/>
                <w:snapToGrid w:val="0"/>
                <w:color w:val="auto"/>
                <w:sz w:val="24"/>
                <w:szCs w:val="24"/>
                <w:highlight w:val="none"/>
                <w:lang w:val="en-US" w:eastAsia="zh-CN" w:bidi="ar-SA"/>
              </w:rPr>
            </w:pPr>
            <w:r>
              <w:rPr>
                <w:rFonts w:hint="eastAsia" w:ascii="黑体" w:hAnsi="黑体" w:eastAsia="黑体" w:cs="黑体"/>
                <w:i w:val="0"/>
                <w:iCs w:val="0"/>
                <w:caps w:val="0"/>
                <w:color w:val="auto"/>
                <w:spacing w:val="-2"/>
                <w:sz w:val="24"/>
                <w:szCs w:val="24"/>
                <w:highlight w:val="none"/>
                <w:shd w:val="clear" w:fill="FFFFFF"/>
              </w:rPr>
              <w:t>服从调度</w:t>
            </w:r>
          </w:p>
        </w:tc>
        <w:tc>
          <w:tcPr>
            <w:tcW w:w="3856" w:type="dxa"/>
            <w:shd w:val="clear" w:color="auto" w:fill="auto"/>
            <w:vAlign w:val="center"/>
          </w:tcPr>
          <w:p w14:paraId="46FCB0C9">
            <w:pPr>
              <w:spacing w:line="360" w:lineRule="auto"/>
              <w:jc w:val="left"/>
              <w:outlineLvl w:val="9"/>
              <w:rPr>
                <w:rFonts w:hint="eastAsia" w:ascii="黑体" w:hAnsi="黑体" w:eastAsia="黑体" w:cs="黑体"/>
                <w:snapToGrid w:val="0"/>
                <w:color w:val="auto"/>
                <w:sz w:val="24"/>
                <w:szCs w:val="24"/>
                <w:highlight w:val="none"/>
                <w:lang w:val="en-US" w:eastAsia="en-US" w:bidi="ar-SA"/>
              </w:rPr>
            </w:pPr>
            <w:r>
              <w:rPr>
                <w:rFonts w:hint="eastAsia" w:ascii="黑体" w:hAnsi="黑体" w:eastAsia="黑体" w:cs="黑体"/>
                <w:color w:val="auto"/>
                <w:sz w:val="24"/>
                <w:szCs w:val="24"/>
                <w:highlight w:val="none"/>
              </w:rPr>
              <w:t>不服从管理、不听从调度、不接受监督的。</w:t>
            </w:r>
          </w:p>
        </w:tc>
        <w:tc>
          <w:tcPr>
            <w:tcW w:w="3879" w:type="dxa"/>
            <w:shd w:val="clear" w:color="auto" w:fill="auto"/>
            <w:vAlign w:val="center"/>
          </w:tcPr>
          <w:p w14:paraId="15FECCD6">
            <w:pPr>
              <w:spacing w:line="360" w:lineRule="auto"/>
              <w:jc w:val="left"/>
              <w:outlineLvl w:val="9"/>
              <w:rPr>
                <w:rFonts w:hint="eastAsia" w:ascii="黑体" w:hAnsi="黑体" w:eastAsia="黑体" w:cs="黑体"/>
                <w:snapToGrid w:val="0"/>
                <w:color w:val="auto"/>
                <w:sz w:val="24"/>
                <w:szCs w:val="24"/>
                <w:highlight w:val="none"/>
                <w:lang w:val="en-US" w:eastAsia="en-US" w:bidi="ar-SA"/>
              </w:rPr>
            </w:pPr>
            <w:r>
              <w:rPr>
                <w:rFonts w:hint="eastAsia" w:ascii="黑体" w:hAnsi="黑体" w:eastAsia="黑体" w:cs="黑体"/>
                <w:color w:val="auto"/>
                <w:sz w:val="24"/>
                <w:szCs w:val="24"/>
                <w:highlight w:val="none"/>
                <w:lang w:val="en-US" w:eastAsia="zh-CN"/>
              </w:rPr>
              <w:t>每</w:t>
            </w:r>
            <w:r>
              <w:rPr>
                <w:rFonts w:hint="eastAsia" w:ascii="黑体" w:hAnsi="黑体" w:eastAsia="黑体" w:cs="黑体"/>
                <w:color w:val="auto"/>
                <w:sz w:val="24"/>
                <w:szCs w:val="24"/>
                <w:highlight w:val="none"/>
              </w:rPr>
              <w:t>起扣</w:t>
            </w:r>
            <w:r>
              <w:rPr>
                <w:rFonts w:hint="eastAsia" w:ascii="黑体" w:hAnsi="黑体" w:eastAsia="黑体" w:cs="黑体"/>
                <w:color w:val="auto"/>
                <w:sz w:val="24"/>
                <w:szCs w:val="24"/>
                <w:highlight w:val="none"/>
                <w:lang w:val="en-US" w:eastAsia="zh-CN"/>
              </w:rPr>
              <w:t>3</w:t>
            </w:r>
            <w:r>
              <w:rPr>
                <w:rFonts w:hint="eastAsia" w:ascii="黑体" w:hAnsi="黑体" w:eastAsia="黑体" w:cs="黑体"/>
                <w:color w:val="auto"/>
                <w:sz w:val="24"/>
                <w:szCs w:val="24"/>
                <w:highlight w:val="none"/>
              </w:rPr>
              <w:t>分。</w:t>
            </w:r>
          </w:p>
        </w:tc>
      </w:tr>
      <w:tr w14:paraId="3B7D2B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continue"/>
            <w:vAlign w:val="center"/>
          </w:tcPr>
          <w:p w14:paraId="4588E72E">
            <w:pPr>
              <w:spacing w:line="360" w:lineRule="auto"/>
              <w:jc w:val="center"/>
              <w:outlineLvl w:val="9"/>
              <w:rPr>
                <w:rFonts w:hint="eastAsia" w:ascii="黑体" w:hAnsi="黑体" w:eastAsia="黑体" w:cs="黑体"/>
                <w:b/>
                <w:bCs/>
                <w:color w:val="auto"/>
                <w:sz w:val="24"/>
                <w:szCs w:val="24"/>
                <w:highlight w:val="none"/>
                <w:lang w:val="en-US" w:eastAsia="zh-CN"/>
              </w:rPr>
            </w:pPr>
          </w:p>
        </w:tc>
        <w:tc>
          <w:tcPr>
            <w:tcW w:w="1095" w:type="dxa"/>
            <w:shd w:val="clear" w:color="auto" w:fill="auto"/>
            <w:vAlign w:val="center"/>
          </w:tcPr>
          <w:p w14:paraId="60124B41">
            <w:pPr>
              <w:keepNext w:val="0"/>
              <w:keepLines w:val="0"/>
              <w:widowControl/>
              <w:suppressLineNumbers w:val="0"/>
              <w:bidi w:val="0"/>
              <w:spacing w:before="0" w:beforeAutospacing="0" w:after="0" w:afterAutospacing="0" w:line="420" w:lineRule="atLeast"/>
              <w:ind w:left="0" w:leftChars="0" w:right="0" w:rightChars="0" w:firstLine="0" w:firstLineChars="0"/>
              <w:jc w:val="center"/>
              <w:outlineLvl w:val="9"/>
              <w:rPr>
                <w:rFonts w:hint="eastAsia" w:ascii="黑体" w:hAnsi="黑体" w:eastAsia="黑体" w:cs="黑体"/>
                <w:i w:val="0"/>
                <w:iCs w:val="0"/>
                <w:caps w:val="0"/>
                <w:snapToGrid w:val="0"/>
                <w:color w:val="auto"/>
                <w:spacing w:val="-2"/>
                <w:sz w:val="24"/>
                <w:szCs w:val="24"/>
                <w:highlight w:val="none"/>
                <w:shd w:val="clear" w:fill="FFFFFF"/>
                <w:lang w:val="en-US" w:eastAsia="zh-CN" w:bidi="ar-SA"/>
              </w:rPr>
            </w:pPr>
            <w:r>
              <w:rPr>
                <w:rFonts w:hint="eastAsia" w:ascii="黑体" w:hAnsi="黑体" w:eastAsia="黑体" w:cs="黑体"/>
                <w:color w:val="auto"/>
                <w:kern w:val="0"/>
                <w:sz w:val="24"/>
                <w:szCs w:val="24"/>
                <w:highlight w:val="none"/>
                <w:lang w:val="en-US" w:eastAsia="zh-CN" w:bidi="ar"/>
              </w:rPr>
              <w:t>配合与整改</w:t>
            </w:r>
          </w:p>
        </w:tc>
        <w:tc>
          <w:tcPr>
            <w:tcW w:w="3856" w:type="dxa"/>
            <w:shd w:val="clear" w:color="auto" w:fill="auto"/>
            <w:vAlign w:val="center"/>
          </w:tcPr>
          <w:p w14:paraId="30EBED50">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i w:val="0"/>
                <w:iCs w:val="0"/>
                <w:caps w:val="0"/>
                <w:snapToGrid w:val="0"/>
                <w:color w:val="auto"/>
                <w:spacing w:val="-2"/>
                <w:sz w:val="24"/>
                <w:szCs w:val="24"/>
                <w:highlight w:val="none"/>
                <w:shd w:val="clear" w:fill="FFFFFF"/>
                <w:lang w:val="en-US" w:eastAsia="en-US" w:bidi="ar-SA"/>
              </w:rPr>
            </w:pPr>
            <w:r>
              <w:rPr>
                <w:rFonts w:hint="eastAsia" w:ascii="黑体" w:hAnsi="黑体" w:eastAsia="黑体" w:cs="黑体"/>
                <w:color w:val="auto"/>
                <w:kern w:val="0"/>
                <w:sz w:val="24"/>
                <w:szCs w:val="24"/>
                <w:highlight w:val="none"/>
                <w:lang w:val="en-US" w:eastAsia="zh-CN" w:bidi="ar"/>
              </w:rPr>
              <w:t>服从采购人对服务范围的适度调整，无拒绝执行情况；对考核发现的问题，按要求在规定时限内整改到位。</w:t>
            </w:r>
          </w:p>
        </w:tc>
        <w:tc>
          <w:tcPr>
            <w:tcW w:w="3879" w:type="dxa"/>
            <w:shd w:val="clear" w:color="auto" w:fill="auto"/>
            <w:vAlign w:val="center"/>
          </w:tcPr>
          <w:p w14:paraId="1957313B">
            <w:pPr>
              <w:keepNext w:val="0"/>
              <w:keepLines w:val="0"/>
              <w:widowControl/>
              <w:suppressLineNumbers w:val="0"/>
              <w:bidi w:val="0"/>
              <w:spacing w:before="0" w:beforeAutospacing="0" w:after="0" w:afterAutospacing="0" w:line="420" w:lineRule="atLeast"/>
              <w:ind w:left="0" w:leftChars="0" w:right="0" w:rightChars="0" w:firstLine="0" w:firstLineChars="0"/>
              <w:jc w:val="left"/>
              <w:outlineLvl w:val="9"/>
              <w:rPr>
                <w:rFonts w:hint="eastAsia" w:ascii="黑体" w:hAnsi="黑体" w:eastAsia="黑体" w:cs="黑体"/>
                <w:snapToGrid w:val="0"/>
                <w:color w:val="auto"/>
                <w:sz w:val="24"/>
                <w:szCs w:val="24"/>
                <w:highlight w:val="none"/>
                <w:lang w:val="en-US" w:eastAsia="zh-CN" w:bidi="ar-SA"/>
              </w:rPr>
            </w:pPr>
            <w:r>
              <w:rPr>
                <w:rFonts w:hint="eastAsia" w:ascii="黑体" w:hAnsi="黑体" w:eastAsia="黑体" w:cs="黑体"/>
                <w:color w:val="auto"/>
                <w:kern w:val="0"/>
                <w:sz w:val="24"/>
                <w:szCs w:val="24"/>
                <w:highlight w:val="none"/>
                <w:lang w:val="en-US" w:eastAsia="zh-CN" w:bidi="ar"/>
              </w:rPr>
              <w:t>1.拒绝配合服务范围调整，每次扣3分；2.考核问题未按时整改，每处扣1分；3.整改不到位且无合理解释，每处扣2分。</w:t>
            </w:r>
          </w:p>
        </w:tc>
      </w:tr>
      <w:tr w14:paraId="67A7C1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continue"/>
            <w:vAlign w:val="center"/>
          </w:tcPr>
          <w:p w14:paraId="11EF2855">
            <w:pPr>
              <w:spacing w:line="360" w:lineRule="auto"/>
              <w:jc w:val="center"/>
              <w:outlineLvl w:val="9"/>
              <w:rPr>
                <w:rFonts w:hint="eastAsia" w:ascii="黑体" w:hAnsi="黑体" w:eastAsia="黑体" w:cs="黑体"/>
                <w:color w:val="auto"/>
                <w:sz w:val="24"/>
                <w:szCs w:val="24"/>
                <w:highlight w:val="none"/>
                <w:lang w:val="en-US" w:eastAsia="zh-CN"/>
              </w:rPr>
            </w:pPr>
          </w:p>
        </w:tc>
        <w:tc>
          <w:tcPr>
            <w:tcW w:w="1095" w:type="dxa"/>
            <w:vMerge w:val="restart"/>
            <w:vAlign w:val="center"/>
          </w:tcPr>
          <w:p w14:paraId="4B1D0745">
            <w:pPr>
              <w:spacing w:line="360" w:lineRule="auto"/>
              <w:jc w:val="center"/>
              <w:outlineLvl w:val="9"/>
              <w:rPr>
                <w:rFonts w:hint="eastAsia" w:ascii="黑体" w:hAnsi="黑体" w:eastAsia="黑体" w:cs="黑体"/>
                <w:color w:val="auto"/>
                <w:sz w:val="24"/>
                <w:szCs w:val="24"/>
                <w:highlight w:val="none"/>
                <w:lang w:val="en-US" w:eastAsia="zh-CN"/>
              </w:rPr>
            </w:pPr>
            <w:r>
              <w:rPr>
                <w:rFonts w:hint="eastAsia" w:ascii="黑体" w:hAnsi="黑体" w:eastAsia="黑体" w:cs="黑体"/>
                <w:color w:val="auto"/>
                <w:sz w:val="24"/>
                <w:szCs w:val="24"/>
                <w:highlight w:val="none"/>
                <w:lang w:val="en-US" w:eastAsia="zh-CN"/>
              </w:rPr>
              <w:t>社会评价</w:t>
            </w:r>
          </w:p>
        </w:tc>
        <w:tc>
          <w:tcPr>
            <w:tcW w:w="3856" w:type="dxa"/>
            <w:vAlign w:val="center"/>
          </w:tcPr>
          <w:p w14:paraId="582A8130">
            <w:pPr>
              <w:spacing w:line="360" w:lineRule="auto"/>
              <w:jc w:val="left"/>
              <w:outlineLvl w:val="9"/>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被中央、省、市、区媒体</w:t>
            </w:r>
            <w:r>
              <w:rPr>
                <w:rFonts w:hint="eastAsia" w:ascii="黑体" w:hAnsi="黑体" w:eastAsia="黑体" w:cs="黑体"/>
                <w:color w:val="auto"/>
                <w:sz w:val="24"/>
                <w:szCs w:val="24"/>
                <w:highlight w:val="none"/>
                <w:lang w:eastAsia="zh-CN"/>
              </w:rPr>
              <w:t>正面（负面）</w:t>
            </w:r>
            <w:r>
              <w:rPr>
                <w:rFonts w:hint="eastAsia" w:ascii="黑体" w:hAnsi="黑体" w:eastAsia="黑体" w:cs="黑体"/>
                <w:color w:val="auto"/>
                <w:sz w:val="24"/>
                <w:szCs w:val="24"/>
                <w:highlight w:val="none"/>
              </w:rPr>
              <w:t>曝光的事件。</w:t>
            </w:r>
          </w:p>
        </w:tc>
        <w:tc>
          <w:tcPr>
            <w:tcW w:w="3879" w:type="dxa"/>
            <w:vAlign w:val="center"/>
          </w:tcPr>
          <w:p w14:paraId="19D29CB0">
            <w:pPr>
              <w:spacing w:line="360" w:lineRule="auto"/>
              <w:jc w:val="left"/>
              <w:outlineLvl w:val="9"/>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每一起分别</w:t>
            </w:r>
            <w:r>
              <w:rPr>
                <w:rFonts w:hint="eastAsia" w:ascii="黑体" w:hAnsi="黑体" w:eastAsia="黑体" w:cs="黑体"/>
                <w:color w:val="auto"/>
                <w:sz w:val="24"/>
                <w:szCs w:val="24"/>
                <w:highlight w:val="none"/>
                <w:lang w:eastAsia="zh-CN"/>
              </w:rPr>
              <w:t>加（</w:t>
            </w:r>
            <w:r>
              <w:rPr>
                <w:rFonts w:hint="eastAsia" w:ascii="黑体" w:hAnsi="黑体" w:eastAsia="黑体" w:cs="黑体"/>
                <w:color w:val="auto"/>
                <w:sz w:val="24"/>
                <w:szCs w:val="24"/>
                <w:highlight w:val="none"/>
              </w:rPr>
              <w:t>扣</w:t>
            </w:r>
            <w:r>
              <w:rPr>
                <w:rFonts w:hint="eastAsia" w:ascii="黑体" w:hAnsi="黑体" w:eastAsia="黑体" w:cs="黑体"/>
                <w:color w:val="auto"/>
                <w:sz w:val="24"/>
                <w:szCs w:val="24"/>
                <w:highlight w:val="none"/>
                <w:lang w:eastAsia="zh-CN"/>
              </w:rPr>
              <w:t>）</w:t>
            </w:r>
            <w:r>
              <w:rPr>
                <w:rFonts w:hint="eastAsia" w:ascii="黑体" w:hAnsi="黑体" w:eastAsia="黑体" w:cs="黑体"/>
                <w:color w:val="auto"/>
                <w:sz w:val="24"/>
                <w:szCs w:val="24"/>
                <w:highlight w:val="none"/>
                <w:lang w:val="en-US" w:eastAsia="zh-CN"/>
              </w:rPr>
              <w:t>8</w:t>
            </w:r>
            <w:r>
              <w:rPr>
                <w:rFonts w:hint="eastAsia" w:ascii="黑体" w:hAnsi="黑体" w:eastAsia="黑体" w:cs="黑体"/>
                <w:color w:val="auto"/>
                <w:sz w:val="24"/>
                <w:szCs w:val="24"/>
                <w:highlight w:val="none"/>
              </w:rPr>
              <w:t>、</w:t>
            </w:r>
            <w:r>
              <w:rPr>
                <w:rFonts w:hint="eastAsia" w:ascii="黑体" w:hAnsi="黑体" w:eastAsia="黑体" w:cs="黑体"/>
                <w:color w:val="auto"/>
                <w:sz w:val="24"/>
                <w:szCs w:val="24"/>
                <w:highlight w:val="none"/>
                <w:lang w:val="en-US" w:eastAsia="zh-CN"/>
              </w:rPr>
              <w:t>6</w:t>
            </w:r>
            <w:r>
              <w:rPr>
                <w:rFonts w:hint="eastAsia" w:ascii="黑体" w:hAnsi="黑体" w:eastAsia="黑体" w:cs="黑体"/>
                <w:color w:val="auto"/>
                <w:sz w:val="24"/>
                <w:szCs w:val="24"/>
                <w:highlight w:val="none"/>
              </w:rPr>
              <w:t>、</w:t>
            </w:r>
            <w:r>
              <w:rPr>
                <w:rFonts w:hint="eastAsia" w:ascii="黑体" w:hAnsi="黑体" w:eastAsia="黑体" w:cs="黑体"/>
                <w:color w:val="auto"/>
                <w:sz w:val="24"/>
                <w:szCs w:val="24"/>
                <w:highlight w:val="none"/>
                <w:lang w:val="en-US" w:eastAsia="zh-CN"/>
              </w:rPr>
              <w:t>4</w:t>
            </w:r>
            <w:r>
              <w:rPr>
                <w:rFonts w:hint="eastAsia" w:ascii="黑体" w:hAnsi="黑体" w:eastAsia="黑体" w:cs="黑体"/>
                <w:color w:val="auto"/>
                <w:sz w:val="24"/>
                <w:szCs w:val="24"/>
                <w:highlight w:val="none"/>
              </w:rPr>
              <w:t>、</w:t>
            </w:r>
            <w:r>
              <w:rPr>
                <w:rFonts w:hint="eastAsia" w:ascii="黑体" w:hAnsi="黑体" w:eastAsia="黑体" w:cs="黑体"/>
                <w:color w:val="auto"/>
                <w:sz w:val="24"/>
                <w:szCs w:val="24"/>
                <w:highlight w:val="none"/>
                <w:lang w:val="en-US" w:eastAsia="zh-CN"/>
              </w:rPr>
              <w:t>2</w:t>
            </w:r>
            <w:r>
              <w:rPr>
                <w:rFonts w:hint="eastAsia" w:ascii="黑体" w:hAnsi="黑体" w:eastAsia="黑体" w:cs="黑体"/>
                <w:color w:val="auto"/>
                <w:sz w:val="24"/>
                <w:szCs w:val="24"/>
                <w:highlight w:val="none"/>
              </w:rPr>
              <w:t>分。</w:t>
            </w:r>
          </w:p>
        </w:tc>
      </w:tr>
      <w:tr w14:paraId="456134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1028" w:type="dxa"/>
            <w:vMerge w:val="continue"/>
            <w:vAlign w:val="center"/>
          </w:tcPr>
          <w:p w14:paraId="412F8E97">
            <w:pPr>
              <w:spacing w:line="360" w:lineRule="auto"/>
              <w:jc w:val="center"/>
              <w:outlineLvl w:val="9"/>
              <w:rPr>
                <w:rFonts w:hint="eastAsia" w:ascii="黑体" w:hAnsi="黑体" w:eastAsia="黑体" w:cs="黑体"/>
                <w:color w:val="auto"/>
                <w:sz w:val="24"/>
                <w:szCs w:val="24"/>
                <w:highlight w:val="none"/>
                <w:lang w:val="en-US" w:eastAsia="zh-CN"/>
              </w:rPr>
            </w:pPr>
          </w:p>
        </w:tc>
        <w:tc>
          <w:tcPr>
            <w:tcW w:w="1095" w:type="dxa"/>
            <w:vMerge w:val="continue"/>
            <w:vAlign w:val="center"/>
          </w:tcPr>
          <w:p w14:paraId="781AEA8C">
            <w:pPr>
              <w:spacing w:line="360" w:lineRule="auto"/>
              <w:jc w:val="center"/>
              <w:outlineLvl w:val="9"/>
              <w:rPr>
                <w:rFonts w:hint="eastAsia" w:ascii="黑体" w:hAnsi="黑体" w:eastAsia="黑体" w:cs="黑体"/>
                <w:color w:val="auto"/>
                <w:sz w:val="24"/>
                <w:szCs w:val="24"/>
                <w:highlight w:val="none"/>
                <w:lang w:val="en-US" w:eastAsia="zh-CN"/>
              </w:rPr>
            </w:pPr>
          </w:p>
        </w:tc>
        <w:tc>
          <w:tcPr>
            <w:tcW w:w="3856" w:type="dxa"/>
            <w:vAlign w:val="center"/>
          </w:tcPr>
          <w:p w14:paraId="6DFA1CB5">
            <w:pPr>
              <w:spacing w:line="360" w:lineRule="auto"/>
              <w:jc w:val="left"/>
              <w:outlineLvl w:val="9"/>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被上级领导和有关部门通报</w:t>
            </w:r>
            <w:r>
              <w:rPr>
                <w:rFonts w:hint="eastAsia" w:ascii="黑体" w:hAnsi="黑体" w:eastAsia="黑体" w:cs="黑体"/>
                <w:color w:val="auto"/>
                <w:sz w:val="24"/>
                <w:szCs w:val="24"/>
                <w:highlight w:val="none"/>
                <w:lang w:eastAsia="zh-CN"/>
              </w:rPr>
              <w:t>表扬（</w:t>
            </w:r>
            <w:r>
              <w:rPr>
                <w:rFonts w:hint="eastAsia" w:ascii="黑体" w:hAnsi="黑体" w:eastAsia="黑体" w:cs="黑体"/>
                <w:color w:val="auto"/>
                <w:sz w:val="24"/>
                <w:szCs w:val="24"/>
                <w:highlight w:val="none"/>
              </w:rPr>
              <w:t>批评</w:t>
            </w:r>
            <w:r>
              <w:rPr>
                <w:rFonts w:hint="eastAsia" w:ascii="黑体" w:hAnsi="黑体" w:eastAsia="黑体" w:cs="黑体"/>
                <w:color w:val="auto"/>
                <w:sz w:val="24"/>
                <w:szCs w:val="24"/>
                <w:highlight w:val="none"/>
                <w:lang w:eastAsia="zh-CN"/>
              </w:rPr>
              <w:t>）</w:t>
            </w:r>
            <w:r>
              <w:rPr>
                <w:rFonts w:hint="eastAsia" w:ascii="黑体" w:hAnsi="黑体" w:eastAsia="黑体" w:cs="黑体"/>
                <w:color w:val="auto"/>
                <w:sz w:val="24"/>
                <w:szCs w:val="24"/>
                <w:highlight w:val="none"/>
              </w:rPr>
              <w:t>。</w:t>
            </w:r>
          </w:p>
        </w:tc>
        <w:tc>
          <w:tcPr>
            <w:tcW w:w="3879" w:type="dxa"/>
            <w:vAlign w:val="center"/>
          </w:tcPr>
          <w:p w14:paraId="1F61FEE1">
            <w:pPr>
              <w:spacing w:line="360" w:lineRule="auto"/>
              <w:jc w:val="left"/>
              <w:outlineLvl w:val="9"/>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lang w:val="en-US" w:eastAsia="zh-CN"/>
              </w:rPr>
              <w:t>每</w:t>
            </w:r>
            <w:r>
              <w:rPr>
                <w:rFonts w:hint="eastAsia" w:ascii="黑体" w:hAnsi="黑体" w:eastAsia="黑体" w:cs="黑体"/>
                <w:color w:val="auto"/>
                <w:sz w:val="24"/>
                <w:szCs w:val="24"/>
                <w:highlight w:val="none"/>
              </w:rPr>
              <w:t>起</w:t>
            </w:r>
            <w:r>
              <w:rPr>
                <w:rFonts w:hint="eastAsia" w:ascii="黑体" w:hAnsi="黑体" w:eastAsia="黑体" w:cs="黑体"/>
                <w:color w:val="auto"/>
                <w:sz w:val="24"/>
                <w:szCs w:val="24"/>
                <w:highlight w:val="none"/>
                <w:lang w:eastAsia="zh-CN"/>
              </w:rPr>
              <w:t>加（</w:t>
            </w:r>
            <w:r>
              <w:rPr>
                <w:rFonts w:hint="eastAsia" w:ascii="黑体" w:hAnsi="黑体" w:eastAsia="黑体" w:cs="黑体"/>
                <w:color w:val="auto"/>
                <w:sz w:val="24"/>
                <w:szCs w:val="24"/>
                <w:highlight w:val="none"/>
              </w:rPr>
              <w:t>扣</w:t>
            </w:r>
            <w:r>
              <w:rPr>
                <w:rFonts w:hint="eastAsia" w:ascii="黑体" w:hAnsi="黑体" w:eastAsia="黑体" w:cs="黑体"/>
                <w:color w:val="auto"/>
                <w:sz w:val="24"/>
                <w:szCs w:val="24"/>
                <w:highlight w:val="none"/>
                <w:lang w:eastAsia="zh-CN"/>
              </w:rPr>
              <w:t>）</w:t>
            </w:r>
            <w:r>
              <w:rPr>
                <w:rFonts w:hint="eastAsia" w:ascii="黑体" w:hAnsi="黑体" w:eastAsia="黑体" w:cs="黑体"/>
                <w:color w:val="auto"/>
                <w:sz w:val="24"/>
                <w:szCs w:val="24"/>
                <w:highlight w:val="none"/>
              </w:rPr>
              <w:t>2分。</w:t>
            </w:r>
          </w:p>
        </w:tc>
      </w:tr>
    </w:tbl>
    <w:p w14:paraId="79F97158">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5"/>
        <w:textAlignment w:val="baseline"/>
        <w:outlineLvl w:val="9"/>
        <w:rPr>
          <w:rFonts w:hint="eastAsia" w:ascii="黑体" w:hAnsi="黑体" w:eastAsia="黑体" w:cs="黑体"/>
          <w:b/>
          <w:bCs/>
          <w:color w:val="auto"/>
          <w:spacing w:val="0"/>
          <w:sz w:val="24"/>
          <w:szCs w:val="24"/>
          <w:highlight w:val="none"/>
        </w:rPr>
      </w:pPr>
      <w:r>
        <w:rPr>
          <w:rFonts w:hint="eastAsia" w:ascii="黑体" w:hAnsi="黑体" w:eastAsia="黑体" w:cs="黑体"/>
          <w:b/>
          <w:bCs/>
          <w:color w:val="auto"/>
          <w:spacing w:val="0"/>
          <w:sz w:val="24"/>
          <w:szCs w:val="24"/>
          <w:highlight w:val="none"/>
        </w:rPr>
        <w:t>(本考核办法由月湖区城市管理局负责解释)</w:t>
      </w:r>
    </w:p>
    <w:p w14:paraId="7F09FACE"/>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E6150B8"/>
    <w:rsid w:val="5E6150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semiHidden/>
    <w:qFormat/>
    <w:uiPriority w:val="0"/>
    <w:rPr>
      <w:rFonts w:ascii="仿宋" w:hAnsi="仿宋" w:eastAsia="仿宋" w:cs="仿宋"/>
      <w:sz w:val="30"/>
      <w:szCs w:val="30"/>
    </w:rPr>
  </w:style>
  <w:style w:type="paragraph" w:styleId="3">
    <w:name w:val="Body Text First Indent"/>
    <w:basedOn w:val="2"/>
    <w:next w:val="1"/>
    <w:qFormat/>
    <w:uiPriority w:val="0"/>
    <w:pPr>
      <w:ind w:firstLine="420" w:firstLineChars="100"/>
    </w:pPr>
  </w:style>
  <w:style w:type="paragraph" w:styleId="4">
    <w:name w:val="footnote text"/>
    <w:basedOn w:val="1"/>
    <w:qFormat/>
    <w:uiPriority w:val="0"/>
    <w:pPr>
      <w:widowControl/>
      <w:snapToGrid w:val="0"/>
      <w:jc w:val="left"/>
    </w:pPr>
    <w:rPr>
      <w:kern w:val="0"/>
      <w:sz w:val="18"/>
      <w:szCs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8">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2026-06-18T09:08:00Z</dcterms:created>
  <dc:creator>Administrator</dc:creator>
  <cp:lastModifiedBy>Administrator</cp:lastModifiedBy>
  <dcterms:modified xsi:type="dcterms:W3CDTF">2026-06-18T09:10:03Z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79027483D2604A5CBFA4AE219821E77D_11</vt:lpwstr>
  </property>
  <property fmtid="{D5CDD505-2E9C-101B-9397-08002B2CF9AE}" pid="4" name="KSOTemplateDocerSaveRecord">
    <vt:lpwstr>eyJoZGlkIjoiZDUzMmQ3MDljMzY2MThhOTlhMDdkZGQ4YTNmMTFlZDUiLCJ1c2VySWQiOiIyOTI1ODA3NTkifQ==</vt:lpwstr>
  </property>
</Properties>
</file>