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CC2AE2">
      <w:pPr>
        <w:widowControl w:val="0"/>
        <w:kinsoku/>
        <w:overflowPunct w:val="0"/>
        <w:spacing w:before="63" w:line="224" w:lineRule="auto"/>
        <w:ind w:left="5072" w:hanging="5072" w:hangingChars="1599"/>
        <w:jc w:val="center"/>
        <w:outlineLvl w:val="0"/>
        <w:rPr>
          <w:rFonts w:hint="eastAsia" w:ascii="宋体" w:hAnsi="宋体" w:eastAsia="宋体" w:cs="宋体"/>
          <w:b/>
          <w:bCs/>
          <w:color w:val="auto"/>
          <w:spacing w:val="8"/>
          <w:sz w:val="30"/>
          <w:szCs w:val="30"/>
          <w:lang w:eastAsia="zh-CN"/>
        </w:rPr>
      </w:pPr>
      <w:bookmarkStart w:id="0" w:name="_Toc229562770"/>
      <w:r>
        <w:rPr>
          <w:rFonts w:hint="eastAsia" w:ascii="宋体" w:hAnsi="宋体" w:eastAsia="宋体" w:cs="宋体"/>
          <w:b/>
          <w:bCs/>
          <w:color w:val="auto"/>
          <w:spacing w:val="8"/>
          <w:sz w:val="30"/>
          <w:szCs w:val="30"/>
          <w:lang w:eastAsia="zh-CN"/>
        </w:rPr>
        <w:t>第五章 采购需求</w:t>
      </w:r>
      <w:bookmarkEnd w:id="0"/>
    </w:p>
    <w:p w14:paraId="315F0886">
      <w:pPr>
        <w:widowControl w:val="0"/>
        <w:kinsoku/>
        <w:overflowPunct w:val="0"/>
        <w:spacing w:line="309" w:lineRule="auto"/>
        <w:jc w:val="center"/>
        <w:rPr>
          <w:color w:val="auto"/>
          <w:lang w:eastAsia="zh-CN"/>
        </w:rPr>
      </w:pPr>
    </w:p>
    <w:p w14:paraId="45FF648C">
      <w:pPr>
        <w:widowControl w:val="0"/>
        <w:kinsoku/>
        <w:overflowPunct w:val="0"/>
        <w:spacing w:before="78" w:line="220" w:lineRule="auto"/>
        <w:jc w:val="both"/>
        <w:outlineLvl w:val="1"/>
        <w:rPr>
          <w:rFonts w:ascii="宋体" w:hAnsi="宋体" w:eastAsia="宋体" w:cs="宋体"/>
          <w:color w:val="auto"/>
          <w:sz w:val="24"/>
          <w:szCs w:val="24"/>
          <w:lang w:eastAsia="zh-CN"/>
        </w:rPr>
      </w:pPr>
      <w:bookmarkStart w:id="1" w:name="_Toc229562771"/>
      <w:r>
        <w:rPr>
          <w:rFonts w:ascii="宋体" w:hAnsi="宋体" w:eastAsia="宋体" w:cs="宋体"/>
          <w:color w:val="auto"/>
          <w:spacing w:val="-2"/>
          <w:sz w:val="24"/>
          <w:szCs w:val="24"/>
          <w:lang w:eastAsia="zh-CN"/>
        </w:rPr>
        <w:t>一、</w:t>
      </w:r>
      <w:r>
        <w:rPr>
          <w:rFonts w:hint="eastAsia" w:ascii="宋体" w:hAnsi="宋体" w:eastAsia="宋体" w:cs="宋体"/>
          <w:color w:val="auto"/>
          <w:spacing w:val="-2"/>
          <w:sz w:val="24"/>
          <w:szCs w:val="24"/>
          <w:lang w:eastAsia="zh-CN"/>
        </w:rPr>
        <w:t>采购</w:t>
      </w:r>
      <w:r>
        <w:rPr>
          <w:rFonts w:ascii="宋体" w:hAnsi="宋体" w:eastAsia="宋体" w:cs="宋体"/>
          <w:color w:val="auto"/>
          <w:spacing w:val="-2"/>
          <w:sz w:val="24"/>
          <w:szCs w:val="24"/>
          <w:lang w:eastAsia="zh-CN"/>
        </w:rPr>
        <w:t>需求表</w:t>
      </w:r>
      <w:bookmarkEnd w:id="1"/>
    </w:p>
    <w:p w14:paraId="003A58D6">
      <w:pPr>
        <w:widowControl w:val="0"/>
        <w:kinsoku/>
        <w:overflowPunct w:val="0"/>
        <w:spacing w:before="64"/>
        <w:rPr>
          <w:color w:val="auto"/>
          <w:lang w:eastAsia="zh-CN"/>
        </w:rPr>
      </w:pPr>
    </w:p>
    <w:tbl>
      <w:tblPr>
        <w:tblStyle w:val="5"/>
        <w:tblW w:w="0" w:type="auto"/>
        <w:tblInd w:w="-31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5C783B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noWrap w:val="0"/>
            <w:vAlign w:val="top"/>
          </w:tcPr>
          <w:p w14:paraId="00BBA3D3">
            <w:pPr>
              <w:widowControl w:val="0"/>
              <w:kinsoku/>
              <w:overflowPunct w:val="0"/>
              <w:spacing w:before="183" w:line="223" w:lineRule="auto"/>
              <w:ind w:left="1091"/>
              <w:rPr>
                <w:rFonts w:ascii="宋体" w:hAnsi="宋体" w:eastAsia="宋体" w:cs="宋体"/>
                <w:color w:val="auto"/>
                <w:sz w:val="24"/>
                <w:szCs w:val="24"/>
              </w:rPr>
            </w:pPr>
            <w:bookmarkStart w:id="4" w:name="_GoBack"/>
            <w:r>
              <w:rPr>
                <w:color w:val="auto"/>
              </w:rPr>
              <w:drawing>
                <wp:anchor distT="0" distB="0" distL="114300" distR="114300" simplePos="0" relativeHeight="251659264" behindDoc="1" locked="0" layoutInCell="1" allowOverlap="1">
                  <wp:simplePos x="0" y="0"/>
                  <wp:positionH relativeFrom="column">
                    <wp:posOffset>6985</wp:posOffset>
                  </wp:positionH>
                  <wp:positionV relativeFrom="paragraph">
                    <wp:posOffset>0</wp:posOffset>
                  </wp:positionV>
                  <wp:extent cx="1804670" cy="1485265"/>
                  <wp:effectExtent l="0" t="0" r="8890" b="8255"/>
                  <wp:wrapNone/>
                  <wp:docPr id="2" name="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 6"/>
                          <pic:cNvPicPr>
                            <a:picLocks noChangeAspect="1"/>
                          </pic:cNvPicPr>
                        </pic:nvPicPr>
                        <pic:blipFill>
                          <a:blip r:embed="rId7"/>
                          <a:stretch>
                            <a:fillRect/>
                          </a:stretch>
                        </pic:blipFill>
                        <pic:spPr>
                          <a:xfrm>
                            <a:off x="0" y="0"/>
                            <a:ext cx="1804670" cy="1485265"/>
                          </a:xfrm>
                          <a:prstGeom prst="rect">
                            <a:avLst/>
                          </a:prstGeom>
                          <a:noFill/>
                          <a:ln>
                            <a:noFill/>
                          </a:ln>
                        </pic:spPr>
                      </pic:pic>
                    </a:graphicData>
                  </a:graphic>
                </wp:anchor>
              </w:drawing>
            </w:r>
            <w:bookmarkEnd w:id="4"/>
            <w:r>
              <w:rPr>
                <w:rFonts w:ascii="宋体" w:hAnsi="宋体" w:eastAsia="宋体" w:cs="宋体"/>
                <w:color w:val="auto"/>
                <w:sz w:val="24"/>
                <w:szCs w:val="24"/>
              </w:rPr>
              <w:t>名</w:t>
            </w:r>
          </w:p>
          <w:p w14:paraId="395BBCD2">
            <w:pPr>
              <w:pStyle w:val="7"/>
              <w:widowControl w:val="0"/>
              <w:kinsoku/>
              <w:overflowPunct w:val="0"/>
              <w:spacing w:line="245" w:lineRule="auto"/>
              <w:rPr>
                <w:color w:val="auto"/>
              </w:rPr>
            </w:pPr>
          </w:p>
          <w:p w14:paraId="12CA5D36">
            <w:pPr>
              <w:pStyle w:val="7"/>
              <w:widowControl w:val="0"/>
              <w:kinsoku/>
              <w:overflowPunct w:val="0"/>
              <w:spacing w:line="246" w:lineRule="auto"/>
              <w:rPr>
                <w:color w:val="auto"/>
              </w:rPr>
            </w:pPr>
          </w:p>
          <w:p w14:paraId="530D987B">
            <w:pPr>
              <w:widowControl w:val="0"/>
              <w:kinsoku/>
              <w:overflowPunct w:val="0"/>
              <w:spacing w:before="78" w:line="219" w:lineRule="auto"/>
              <w:ind w:left="481"/>
              <w:rPr>
                <w:rFonts w:ascii="宋体" w:hAnsi="宋体" w:eastAsia="宋体" w:cs="宋体"/>
                <w:color w:val="auto"/>
                <w:sz w:val="24"/>
                <w:szCs w:val="24"/>
              </w:rPr>
            </w:pPr>
            <w:r>
              <w:rPr>
                <w:rFonts w:ascii="宋体" w:hAnsi="宋体" w:eastAsia="宋体" w:cs="宋体"/>
                <w:color w:val="auto"/>
                <w:sz w:val="24"/>
                <w:szCs w:val="24"/>
              </w:rPr>
              <w:t>内</w:t>
            </w:r>
          </w:p>
          <w:p w14:paraId="6CFBFFB3">
            <w:pPr>
              <w:pStyle w:val="7"/>
              <w:widowControl w:val="0"/>
              <w:kinsoku/>
              <w:overflowPunct w:val="0"/>
              <w:spacing w:line="338" w:lineRule="auto"/>
              <w:rPr>
                <w:color w:val="auto"/>
              </w:rPr>
            </w:pPr>
          </w:p>
          <w:p w14:paraId="55805282">
            <w:pPr>
              <w:widowControl w:val="0"/>
              <w:kinsoku/>
              <w:overflowPunct w:val="0"/>
              <w:spacing w:before="78" w:line="220" w:lineRule="auto"/>
              <w:ind w:left="1311"/>
              <w:rPr>
                <w:rFonts w:ascii="宋体" w:hAnsi="宋体" w:eastAsia="宋体" w:cs="宋体"/>
                <w:color w:val="auto"/>
                <w:sz w:val="24"/>
                <w:szCs w:val="24"/>
              </w:rPr>
            </w:pPr>
            <w:r>
              <w:rPr>
                <w:rFonts w:ascii="宋体" w:hAnsi="宋体" w:eastAsia="宋体" w:cs="宋体"/>
                <w:color w:val="auto"/>
                <w:sz w:val="24"/>
                <w:szCs w:val="24"/>
              </w:rPr>
              <w:t>容</w:t>
            </w:r>
          </w:p>
        </w:tc>
        <w:tc>
          <w:tcPr>
            <w:tcW w:w="817" w:type="dxa"/>
            <w:tcBorders>
              <w:left w:val="nil"/>
            </w:tcBorders>
            <w:noWrap w:val="0"/>
            <w:vAlign w:val="top"/>
          </w:tcPr>
          <w:p w14:paraId="7F886C99">
            <w:pPr>
              <w:pStyle w:val="7"/>
              <w:widowControl w:val="0"/>
              <w:kinsoku/>
              <w:overflowPunct w:val="0"/>
              <w:spacing w:line="263" w:lineRule="auto"/>
              <w:rPr>
                <w:color w:val="auto"/>
              </w:rPr>
            </w:pPr>
          </w:p>
          <w:p w14:paraId="0C0263D2">
            <w:pPr>
              <w:pStyle w:val="7"/>
              <w:widowControl w:val="0"/>
              <w:kinsoku/>
              <w:overflowPunct w:val="0"/>
              <w:spacing w:line="263" w:lineRule="auto"/>
              <w:rPr>
                <w:color w:val="auto"/>
              </w:rPr>
            </w:pPr>
          </w:p>
          <w:p w14:paraId="3AD264BC">
            <w:pPr>
              <w:pStyle w:val="7"/>
              <w:widowControl w:val="0"/>
              <w:kinsoku/>
              <w:overflowPunct w:val="0"/>
              <w:spacing w:line="264" w:lineRule="auto"/>
              <w:rPr>
                <w:color w:val="auto"/>
              </w:rPr>
            </w:pPr>
          </w:p>
          <w:p w14:paraId="718EBB33">
            <w:pPr>
              <w:widowControl w:val="0"/>
              <w:kinsoku/>
              <w:overflowPunct w:val="0"/>
              <w:spacing w:before="78" w:line="221" w:lineRule="auto"/>
              <w:ind w:left="192"/>
              <w:rPr>
                <w:rFonts w:ascii="宋体" w:hAnsi="宋体" w:eastAsia="宋体" w:cs="宋体"/>
                <w:color w:val="auto"/>
                <w:sz w:val="24"/>
                <w:szCs w:val="24"/>
              </w:rPr>
            </w:pPr>
            <w:r>
              <w:rPr>
                <w:rFonts w:ascii="宋体" w:hAnsi="宋体" w:eastAsia="宋体" w:cs="宋体"/>
                <w:color w:val="auto"/>
                <w:sz w:val="24"/>
                <w:szCs w:val="24"/>
              </w:rPr>
              <w:t>称</w:t>
            </w:r>
          </w:p>
        </w:tc>
        <w:tc>
          <w:tcPr>
            <w:tcW w:w="6150" w:type="dxa"/>
            <w:noWrap w:val="0"/>
            <w:vAlign w:val="center"/>
          </w:tcPr>
          <w:p w14:paraId="647C2CDD">
            <w:pPr>
              <w:widowControl w:val="0"/>
              <w:kinsoku/>
              <w:overflowPunct w:val="0"/>
              <w:spacing w:line="480" w:lineRule="exact"/>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检验样本外送检测服务采购项目</w:t>
            </w:r>
          </w:p>
        </w:tc>
      </w:tr>
      <w:tr w14:paraId="5BB218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noWrap w:val="0"/>
            <w:vAlign w:val="top"/>
          </w:tcPr>
          <w:p w14:paraId="1DC61790">
            <w:pPr>
              <w:widowControl w:val="0"/>
              <w:kinsoku/>
              <w:overflowPunct w:val="0"/>
              <w:spacing w:before="253" w:line="219" w:lineRule="auto"/>
              <w:ind w:left="1188"/>
              <w:rPr>
                <w:rFonts w:ascii="宋体" w:hAnsi="宋体" w:eastAsia="宋体" w:cs="宋体"/>
                <w:color w:val="auto"/>
                <w:sz w:val="24"/>
                <w:szCs w:val="24"/>
              </w:rPr>
            </w:pPr>
            <w:r>
              <w:rPr>
                <w:rFonts w:ascii="宋体" w:hAnsi="宋体" w:eastAsia="宋体" w:cs="宋体"/>
                <w:color w:val="auto"/>
                <w:spacing w:val="-6"/>
                <w:sz w:val="24"/>
                <w:szCs w:val="24"/>
              </w:rPr>
              <w:t>数量</w:t>
            </w:r>
          </w:p>
        </w:tc>
        <w:tc>
          <w:tcPr>
            <w:tcW w:w="6150" w:type="dxa"/>
            <w:noWrap w:val="0"/>
            <w:vAlign w:val="center"/>
          </w:tcPr>
          <w:p w14:paraId="376CE8CC">
            <w:pPr>
              <w:widowControl w:val="0"/>
              <w:kinsoku/>
              <w:overflowPunct w:val="0"/>
              <w:spacing w:line="480" w:lineRule="exact"/>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1项</w:t>
            </w:r>
          </w:p>
        </w:tc>
      </w:tr>
      <w:tr w14:paraId="5C2821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noWrap w:val="0"/>
            <w:vAlign w:val="top"/>
          </w:tcPr>
          <w:p w14:paraId="124EC69A">
            <w:pPr>
              <w:widowControl w:val="0"/>
              <w:kinsoku/>
              <w:overflowPunct w:val="0"/>
              <w:spacing w:before="253" w:line="219" w:lineRule="auto"/>
              <w:ind w:left="1071"/>
              <w:rPr>
                <w:rFonts w:ascii="宋体" w:hAnsi="宋体" w:eastAsia="宋体" w:cs="宋体"/>
                <w:color w:val="auto"/>
                <w:sz w:val="24"/>
                <w:szCs w:val="24"/>
              </w:rPr>
            </w:pPr>
            <w:r>
              <w:rPr>
                <w:rFonts w:hint="eastAsia" w:ascii="宋体" w:hAnsi="宋体" w:eastAsia="宋体" w:cs="宋体"/>
                <w:color w:val="auto"/>
                <w:spacing w:val="-5"/>
                <w:sz w:val="24"/>
                <w:szCs w:val="24"/>
                <w:lang w:eastAsia="zh-CN"/>
              </w:rPr>
              <w:t>服务</w:t>
            </w:r>
            <w:r>
              <w:rPr>
                <w:rFonts w:ascii="宋体" w:hAnsi="宋体" w:eastAsia="宋体" w:cs="宋体"/>
                <w:color w:val="auto"/>
                <w:spacing w:val="-5"/>
                <w:sz w:val="24"/>
                <w:szCs w:val="24"/>
              </w:rPr>
              <w:t>期</w:t>
            </w:r>
          </w:p>
        </w:tc>
        <w:tc>
          <w:tcPr>
            <w:tcW w:w="6150" w:type="dxa"/>
            <w:noWrap w:val="0"/>
            <w:vAlign w:val="center"/>
          </w:tcPr>
          <w:p w14:paraId="5CB75836">
            <w:pPr>
              <w:widowControl w:val="0"/>
              <w:kinsoku/>
              <w:overflowPunct w:val="0"/>
              <w:spacing w:line="480" w:lineRule="exact"/>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自签订合同之日起 2 年止或者合同期限内累计支付金额达到合同项目总金额，则合同提前终止，合同到期后，若新采购项目未完成的情况下，</w:t>
            </w:r>
            <w:r>
              <w:rPr>
                <w:rFonts w:hint="eastAsia" w:ascii="宋体" w:hAnsi="宋体" w:eastAsia="宋体" w:cs="宋体"/>
                <w:color w:val="auto"/>
                <w:sz w:val="24"/>
                <w:szCs w:val="24"/>
                <w:lang w:eastAsia="zh-CN"/>
              </w:rPr>
              <w:t>双方在法规允许范围内协商签订补充协议</w:t>
            </w:r>
            <w:r>
              <w:rPr>
                <w:rFonts w:hint="eastAsia" w:ascii="宋体" w:hAnsi="宋体" w:eastAsia="宋体" w:cs="宋体"/>
                <w:color w:val="auto"/>
                <w:spacing w:val="-4"/>
                <w:sz w:val="24"/>
                <w:szCs w:val="24"/>
                <w:lang w:eastAsia="zh-CN"/>
              </w:rPr>
              <w:t>。</w:t>
            </w:r>
          </w:p>
        </w:tc>
      </w:tr>
      <w:tr w14:paraId="5261C2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noWrap w:val="0"/>
            <w:vAlign w:val="top"/>
          </w:tcPr>
          <w:p w14:paraId="3829D7DF">
            <w:pPr>
              <w:widowControl w:val="0"/>
              <w:kinsoku/>
              <w:overflowPunct w:val="0"/>
              <w:spacing w:before="256" w:line="219" w:lineRule="auto"/>
              <w:ind w:left="951"/>
              <w:rPr>
                <w:rFonts w:ascii="宋体" w:hAnsi="宋体" w:eastAsia="宋体" w:cs="宋体"/>
                <w:color w:val="auto"/>
                <w:sz w:val="24"/>
                <w:szCs w:val="24"/>
              </w:rPr>
            </w:pPr>
            <w:r>
              <w:rPr>
                <w:rFonts w:hint="eastAsia" w:ascii="宋体" w:hAnsi="宋体" w:eastAsia="宋体" w:cs="宋体"/>
                <w:color w:val="auto"/>
                <w:spacing w:val="-4"/>
                <w:sz w:val="24"/>
                <w:szCs w:val="24"/>
                <w:lang w:eastAsia="zh-CN"/>
              </w:rPr>
              <w:t>服务</w:t>
            </w:r>
            <w:r>
              <w:rPr>
                <w:rFonts w:ascii="宋体" w:hAnsi="宋体" w:eastAsia="宋体" w:cs="宋体"/>
                <w:color w:val="auto"/>
                <w:spacing w:val="-4"/>
                <w:sz w:val="24"/>
                <w:szCs w:val="24"/>
              </w:rPr>
              <w:t>地点</w:t>
            </w:r>
          </w:p>
        </w:tc>
        <w:tc>
          <w:tcPr>
            <w:tcW w:w="6150" w:type="dxa"/>
            <w:noWrap w:val="0"/>
            <w:vAlign w:val="center"/>
          </w:tcPr>
          <w:p w14:paraId="2E94B616">
            <w:pPr>
              <w:widowControl w:val="0"/>
              <w:kinsoku/>
              <w:overflowPunct w:val="0"/>
              <w:spacing w:line="480" w:lineRule="exact"/>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采购人指定地点</w:t>
            </w:r>
          </w:p>
        </w:tc>
      </w:tr>
      <w:tr w14:paraId="3E0794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noWrap w:val="0"/>
            <w:vAlign w:val="top"/>
          </w:tcPr>
          <w:p w14:paraId="1326CE82">
            <w:pPr>
              <w:widowControl w:val="0"/>
              <w:kinsoku/>
              <w:overflowPunct w:val="0"/>
              <w:spacing w:before="256" w:line="221" w:lineRule="auto"/>
              <w:ind w:left="1189"/>
              <w:rPr>
                <w:rFonts w:ascii="宋体" w:hAnsi="宋体" w:eastAsia="宋体" w:cs="宋体"/>
                <w:color w:val="auto"/>
                <w:sz w:val="24"/>
                <w:szCs w:val="24"/>
              </w:rPr>
            </w:pPr>
            <w:r>
              <w:rPr>
                <w:rFonts w:ascii="宋体" w:hAnsi="宋体" w:eastAsia="宋体" w:cs="宋体"/>
                <w:color w:val="auto"/>
                <w:spacing w:val="-7"/>
                <w:sz w:val="24"/>
                <w:szCs w:val="24"/>
              </w:rPr>
              <w:t>备注</w:t>
            </w:r>
          </w:p>
        </w:tc>
        <w:tc>
          <w:tcPr>
            <w:tcW w:w="6150" w:type="dxa"/>
            <w:noWrap w:val="0"/>
            <w:vAlign w:val="top"/>
          </w:tcPr>
          <w:p w14:paraId="6EAA283B">
            <w:pPr>
              <w:pStyle w:val="7"/>
              <w:widowControl w:val="0"/>
              <w:kinsoku/>
              <w:overflowPunct w:val="0"/>
              <w:rPr>
                <w:color w:val="auto"/>
              </w:rPr>
            </w:pPr>
          </w:p>
        </w:tc>
      </w:tr>
    </w:tbl>
    <w:p w14:paraId="6C337C53">
      <w:pPr>
        <w:widowControl w:val="0"/>
        <w:kinsoku/>
        <w:overflowPunct w:val="0"/>
        <w:rPr>
          <w:color w:val="auto"/>
        </w:rPr>
      </w:pPr>
    </w:p>
    <w:p w14:paraId="7EF055AF">
      <w:pPr>
        <w:widowControl w:val="0"/>
        <w:kinsoku/>
        <w:overflowPunct w:val="0"/>
        <w:rPr>
          <w:color w:val="auto"/>
        </w:rPr>
        <w:sectPr>
          <w:footerReference r:id="rId3" w:type="default"/>
          <w:pgSz w:w="11906" w:h="16839"/>
          <w:pgMar w:top="1232" w:right="1786" w:bottom="1156" w:left="1786" w:header="0" w:footer="994" w:gutter="0"/>
          <w:cols w:space="720" w:num="1"/>
        </w:sectPr>
      </w:pPr>
    </w:p>
    <w:p w14:paraId="66E6A5B9">
      <w:pPr>
        <w:widowControl w:val="0"/>
        <w:kinsoku/>
        <w:overflowPunct w:val="0"/>
        <w:spacing w:before="78" w:line="360" w:lineRule="auto"/>
        <w:jc w:val="both"/>
        <w:outlineLvl w:val="1"/>
        <w:rPr>
          <w:rFonts w:hint="eastAsia" w:ascii="宋体" w:hAnsi="宋体" w:eastAsia="宋体" w:cs="宋体"/>
          <w:color w:val="auto"/>
          <w:spacing w:val="-2"/>
          <w:sz w:val="24"/>
          <w:szCs w:val="24"/>
          <w:lang w:eastAsia="zh-CN"/>
        </w:rPr>
      </w:pPr>
      <w:bookmarkStart w:id="2" w:name="bookmark81"/>
      <w:bookmarkEnd w:id="2"/>
      <w:bookmarkStart w:id="3" w:name="_Toc229562772"/>
      <w:r>
        <w:rPr>
          <w:rFonts w:hint="eastAsia" w:ascii="宋体" w:hAnsi="宋体" w:eastAsia="宋体" w:cs="宋体"/>
          <w:color w:val="auto"/>
          <w:spacing w:val="-2"/>
          <w:sz w:val="24"/>
          <w:szCs w:val="24"/>
          <w:lang w:eastAsia="zh-CN"/>
        </w:rPr>
        <w:t>二、服务要求</w:t>
      </w:r>
      <w:bookmarkEnd w:id="3"/>
    </w:p>
    <w:p w14:paraId="41101482">
      <w:pPr>
        <w:pStyle w:val="2"/>
        <w:widowControl w:val="0"/>
        <w:kinsoku/>
        <w:autoSpaceDE/>
        <w:autoSpaceDN/>
        <w:adjustRightInd/>
        <w:snapToGrid/>
        <w:spacing w:line="360" w:lineRule="auto"/>
        <w:ind w:firstLine="480" w:firstLineChars="200"/>
        <w:textAlignment w:val="auto"/>
        <w:rPr>
          <w:rFonts w:hint="eastAsia" w:ascii="宋体" w:hAnsi="宋体" w:eastAsia="宋体" w:cs="黑体"/>
          <w:color w:val="auto"/>
          <w:sz w:val="24"/>
          <w:szCs w:val="24"/>
          <w:lang w:eastAsia="zh-CN"/>
        </w:rPr>
      </w:pPr>
      <w:r>
        <w:rPr>
          <w:rFonts w:hint="eastAsia" w:ascii="宋体" w:hAnsi="宋体" w:eastAsia="宋体" w:cs="黑体"/>
          <w:color w:val="auto"/>
          <w:sz w:val="24"/>
          <w:szCs w:val="24"/>
          <w:lang w:eastAsia="zh-CN"/>
        </w:rPr>
        <w:t>（一）响应供应商须提供完善的服务。</w:t>
      </w:r>
    </w:p>
    <w:p w14:paraId="0472542C">
      <w:pPr>
        <w:pStyle w:val="2"/>
        <w:widowControl w:val="0"/>
        <w:kinsoku/>
        <w:autoSpaceDE/>
        <w:autoSpaceDN/>
        <w:adjustRightInd/>
        <w:snapToGrid/>
        <w:spacing w:line="360" w:lineRule="auto"/>
        <w:ind w:firstLine="480" w:firstLineChars="200"/>
        <w:textAlignment w:val="auto"/>
        <w:rPr>
          <w:rFonts w:hint="eastAsia" w:ascii="宋体" w:hAnsi="宋体" w:eastAsia="宋体" w:cs="黑体"/>
          <w:color w:val="auto"/>
          <w:sz w:val="24"/>
          <w:szCs w:val="24"/>
          <w:highlight w:val="none"/>
          <w:lang w:eastAsia="zh-CN"/>
        </w:rPr>
      </w:pPr>
      <w:r>
        <w:rPr>
          <w:rFonts w:hint="eastAsia" w:ascii="宋体" w:hAnsi="宋体" w:eastAsia="宋体" w:cs="黑体"/>
          <w:color w:val="auto"/>
          <w:sz w:val="24"/>
          <w:szCs w:val="24"/>
          <w:lang w:eastAsia="zh-CN"/>
        </w:rPr>
        <w:t>（二）</w:t>
      </w:r>
      <w:r>
        <w:rPr>
          <w:rFonts w:hint="eastAsia" w:ascii="宋体" w:hAnsi="宋体" w:eastAsia="宋体" w:cs="黑体"/>
          <w:color w:val="auto"/>
          <w:sz w:val="24"/>
          <w:szCs w:val="24"/>
          <w:highlight w:val="none"/>
          <w:lang w:eastAsia="zh-CN"/>
        </w:rPr>
        <w:t>标的如为某单位的专利或特有产品，请响应供应商在答疑期内告知采购代理机构。</w:t>
      </w:r>
    </w:p>
    <w:p w14:paraId="06445668">
      <w:pPr>
        <w:pStyle w:val="2"/>
        <w:widowControl w:val="0"/>
        <w:kinsoku/>
        <w:autoSpaceDE/>
        <w:autoSpaceDN/>
        <w:adjustRightInd/>
        <w:snapToGrid/>
        <w:spacing w:line="360" w:lineRule="auto"/>
        <w:ind w:firstLine="480" w:firstLineChars="200"/>
        <w:textAlignment w:val="auto"/>
        <w:rPr>
          <w:rFonts w:hint="eastAsia" w:ascii="宋体" w:hAnsi="宋体" w:eastAsia="宋体" w:cs="黑体"/>
          <w:color w:val="auto"/>
          <w:sz w:val="24"/>
          <w:szCs w:val="24"/>
          <w:lang w:eastAsia="zh-CN"/>
        </w:rPr>
      </w:pPr>
      <w:r>
        <w:rPr>
          <w:rFonts w:hint="eastAsia" w:ascii="宋体" w:hAnsi="宋体" w:eastAsia="宋体" w:cs="黑体"/>
          <w:color w:val="auto"/>
          <w:sz w:val="24"/>
          <w:szCs w:val="24"/>
          <w:lang w:eastAsia="zh-CN"/>
        </w:rPr>
        <w:t>（三）所有标的的知识产权问题，由各响应供应商自行负责。</w:t>
      </w:r>
    </w:p>
    <w:p w14:paraId="48B118D7">
      <w:pPr>
        <w:spacing w:line="360" w:lineRule="auto"/>
        <w:ind w:firstLine="480" w:firstLineChars="200"/>
        <w:rPr>
          <w:rFonts w:hint="eastAsia" w:ascii="宋体" w:hAnsi="宋体" w:eastAsia="宋体" w:cs="黑体"/>
          <w:color w:val="auto"/>
          <w:sz w:val="24"/>
          <w:szCs w:val="24"/>
          <w:lang w:eastAsia="zh-CN"/>
        </w:rPr>
      </w:pPr>
      <w:r>
        <w:rPr>
          <w:rFonts w:hint="eastAsia" w:ascii="宋体" w:hAnsi="宋体" w:eastAsia="宋体" w:cs="黑体"/>
          <w:color w:val="auto"/>
          <w:sz w:val="24"/>
          <w:szCs w:val="24"/>
          <w:lang w:eastAsia="zh-CN"/>
        </w:rPr>
        <w:t>（四）本磋商文件提出的是最低限度的要求，响应供应商的方案应达到或优于本磋商文件要求，并符合国家有关标准和规范要求。</w:t>
      </w:r>
      <w:r>
        <w:rPr>
          <w:rFonts w:hint="eastAsia" w:ascii="宋体" w:hAnsi="宋体" w:eastAsia="宋体" w:cs="宋体"/>
          <w:b/>
          <w:bCs/>
          <w:color w:val="auto"/>
          <w:sz w:val="24"/>
          <w:szCs w:val="24"/>
          <w:lang w:eastAsia="zh-CN"/>
        </w:rPr>
        <w:t>采购项目需求中“★”标记属于不允许负偏离的实质性条款。响应文件未完全满足采购文件中以醒目的方式（“★”标记）标明的实质性条款或指标，视为无效响应。</w:t>
      </w:r>
    </w:p>
    <w:p w14:paraId="28EFCF44">
      <w:pPr>
        <w:pStyle w:val="2"/>
        <w:widowControl w:val="0"/>
        <w:kinsoku/>
        <w:autoSpaceDE/>
        <w:autoSpaceDN/>
        <w:adjustRightInd/>
        <w:snapToGrid/>
        <w:spacing w:line="360" w:lineRule="auto"/>
        <w:ind w:firstLine="482" w:firstLineChars="200"/>
        <w:textAlignment w:val="auto"/>
        <w:rPr>
          <w:rFonts w:ascii="宋体" w:hAnsi="宋体" w:eastAsia="宋体" w:cs="黑体"/>
          <w:b/>
          <w:bCs/>
          <w:color w:val="auto"/>
          <w:sz w:val="24"/>
          <w:szCs w:val="24"/>
          <w:lang w:eastAsia="zh-CN"/>
        </w:rPr>
      </w:pPr>
      <w:r>
        <w:rPr>
          <w:rFonts w:hint="eastAsia" w:ascii="宋体" w:hAnsi="宋体" w:eastAsia="宋体" w:cs="宋体"/>
          <w:b/>
          <w:bCs/>
          <w:color w:val="auto"/>
          <w:sz w:val="24"/>
          <w:szCs w:val="24"/>
          <w:lang w:eastAsia="zh-CN"/>
        </w:rPr>
        <w:t>★</w:t>
      </w:r>
      <w:r>
        <w:rPr>
          <w:rFonts w:hint="eastAsia" w:ascii="宋体" w:hAnsi="宋体" w:eastAsia="宋体" w:cs="黑体"/>
          <w:b/>
          <w:bCs/>
          <w:color w:val="auto"/>
          <w:sz w:val="24"/>
          <w:szCs w:val="24"/>
          <w:lang w:eastAsia="zh-CN"/>
        </w:rPr>
        <w:t xml:space="preserve">（五）主要服务内容和要求：  </w:t>
      </w:r>
    </w:p>
    <w:p w14:paraId="3BCA1B71">
      <w:pPr>
        <w:spacing w:line="560" w:lineRule="exact"/>
        <w:ind w:firstLine="460" w:firstLineChars="200"/>
        <w:rPr>
          <w:rFonts w:hint="eastAsia" w:ascii="宋体" w:hAnsi="宋体" w:eastAsia="宋体" w:cs="宋体"/>
          <w:color w:val="auto"/>
          <w:spacing w:val="5"/>
          <w:sz w:val="24"/>
          <w:szCs w:val="24"/>
          <w:lang w:eastAsia="zh-CN"/>
        </w:rPr>
      </w:pPr>
      <w:r>
        <w:rPr>
          <w:rFonts w:hint="eastAsia" w:ascii="宋体" w:hAnsi="宋体" w:eastAsia="宋体" w:cs="宋体"/>
          <w:color w:val="auto"/>
          <w:spacing w:val="-5"/>
          <w:sz w:val="24"/>
          <w:szCs w:val="24"/>
          <w:lang w:eastAsia="zh-CN"/>
        </w:rPr>
        <w:t>1.</w:t>
      </w:r>
      <w:r>
        <w:rPr>
          <w:rFonts w:hint="eastAsia" w:ascii="宋体" w:hAnsi="宋体" w:eastAsia="宋体" w:cs="宋体"/>
          <w:color w:val="auto"/>
          <w:spacing w:val="5"/>
          <w:sz w:val="24"/>
          <w:szCs w:val="24"/>
          <w:lang w:eastAsia="zh-CN"/>
        </w:rPr>
        <w:t>技术要求</w:t>
      </w:r>
    </w:p>
    <w:p w14:paraId="32B899C8">
      <w:pPr>
        <w:widowControl w:val="0"/>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bidi="ar"/>
        </w:rPr>
        <w:t>（1）服务质量要求：</w:t>
      </w:r>
    </w:p>
    <w:p w14:paraId="320BCA9E">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① 要求响应供应商能够满足医院所列检验外送项目检测。</w:t>
      </w:r>
    </w:p>
    <w:p w14:paraId="6E665483">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② 建有完善的质量管理体系，有定期的室内质控和室间质评。</w:t>
      </w:r>
    </w:p>
    <w:p w14:paraId="668EC265">
      <w:pPr>
        <w:widowControl w:val="0"/>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bidi="ar"/>
        </w:rPr>
        <w:t>（2）标本接收及运送：</w:t>
      </w:r>
    </w:p>
    <w:p w14:paraId="371E597C">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① 每日收取标本，上门服务时间为上午 8:00～下午 5:00。遇特殊标本可机动收取。</w:t>
      </w:r>
    </w:p>
    <w:p w14:paraId="5F888F39">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② 应具有标本准运许可，要求标本签收至送达实验室时间必须 24 （含）小时内；具有自有的冷链物流服务，保证标本的分析前质量。</w:t>
      </w:r>
    </w:p>
    <w:p w14:paraId="5DE64931">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③ 样本的保存：成交供应商应按国家和行业标准对检验后样本进行保存，保存不少于 7 天。由于样本本身特性达不到保存期限或保存无意义的，另行约定。</w:t>
      </w:r>
    </w:p>
    <w:p w14:paraId="45A52223">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④ 样本交接及运送过程必须符合样本的安全管理要求。</w:t>
      </w:r>
    </w:p>
    <w:p w14:paraId="45172E4D">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⑤ 响应供应商具有完善的售后服务体系并具有明确的服务流程，有固定专业人员联系我院外送业务和收集标本，手续合法规范。</w:t>
      </w:r>
    </w:p>
    <w:p w14:paraId="22FAF610">
      <w:pPr>
        <w:widowControl w:val="0"/>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bidi="ar"/>
        </w:rPr>
        <w:t>（3）样品检测及报告要求：</w:t>
      </w:r>
    </w:p>
    <w:p w14:paraId="0FF8C188">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① 应在相应的报告时限内发放报告至院方，各检测项目出报告时间符合国家对三级甲等医院检验报告时间要求。</w:t>
      </w:r>
    </w:p>
    <w:p w14:paraId="029AB761">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② 在未经医院同意或授权前提下，不得向医院检验科、医务科、临床科室工作人员以外的任何单位或个人泄露委托检测的项目、检测的内容、检测的结果。</w:t>
      </w:r>
    </w:p>
    <w:p w14:paraId="3B471D21">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③ 如医院对检测结果有异议，并在样本保存有效期内提出，成交供应商应无条件免费重新检测。</w:t>
      </w:r>
    </w:p>
    <w:p w14:paraId="3437FBFE">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④ 能在本院网络打印具有法律效力的报告单，为医院免费提供信息化接口对接及硬件设备。</w:t>
      </w:r>
    </w:p>
    <w:p w14:paraId="44BD9F53">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⑤ 拟投入项目的人员须具备专业的检验能力，重要岗位人员：①检验技术人员；②分子诊断技术人员</w:t>
      </w:r>
      <w:r>
        <w:rPr>
          <w:rFonts w:hint="eastAsia" w:ascii="宋体" w:hAnsi="宋体" w:eastAsia="宋体" w:cs="宋体"/>
          <w:color w:val="auto"/>
          <w:sz w:val="24"/>
          <w:szCs w:val="24"/>
          <w:highlight w:val="none"/>
          <w:lang w:eastAsia="zh-CN" w:bidi="ar"/>
        </w:rPr>
        <w:t>；重要岗位人员须具有大专或以上学历并具有资格证书。</w:t>
      </w:r>
    </w:p>
    <w:p w14:paraId="53F5918F">
      <w:pPr>
        <w:spacing w:line="360" w:lineRule="auto"/>
        <w:ind w:firstLine="482" w:firstLineChars="200"/>
        <w:jc w:val="both"/>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（4）其它要求：</w:t>
      </w:r>
    </w:p>
    <w:p w14:paraId="39867E0A">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① 成交供应商保证按国家检测规范进行操作，并对来样检测结果负责。如果因检测结果错误而导致发生医疗事故、医疗过错及其他问题的，承担全部赔偿责任。</w:t>
      </w:r>
    </w:p>
    <w:p w14:paraId="7656EF06">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② 实验室质量管理人员须为医院检验科提供质量管理体系建设服务，协助制定完善的检验科质量管理体系，包含提供内审检查 1 次/年，为院方提供 IS015189 认证的相关工作。</w:t>
      </w:r>
    </w:p>
    <w:p w14:paraId="7C5C04D4">
      <w:pPr>
        <w:widowControl w:val="0"/>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③ 采购人每季度对成交供应商检验外送服务质量进行考核，考核内容包括特殊采样耗材情况、接收标本、标本运输情况、交接情况、检测报告单发放情况、技术指标质量安全标准、售后服务响应等，若出现2次考核不合格，采购人有权直接终止合同。</w:t>
      </w:r>
    </w:p>
    <w:p w14:paraId="192C85D6">
      <w:pPr>
        <w:widowControl w:val="0"/>
        <w:kinsoku/>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④ 合同期内，附件中的检测项目医院有能力自行开展的，医院可自行检测，不再委托成交供应商进行检测。本项目采用响应折扣作为响应报价（按控制价的折扣），响应供应商的报价须包含标本运输、保管、检测、结果回报等过程中使用的耗材、设施和设备等一切费用。</w:t>
      </w:r>
    </w:p>
    <w:p w14:paraId="1F7C306D">
      <w:pPr>
        <w:spacing w:line="360" w:lineRule="auto"/>
        <w:ind w:firstLine="562" w:firstLineChars="200"/>
        <w:jc w:val="both"/>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eastAsia="zh-CN" w:bidi="ar"/>
        </w:rPr>
        <w:t>（5）检验外送项目一览表</w:t>
      </w:r>
    </w:p>
    <w:tbl>
      <w:tblPr>
        <w:tblStyle w:val="5"/>
        <w:tblW w:w="9465" w:type="dxa"/>
        <w:jc w:val="center"/>
        <w:tblLayout w:type="fixed"/>
        <w:tblCellMar>
          <w:top w:w="0" w:type="dxa"/>
          <w:left w:w="108" w:type="dxa"/>
          <w:bottom w:w="0" w:type="dxa"/>
          <w:right w:w="108" w:type="dxa"/>
        </w:tblCellMar>
      </w:tblPr>
      <w:tblGrid>
        <w:gridCol w:w="770"/>
        <w:gridCol w:w="3681"/>
        <w:gridCol w:w="1109"/>
        <w:gridCol w:w="1212"/>
        <w:gridCol w:w="1565"/>
        <w:gridCol w:w="1128"/>
      </w:tblGrid>
      <w:tr w14:paraId="09987B07">
        <w:tblPrEx>
          <w:tblCellMar>
            <w:top w:w="0" w:type="dxa"/>
            <w:left w:w="108" w:type="dxa"/>
            <w:bottom w:w="0" w:type="dxa"/>
            <w:right w:w="108" w:type="dxa"/>
          </w:tblCellMar>
        </w:tblPrEx>
        <w:trPr>
          <w:trHeight w:val="5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725351F2">
            <w:pPr>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lang w:eastAsia="zh-CN" w:bidi="ar"/>
              </w:rPr>
              <w:t>序号</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4D8DBA77">
            <w:pPr>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lang w:eastAsia="zh-CN" w:bidi="ar"/>
              </w:rPr>
              <w:t>项目名称</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587614C">
            <w:pPr>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lang w:eastAsia="zh-CN" w:bidi="ar"/>
              </w:rPr>
              <w:t>预算单价（元）</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4464E162">
            <w:pPr>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lang w:eastAsia="zh-CN" w:bidi="ar"/>
              </w:rPr>
              <w:t>报告时限(工作日）</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1783CD47">
            <w:pPr>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lang w:eastAsia="zh-CN" w:bidi="ar"/>
              </w:rPr>
              <w:t>检测方法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6636EEA2">
            <w:pPr>
              <w:spacing w:line="360" w:lineRule="auto"/>
              <w:jc w:val="center"/>
              <w:textAlignment w:val="center"/>
              <w:rPr>
                <w:rFonts w:hint="eastAsia" w:ascii="宋体" w:hAnsi="宋体" w:eastAsia="宋体" w:cs="宋体"/>
                <w:b/>
                <w:bCs/>
                <w:color w:val="auto"/>
                <w:sz w:val="24"/>
                <w:szCs w:val="24"/>
              </w:rPr>
            </w:pPr>
            <w:r>
              <w:rPr>
                <w:rFonts w:hint="eastAsia" w:ascii="宋体" w:hAnsi="宋体" w:eastAsia="宋体" w:cs="宋体"/>
                <w:b/>
                <w:bCs/>
                <w:color w:val="auto"/>
                <w:kern w:val="0"/>
                <w:sz w:val="24"/>
                <w:szCs w:val="24"/>
                <w:lang w:eastAsia="zh-CN" w:bidi="ar"/>
              </w:rPr>
              <w:t>最高限价（折扣率）</w:t>
            </w:r>
          </w:p>
        </w:tc>
      </w:tr>
      <w:tr w14:paraId="6AE4468E">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7761645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1</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CF9346E">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蛋白C活性测定（PC）</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69A10D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25</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67D02BD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52E9592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发色底物法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459301D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1710C053">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6441E54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2</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F974A8C">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蛋白S活性测定（PS）</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0E9099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25</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0A6A24C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08FDDF1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发色底物法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4A1A7FEA">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301A084D">
        <w:tblPrEx>
          <w:tblCellMar>
            <w:top w:w="0" w:type="dxa"/>
            <w:left w:w="108" w:type="dxa"/>
            <w:bottom w:w="0" w:type="dxa"/>
            <w:right w:w="108" w:type="dxa"/>
          </w:tblCellMar>
        </w:tblPrEx>
        <w:trPr>
          <w:trHeight w:val="50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60DD3BC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3</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6CAC34D4">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尿液有机酸分析</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420F36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320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542298A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4</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3042155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质谱法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51C6315A">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6BA1B473">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2A0446F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4</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3B44528B">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甲状旁腺激素(PTH)</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E5CCDC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51492AB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2D332D5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2E750EF3">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3086624F">
        <w:tblPrEx>
          <w:tblCellMar>
            <w:top w:w="0" w:type="dxa"/>
            <w:left w:w="108" w:type="dxa"/>
            <w:bottom w:w="0" w:type="dxa"/>
            <w:right w:w="108" w:type="dxa"/>
          </w:tblCellMar>
        </w:tblPrEx>
        <w:trPr>
          <w:trHeight w:val="66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45DBC72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5</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7C4C7B98">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鼻咽癌筛查二项（EB病毒抗体EBV-CA、EBV-EA)</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91F11F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38</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4A6D8C4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62437DD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各种免疫学方法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47592CA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5B2FC00D">
        <w:tblPrEx>
          <w:tblCellMar>
            <w:top w:w="0" w:type="dxa"/>
            <w:left w:w="108" w:type="dxa"/>
            <w:bottom w:w="0" w:type="dxa"/>
            <w:right w:w="108" w:type="dxa"/>
          </w:tblCellMar>
        </w:tblPrEx>
        <w:trPr>
          <w:trHeight w:val="78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3C3D4C3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6</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702F7F84">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sz w:val="24"/>
                <w:szCs w:val="24"/>
                <w:lang w:eastAsia="zh-CN" w:bidi="ar"/>
              </w:rPr>
              <w:t>胃功能三项（胃泌素、胃蛋白酶原</w:t>
            </w:r>
            <w:r>
              <w:rPr>
                <w:rStyle w:val="8"/>
                <w:rFonts w:hint="default" w:ascii="宋体" w:hAnsi="宋体" w:eastAsia="宋体" w:cs="宋体"/>
                <w:color w:val="auto"/>
                <w:lang w:eastAsia="zh-CN" w:bidi="ar"/>
              </w:rPr>
              <w:t>Ⅰ</w:t>
            </w:r>
            <w:r>
              <w:rPr>
                <w:rFonts w:hint="eastAsia" w:ascii="宋体" w:hAnsi="宋体" w:eastAsia="宋体" w:cs="宋体"/>
                <w:color w:val="auto"/>
                <w:sz w:val="24"/>
                <w:szCs w:val="24"/>
                <w:lang w:eastAsia="zh-CN" w:bidi="ar"/>
              </w:rPr>
              <w:t>、胃蛋白酶原</w:t>
            </w:r>
            <w:r>
              <w:rPr>
                <w:rStyle w:val="8"/>
                <w:rFonts w:hint="default" w:ascii="宋体" w:hAnsi="宋体" w:eastAsia="宋体" w:cs="宋体"/>
                <w:color w:val="auto"/>
                <w:lang w:eastAsia="zh-CN" w:bidi="ar"/>
              </w:rPr>
              <w:t>Ⅱ</w:t>
            </w:r>
            <w:r>
              <w:rPr>
                <w:rFonts w:hint="eastAsia" w:ascii="宋体" w:hAnsi="宋体" w:eastAsia="宋体" w:cs="宋体"/>
                <w:color w:val="auto"/>
                <w:sz w:val="24"/>
                <w:szCs w:val="24"/>
                <w:lang w:eastAsia="zh-CN" w:bidi="ar"/>
              </w:rPr>
              <w:t>）</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7E3118A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210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47D01D3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4DFBCE61">
            <w:pPr>
              <w:spacing w:line="360" w:lineRule="auto"/>
              <w:jc w:val="center"/>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各种免疫学方法（胃泌素为化学发光法）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4FC25A5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21522122">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77FED4C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7</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4B9514D7">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脑脊液寡克隆区带分析</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AE7418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180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73603C3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10D54BD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电泳法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613EF146">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3A65C7E7">
        <w:tblPrEx>
          <w:tblCellMar>
            <w:top w:w="0" w:type="dxa"/>
            <w:left w:w="108" w:type="dxa"/>
            <w:bottom w:w="0" w:type="dxa"/>
            <w:right w:w="108" w:type="dxa"/>
          </w:tblCellMar>
        </w:tblPrEx>
        <w:trPr>
          <w:trHeight w:val="52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54BDC3C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8</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450DE53F">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 xml:space="preserve">风疹病毒核酸检测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369474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100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2927D74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769BBA23">
            <w:pPr>
              <w:spacing w:line="360" w:lineRule="auto"/>
              <w:jc w:val="center"/>
              <w:textAlignment w:val="center"/>
              <w:rPr>
                <w:rFonts w:hint="eastAsia" w:ascii="宋体" w:hAnsi="宋体" w:eastAsia="宋体" w:cs="宋体"/>
                <w:color w:val="auto"/>
                <w:sz w:val="22"/>
              </w:rPr>
            </w:pPr>
            <w:r>
              <w:rPr>
                <w:rStyle w:val="9"/>
                <w:rFonts w:hint="eastAsia" w:ascii="宋体" w:hAnsi="宋体" w:eastAsia="宋体" w:cs="宋体"/>
                <w:color w:val="auto"/>
                <w:lang w:eastAsia="zh-CN" w:bidi="ar"/>
              </w:rPr>
              <w:t xml:space="preserve">PCR </w:t>
            </w:r>
            <w:r>
              <w:rPr>
                <w:rStyle w:val="10"/>
                <w:rFonts w:hint="default"/>
                <w:color w:val="auto"/>
                <w:lang w:eastAsia="zh-CN" w:bidi="ar"/>
              </w:rPr>
              <w:t>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43343EEA">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34FEBA86">
        <w:tblPrEx>
          <w:tblCellMar>
            <w:top w:w="0" w:type="dxa"/>
            <w:left w:w="108" w:type="dxa"/>
            <w:bottom w:w="0" w:type="dxa"/>
            <w:right w:w="108" w:type="dxa"/>
          </w:tblCellMar>
        </w:tblPrEx>
        <w:trPr>
          <w:trHeight w:val="54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69C0225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9</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0BF9239F">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 xml:space="preserve">血液FISH检测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36CE8A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1000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10A08EF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03969F2B">
            <w:pPr>
              <w:spacing w:line="360" w:lineRule="auto"/>
              <w:jc w:val="center"/>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荧光原位杂交（fish）</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055B0F35">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77EB8D65">
        <w:tblPrEx>
          <w:tblCellMar>
            <w:top w:w="0" w:type="dxa"/>
            <w:left w:w="108" w:type="dxa"/>
            <w:bottom w:w="0" w:type="dxa"/>
            <w:right w:w="108" w:type="dxa"/>
          </w:tblCellMar>
        </w:tblPrEx>
        <w:trPr>
          <w:trHeight w:val="405"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1BC36D3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10</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51FA5FFB">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 xml:space="preserve">弓形虫DNA检测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494F0D5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100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2D95A37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3B54E243">
            <w:pPr>
              <w:spacing w:line="360" w:lineRule="auto"/>
              <w:jc w:val="center"/>
              <w:textAlignment w:val="center"/>
              <w:rPr>
                <w:rFonts w:hint="eastAsia" w:ascii="宋体" w:hAnsi="宋体" w:eastAsia="宋体" w:cs="宋体"/>
                <w:color w:val="auto"/>
                <w:sz w:val="22"/>
              </w:rPr>
            </w:pPr>
            <w:r>
              <w:rPr>
                <w:rStyle w:val="9"/>
                <w:rFonts w:hint="eastAsia" w:ascii="宋体" w:hAnsi="宋体" w:eastAsia="宋体" w:cs="宋体"/>
                <w:color w:val="auto"/>
                <w:lang w:eastAsia="zh-CN" w:bidi="ar"/>
              </w:rPr>
              <w:t xml:space="preserve">PCR </w:t>
            </w:r>
            <w:r>
              <w:rPr>
                <w:rStyle w:val="10"/>
                <w:rFonts w:hint="default"/>
                <w:color w:val="auto"/>
                <w:lang w:eastAsia="zh-CN" w:bidi="ar"/>
              </w:rPr>
              <w:t>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6321735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120075D9">
        <w:tblPrEx>
          <w:tblCellMar>
            <w:top w:w="0" w:type="dxa"/>
            <w:left w:w="108" w:type="dxa"/>
            <w:bottom w:w="0" w:type="dxa"/>
            <w:right w:w="108" w:type="dxa"/>
          </w:tblCellMar>
        </w:tblPrEx>
        <w:trPr>
          <w:trHeight w:val="63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4E33C62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11</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ED00061">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 xml:space="preserve">骨髓染色体核型分析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7B3FFA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400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5950E11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3E66B316">
            <w:pPr>
              <w:spacing w:line="360" w:lineRule="auto"/>
              <w:jc w:val="center"/>
              <w:textAlignment w:val="center"/>
              <w:rPr>
                <w:rFonts w:hint="eastAsia" w:ascii="宋体" w:hAnsi="宋体" w:eastAsia="宋体" w:cs="宋体"/>
                <w:color w:val="auto"/>
                <w:sz w:val="22"/>
              </w:rPr>
            </w:pPr>
            <w:r>
              <w:rPr>
                <w:rStyle w:val="9"/>
                <w:rFonts w:hint="eastAsia" w:ascii="宋体" w:hAnsi="宋体" w:eastAsia="宋体" w:cs="宋体"/>
                <w:color w:val="auto"/>
                <w:lang w:eastAsia="zh-CN" w:bidi="ar"/>
              </w:rPr>
              <w:t xml:space="preserve">G </w:t>
            </w:r>
            <w:r>
              <w:rPr>
                <w:rStyle w:val="10"/>
                <w:rFonts w:hint="default"/>
                <w:color w:val="auto"/>
                <w:lang w:eastAsia="zh-CN" w:bidi="ar"/>
              </w:rPr>
              <w:t>显带培养法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182DC71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45A3FCE4">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1FB058C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12</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3D413ACC">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 xml:space="preserve">急慢性白血病CD检测（28CD）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42717FC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1320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60B471C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0E483DB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流式细胞术</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699F8AC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60AE821D">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0D9CA7D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13</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0813BCB9">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 xml:space="preserve">雄烯二酮测定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489BFA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40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4D36F8F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48110F7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3F54A303">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3164A2CF">
        <w:tblPrEx>
          <w:tblCellMar>
            <w:top w:w="0" w:type="dxa"/>
            <w:left w:w="108" w:type="dxa"/>
            <w:bottom w:w="0" w:type="dxa"/>
            <w:right w:w="108" w:type="dxa"/>
          </w:tblCellMar>
        </w:tblPrEx>
        <w:trPr>
          <w:trHeight w:val="76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2E9E28C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14</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4ABDD607">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各种药物浓度测定</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C4A279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190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4682C50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335D0B7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化学发光法或质谱法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05419A13">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416B6B35">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5834657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15</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68D3D66E">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脱氢表雄酮</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747A978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17839CC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60DB2C5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4C23B1FB">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4D446B77">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1A977AF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16</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679282DD">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病原微生物宏基因组DNA或RNA</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4B22CE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2800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3B73D74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23BC566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高通量测序法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07A432D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4552D17B">
        <w:tblPrEx>
          <w:tblCellMar>
            <w:top w:w="0" w:type="dxa"/>
            <w:left w:w="108" w:type="dxa"/>
            <w:bottom w:w="0" w:type="dxa"/>
            <w:right w:w="108" w:type="dxa"/>
          </w:tblCellMar>
        </w:tblPrEx>
        <w:trPr>
          <w:trHeight w:val="60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1F6ACF4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17</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59866C7F">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病原微生物宏基因组全套（DNA+RNA）</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979985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3800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0AE6426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7092974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高通量测序法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7900572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04C69BEE">
        <w:tblPrEx>
          <w:tblCellMar>
            <w:top w:w="0" w:type="dxa"/>
            <w:left w:w="108" w:type="dxa"/>
            <w:bottom w:w="0" w:type="dxa"/>
            <w:right w:w="108" w:type="dxa"/>
          </w:tblCellMar>
        </w:tblPrEx>
        <w:trPr>
          <w:trHeight w:val="82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7B178D8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18</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32518C08">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小宏基因呼吸道198种病原体靶向测序</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D6F8D7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800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6C42AA5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34276A53">
            <w:pPr>
              <w:spacing w:line="360" w:lineRule="auto"/>
              <w:jc w:val="center"/>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多重靶向扩增-高通量测序法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7F87DFE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5544FF14">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2A5288C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19</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38F0C38D">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肿瘤相关物质（TM)联合检测</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7B6ED8A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180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1F18DAA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6F33C31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比色法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7756BDCF">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08280396">
        <w:tblPrEx>
          <w:tblCellMar>
            <w:top w:w="0" w:type="dxa"/>
            <w:left w:w="108" w:type="dxa"/>
            <w:bottom w:w="0" w:type="dxa"/>
            <w:right w:w="108" w:type="dxa"/>
          </w:tblCellMar>
        </w:tblPrEx>
        <w:trPr>
          <w:trHeight w:val="63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7A8A05C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20</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7B47F228">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sz w:val="24"/>
                <w:szCs w:val="24"/>
                <w:lang w:eastAsia="zh-CN" w:bidi="ar"/>
              </w:rPr>
              <w:t>抗</w:t>
            </w:r>
            <w:r>
              <w:rPr>
                <w:rStyle w:val="11"/>
                <w:rFonts w:hint="default" w:ascii="宋体" w:hAnsi="宋体" w:eastAsia="宋体" w:cs="宋体"/>
                <w:color w:val="auto"/>
                <w:lang w:eastAsia="zh-CN" w:bidi="ar"/>
              </w:rPr>
              <w:t>Ⅹ</w:t>
            </w:r>
            <w:r>
              <w:rPr>
                <w:rFonts w:hint="eastAsia" w:ascii="宋体" w:hAnsi="宋体" w:eastAsia="宋体" w:cs="宋体"/>
                <w:color w:val="auto"/>
                <w:sz w:val="24"/>
                <w:szCs w:val="24"/>
                <w:lang w:eastAsia="zh-CN" w:bidi="ar"/>
              </w:rPr>
              <w:t>a活性测定(低分子肝素测定）</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495636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4EF4CF3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6D7DA34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各种免疫学方法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1C470FE3">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4F1B78DA">
        <w:tblPrEx>
          <w:tblCellMar>
            <w:top w:w="0" w:type="dxa"/>
            <w:left w:w="108" w:type="dxa"/>
            <w:bottom w:w="0" w:type="dxa"/>
            <w:right w:w="108" w:type="dxa"/>
          </w:tblCellMar>
        </w:tblPrEx>
        <w:trPr>
          <w:trHeight w:val="60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65239EE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21</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10CEDE7">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血栓前状态基因检测</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CF4370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600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77DCEFD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254A30A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各种免疫学方法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05FC6A3C">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75AA4B44">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168B489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22</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300A4EA2">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丙型肝炎RNA测定</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AEE0AA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95</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51B108E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34DF384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PCR 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5F9941F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4A6DBAD3">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4723DF7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23</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2B391E28">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胃泌素释放肽前体（PRO-GRP）</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0AD936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79A9635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4E8DC58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各种免疫学方法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1EAE7D4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77BC6DDD">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2C3A7DD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24</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1ECC635">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细胞角蛋白19片段（CYFRA21-1）</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E29F75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5D077B8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6BE24C9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电化学发光法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75D8631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0441A14F">
        <w:tblPrEx>
          <w:tblCellMar>
            <w:top w:w="0" w:type="dxa"/>
            <w:left w:w="108" w:type="dxa"/>
            <w:bottom w:w="0" w:type="dxa"/>
            <w:right w:w="108" w:type="dxa"/>
          </w:tblCellMar>
        </w:tblPrEx>
        <w:trPr>
          <w:trHeight w:val="54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2E75BA2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25</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97D9421">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上呼吸道多病种病原体靶向测序（＞100种）</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08B3783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400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47EE843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6E5E338A">
            <w:pPr>
              <w:spacing w:line="360" w:lineRule="auto"/>
              <w:jc w:val="center"/>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多重靶向扩增-高通量测序法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0785FC9C">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5BFD850F">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354D4DE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26</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524963BC">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(1-3)-β-D葡聚糖(G试验)</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7B59339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89.1</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356AC2C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4342A45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动态显色法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5C251E3B">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5514DAA2">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619B274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27</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2354D04">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25-羟基维生素D（D2、D3)</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CBEC30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120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591AF61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2A01540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色谱法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00ADA3AD">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3E8D93E4">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157766C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28</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48CABEF6">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骨源性碱性磷酸酶(NBAP)</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E483C4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0455260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6266ECE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16FC5ED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1BDAF7CE">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61ABF7A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29</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41279F5">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果糖胺(FRA)</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E20F8E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1C99052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5D586CF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硝基四氮唑蓝法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7A61DD1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6D662AB1">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450DA08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30</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55827165">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抗卵巢抗体IgG测定(AOA-IgG)</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F2268B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7EF5ABA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76CB7F2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酶联免疫法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55E3D75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73548AC9">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324B8F7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31</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7B2548D6">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皮质醇(CORT随机)</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6123EE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6E66FE1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3F1A281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096C0766">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1E062920">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2629D15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32</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313C3045">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神经元特异性烯醇化酶(NSE)</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20F1E9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4398C5D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7896E0F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电化学发光法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08684210">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7EF349C2">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4253941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33</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74047B58">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血清前白蛋白测定（PAB)</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3E1289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7.7</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101DFC0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478A918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免疫比浊法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12591DB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7EB12C1F">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3178992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34</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2C15EE0A">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转铁蛋白(TRF)</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7BB904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4AB6196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09203E4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776FFE8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56B4FC10">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15181B5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35</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692246B7">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醛固酮(ALD)</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CEA58A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40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6B1E6B7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04C4414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6C1BDDF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3AFD08E5">
        <w:tblPrEx>
          <w:tblCellMar>
            <w:top w:w="0" w:type="dxa"/>
            <w:left w:w="108" w:type="dxa"/>
            <w:bottom w:w="0" w:type="dxa"/>
            <w:right w:w="108" w:type="dxa"/>
          </w:tblCellMar>
        </w:tblPrEx>
        <w:trPr>
          <w:trHeight w:val="46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76FBDC6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36</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416F187E">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血促肾上腺皮质激素(随机)</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750D8B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0C9441A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2A2304D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电化学发光法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7EE0D178">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5A63B0D7">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6E890A4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37</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00D7FA48">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血清C肽测定(C-P)</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0310B6B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40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17B6878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4A1B771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电化学发光法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68078345">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7DF27662">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103E46D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38</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40EDAD63">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 xml:space="preserve">香草苦杏仁酸VMA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ED86D4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45</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69D5101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602B57E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色谱法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7F6B5D93">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2E5860C9">
        <w:tblPrEx>
          <w:tblCellMar>
            <w:top w:w="0" w:type="dxa"/>
            <w:left w:w="108" w:type="dxa"/>
            <w:bottom w:w="0" w:type="dxa"/>
            <w:right w:w="108" w:type="dxa"/>
          </w:tblCellMar>
        </w:tblPrEx>
        <w:trPr>
          <w:trHeight w:val="70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394AA83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39</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32125005">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儿茶酚胺(尿儿茶酚胺、肾上腺素、去甲肾上腺素测定3项)</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43163A0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140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37469EA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53D6C6B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色谱法+化学发光法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2320D09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19648888">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11238DC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40</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5C97750F">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 xml:space="preserve">雌三醇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B13A42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60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3CBB568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0F667E3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00C72F3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75959889">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332145B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41</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D1DC448">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 xml:space="preserve">糖类抗原CA242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7D5ED4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3B72B74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0589FDC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5E45F71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57E36B27">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75104DF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42</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7A48657A">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 xml:space="preserve">双氢睾酮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C4B18C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40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33464C2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41C6CC7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78D25EEE">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7EABCEEA">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49BDCD7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43</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54CEA718">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恶性肿瘤特异性生长因子(TSGF)</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78C988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59.2</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71A1005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0A25C79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速率法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41C8D2D1">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0B974EF7">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36463370">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44</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61A3E504">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 xml:space="preserve">17α-羟基孕酮测定(17α-OHP)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38DEA2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40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2425B09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319DAF9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速率法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73293529">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03E35572">
        <w:tblPrEx>
          <w:tblCellMar>
            <w:top w:w="0" w:type="dxa"/>
            <w:left w:w="108" w:type="dxa"/>
            <w:bottom w:w="0" w:type="dxa"/>
            <w:right w:w="108" w:type="dxa"/>
          </w:tblCellMar>
        </w:tblPrEx>
        <w:trPr>
          <w:trHeight w:val="54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5662883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45</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51CEE6D6">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 xml:space="preserve">肝纤四项  </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30B84C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120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0BEB109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5C6AC53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免疫法+化学发光法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249054B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02FA396F">
        <w:tblPrEx>
          <w:tblCellMar>
            <w:top w:w="0" w:type="dxa"/>
            <w:left w:w="108" w:type="dxa"/>
            <w:bottom w:w="0" w:type="dxa"/>
            <w:right w:w="108" w:type="dxa"/>
          </w:tblCellMar>
        </w:tblPrEx>
        <w:trPr>
          <w:trHeight w:val="1140"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1C8750B5">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46</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31AD19D9">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color w:val="auto"/>
                <w:kern w:val="0"/>
                <w:sz w:val="24"/>
                <w:szCs w:val="24"/>
                <w:lang w:eastAsia="zh-CN" w:bidi="ar"/>
              </w:rPr>
              <w:t>自身免疫3项：抗角蛋白抗体（AKA）、抗环瓜氨酸多肽抗体(抗CCP抗体)、类风湿因子（IgA、IgM、IgG）</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D911D3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232.91</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5FD9DD47">
            <w:pPr>
              <w:spacing w:line="360" w:lineRule="auto"/>
              <w:jc w:val="center"/>
              <w:textAlignment w:val="center"/>
              <w:rPr>
                <w:rFonts w:hint="eastAsia" w:ascii="宋体" w:hAnsi="宋体" w:eastAsia="宋体" w:cs="宋体"/>
                <w:color w:val="auto"/>
                <w:sz w:val="28"/>
                <w:szCs w:val="28"/>
              </w:rPr>
            </w:pPr>
            <w:r>
              <w:rPr>
                <w:rFonts w:hint="eastAsia" w:ascii="宋体" w:hAnsi="宋体" w:eastAsia="宋体" w:cs="宋体"/>
                <w:color w:val="auto"/>
                <w:kern w:val="0"/>
                <w:sz w:val="28"/>
                <w:szCs w:val="28"/>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4CB4CC20">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69E50E1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79128FB8">
        <w:tblPrEx>
          <w:tblCellMar>
            <w:top w:w="0" w:type="dxa"/>
            <w:left w:w="108" w:type="dxa"/>
            <w:bottom w:w="0" w:type="dxa"/>
            <w:right w:w="108" w:type="dxa"/>
          </w:tblCellMar>
        </w:tblPrEx>
        <w:trPr>
          <w:trHeight w:val="855"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6C927664">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4"/>
                <w:szCs w:val="24"/>
                <w:lang w:eastAsia="zh-CN" w:bidi="ar"/>
              </w:rPr>
              <w:t>47</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47B80BBB">
            <w:pPr>
              <w:spacing w:line="360" w:lineRule="auto"/>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血管炎四项：核周型ANCA（pANCA）、胞质型ANCA（cANCA）、抗髓过氧化物酶抗体（MPO）、抗蛋白酶3（PR3）抗体</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5B26EF44">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60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6561F266">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489818D8">
            <w:pPr>
              <w:spacing w:line="360" w:lineRule="auto"/>
              <w:jc w:val="center"/>
              <w:textAlignment w:val="center"/>
              <w:rPr>
                <w:rFonts w:hint="eastAsia" w:ascii="宋体" w:hAnsi="宋体" w:eastAsia="宋体" w:cs="宋体"/>
                <w:color w:val="auto"/>
                <w:kern w:val="0"/>
                <w:sz w:val="22"/>
                <w:lang w:eastAsia="zh-CN" w:bidi="ar"/>
              </w:rPr>
            </w:pPr>
            <w:r>
              <w:rPr>
                <w:rFonts w:hint="eastAsia" w:ascii="宋体" w:hAnsi="宋体" w:eastAsia="宋体" w:cs="宋体"/>
                <w:color w:val="auto"/>
                <w:kern w:val="0"/>
                <w:sz w:val="22"/>
                <w:lang w:eastAsia="zh-CN" w:bidi="ar"/>
              </w:rPr>
              <w:t>免疫荧光法+化学发光法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770A2F0E">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6611469B">
        <w:tblPrEx>
          <w:tblCellMar>
            <w:top w:w="0" w:type="dxa"/>
            <w:left w:w="108" w:type="dxa"/>
            <w:bottom w:w="0" w:type="dxa"/>
            <w:right w:w="108" w:type="dxa"/>
          </w:tblCellMar>
        </w:tblPrEx>
        <w:trPr>
          <w:trHeight w:val="285"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620C854E">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4"/>
                <w:szCs w:val="24"/>
                <w:lang w:eastAsia="zh-CN" w:bidi="ar"/>
              </w:rPr>
              <w:t>48</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4CC24A35">
            <w:pPr>
              <w:spacing w:line="360" w:lineRule="auto"/>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人类白细胞分化抗原B27(HLA-B27)</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2F58EE0C">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140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1FFE4649">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03BBB567">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流式细胞术</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05437482">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4898A53C">
        <w:tblPrEx>
          <w:tblCellMar>
            <w:top w:w="0" w:type="dxa"/>
            <w:left w:w="108" w:type="dxa"/>
            <w:bottom w:w="0" w:type="dxa"/>
            <w:right w:w="108" w:type="dxa"/>
          </w:tblCellMar>
        </w:tblPrEx>
        <w:trPr>
          <w:trHeight w:val="540"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0724F0C6">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4"/>
                <w:szCs w:val="24"/>
                <w:lang w:eastAsia="zh-CN" w:bidi="ar"/>
              </w:rPr>
              <w:t>49</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6BD71F7D">
            <w:pPr>
              <w:spacing w:line="360" w:lineRule="auto"/>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24小时尿铜</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5DCB14F">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20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2907ACE6">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1469F454">
            <w:pPr>
              <w:spacing w:line="360" w:lineRule="auto"/>
              <w:jc w:val="center"/>
              <w:textAlignment w:val="center"/>
              <w:rPr>
                <w:rFonts w:hint="eastAsia" w:ascii="宋体" w:hAnsi="宋体" w:eastAsia="宋体" w:cs="宋体"/>
                <w:color w:val="auto"/>
                <w:kern w:val="0"/>
                <w:sz w:val="22"/>
                <w:lang w:eastAsia="zh-CN" w:bidi="ar"/>
              </w:rPr>
            </w:pPr>
            <w:r>
              <w:rPr>
                <w:rFonts w:hint="eastAsia" w:ascii="宋体" w:hAnsi="宋体" w:eastAsia="宋体" w:cs="宋体"/>
                <w:color w:val="auto"/>
                <w:kern w:val="0"/>
                <w:sz w:val="22"/>
                <w:lang w:eastAsia="zh-CN" w:bidi="ar"/>
              </w:rPr>
              <w:t>电感耦合等离子体质谱</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42BE661C">
            <w:pPr>
              <w:spacing w:line="360" w:lineRule="auto"/>
              <w:jc w:val="center"/>
              <w:textAlignment w:val="center"/>
              <w:rPr>
                <w:rFonts w:hint="eastAsia" w:ascii="宋体" w:hAnsi="宋体" w:eastAsia="宋体" w:cs="宋体"/>
                <w:color w:val="auto"/>
                <w:kern w:val="0"/>
                <w:sz w:val="22"/>
                <w:lang w:bidi="ar"/>
              </w:rPr>
            </w:pPr>
            <w:r>
              <w:rPr>
                <w:rFonts w:hint="eastAsia" w:ascii="宋体" w:hAnsi="宋体" w:eastAsia="宋体" w:cs="宋体"/>
                <w:color w:val="auto"/>
                <w:kern w:val="0"/>
                <w:sz w:val="22"/>
                <w:lang w:eastAsia="zh-CN" w:bidi="ar"/>
              </w:rPr>
              <w:t>35%</w:t>
            </w:r>
          </w:p>
        </w:tc>
      </w:tr>
      <w:tr w14:paraId="7EF38473">
        <w:tblPrEx>
          <w:tblCellMar>
            <w:top w:w="0" w:type="dxa"/>
            <w:left w:w="108" w:type="dxa"/>
            <w:bottom w:w="0" w:type="dxa"/>
            <w:right w:w="108" w:type="dxa"/>
          </w:tblCellMar>
        </w:tblPrEx>
        <w:trPr>
          <w:trHeight w:val="540"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039D05D6">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50</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2679F7AD">
            <w:pPr>
              <w:spacing w:line="360" w:lineRule="auto"/>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尿蛋白六项</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E65F8A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133.4</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42E5A36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2E31B69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免疫比浊法+速率法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6046146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56C2C4BA">
        <w:tblPrEx>
          <w:tblCellMar>
            <w:top w:w="0" w:type="dxa"/>
            <w:left w:w="108" w:type="dxa"/>
            <w:bottom w:w="0" w:type="dxa"/>
            <w:right w:w="108" w:type="dxa"/>
          </w:tblCellMar>
        </w:tblPrEx>
        <w:trPr>
          <w:trHeight w:val="285"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29B4007B">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51</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5A449F17">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color w:val="auto"/>
                <w:kern w:val="0"/>
                <w:sz w:val="24"/>
                <w:szCs w:val="24"/>
                <w:lang w:eastAsia="zh-CN" w:bidi="ar"/>
              </w:rPr>
              <w:t>MMP-7（基质金属蛋白酶-7）</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5FAEAEA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600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3F64D50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797D422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73D8C26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7466AD8A">
        <w:tblPrEx>
          <w:tblCellMar>
            <w:top w:w="0" w:type="dxa"/>
            <w:left w:w="108" w:type="dxa"/>
            <w:bottom w:w="0" w:type="dxa"/>
            <w:right w:w="108" w:type="dxa"/>
          </w:tblCellMar>
        </w:tblPrEx>
        <w:trPr>
          <w:trHeight w:val="1638"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4E7377EB">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52</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37CFECF2">
            <w:pPr>
              <w:spacing w:line="360" w:lineRule="auto"/>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自身免疫性脑炎相关抗体8项：</w:t>
            </w:r>
            <w:r>
              <w:rPr>
                <w:rFonts w:hint="eastAsia" w:ascii="宋体" w:hAnsi="宋体" w:eastAsia="宋体" w:cs="宋体"/>
                <w:color w:val="auto"/>
                <w:kern w:val="0"/>
                <w:sz w:val="24"/>
                <w:szCs w:val="24"/>
                <w:lang w:eastAsia="zh-CN" w:bidi="ar"/>
              </w:rPr>
              <w:br w:type="textWrapping"/>
            </w:r>
            <w:r>
              <w:rPr>
                <w:rFonts w:hint="eastAsia" w:ascii="宋体" w:hAnsi="宋体" w:eastAsia="宋体" w:cs="宋体"/>
                <w:color w:val="auto"/>
                <w:kern w:val="0"/>
                <w:sz w:val="24"/>
                <w:szCs w:val="24"/>
                <w:lang w:eastAsia="zh-CN" w:bidi="ar"/>
              </w:rPr>
              <w:t xml:space="preserve">抗谷氨酸受体(NMDA型)抗体IgG </w:t>
            </w:r>
            <w:r>
              <w:rPr>
                <w:rFonts w:hint="eastAsia" w:ascii="宋体" w:hAnsi="宋体" w:eastAsia="宋体" w:cs="宋体"/>
                <w:color w:val="auto"/>
                <w:kern w:val="0"/>
                <w:sz w:val="24"/>
                <w:szCs w:val="24"/>
                <w:lang w:eastAsia="zh-CN" w:bidi="ar"/>
              </w:rPr>
              <w:br w:type="textWrapping"/>
            </w:r>
            <w:r>
              <w:rPr>
                <w:rFonts w:hint="eastAsia" w:ascii="宋体" w:hAnsi="宋体" w:eastAsia="宋体" w:cs="宋体"/>
                <w:color w:val="auto"/>
                <w:kern w:val="0"/>
                <w:sz w:val="24"/>
                <w:szCs w:val="24"/>
                <w:lang w:eastAsia="zh-CN" w:bidi="ar"/>
              </w:rPr>
              <w:t xml:space="preserve">抗谷氨酸受体(AMPA1型)抗体IgG </w:t>
            </w:r>
            <w:r>
              <w:rPr>
                <w:rFonts w:hint="eastAsia" w:ascii="宋体" w:hAnsi="宋体" w:eastAsia="宋体" w:cs="宋体"/>
                <w:color w:val="auto"/>
                <w:kern w:val="0"/>
                <w:sz w:val="24"/>
                <w:szCs w:val="24"/>
                <w:lang w:eastAsia="zh-CN" w:bidi="ar"/>
              </w:rPr>
              <w:br w:type="textWrapping"/>
            </w:r>
            <w:r>
              <w:rPr>
                <w:rFonts w:hint="eastAsia" w:ascii="宋体" w:hAnsi="宋体" w:eastAsia="宋体" w:cs="宋体"/>
                <w:color w:val="auto"/>
                <w:kern w:val="0"/>
                <w:sz w:val="24"/>
                <w:szCs w:val="24"/>
                <w:lang w:eastAsia="zh-CN" w:bidi="ar"/>
              </w:rPr>
              <w:t xml:space="preserve">抗谷氨酸受体(AMPA2型)抗体IgG </w:t>
            </w:r>
            <w:r>
              <w:rPr>
                <w:rFonts w:hint="eastAsia" w:ascii="宋体" w:hAnsi="宋体" w:eastAsia="宋体" w:cs="宋体"/>
                <w:color w:val="auto"/>
                <w:kern w:val="0"/>
                <w:sz w:val="24"/>
                <w:szCs w:val="24"/>
                <w:lang w:eastAsia="zh-CN" w:bidi="ar"/>
              </w:rPr>
              <w:br w:type="textWrapping"/>
            </w:r>
            <w:r>
              <w:rPr>
                <w:rFonts w:hint="eastAsia" w:ascii="宋体" w:hAnsi="宋体" w:eastAsia="宋体" w:cs="宋体"/>
                <w:color w:val="auto"/>
                <w:kern w:val="0"/>
                <w:sz w:val="24"/>
                <w:szCs w:val="24"/>
                <w:lang w:eastAsia="zh-CN" w:bidi="ar"/>
              </w:rPr>
              <w:t xml:space="preserve">抗富亮氨酸胶质瘤失活蛋白1(LGI 1)抗体IgG </w:t>
            </w:r>
            <w:r>
              <w:rPr>
                <w:rFonts w:hint="eastAsia" w:ascii="宋体" w:hAnsi="宋体" w:eastAsia="宋体" w:cs="宋体"/>
                <w:color w:val="auto"/>
                <w:kern w:val="0"/>
                <w:sz w:val="24"/>
                <w:szCs w:val="24"/>
                <w:lang w:eastAsia="zh-CN" w:bidi="ar"/>
              </w:rPr>
              <w:br w:type="textWrapping"/>
            </w:r>
            <w:r>
              <w:rPr>
                <w:rFonts w:hint="eastAsia" w:ascii="宋体" w:hAnsi="宋体" w:eastAsia="宋体" w:cs="宋体"/>
                <w:color w:val="auto"/>
                <w:kern w:val="0"/>
                <w:sz w:val="24"/>
                <w:szCs w:val="24"/>
                <w:lang w:eastAsia="zh-CN" w:bidi="ar"/>
              </w:rPr>
              <w:t xml:space="preserve">抗γ-氨基丁酸B型受体(GABAB)抗体IgG </w:t>
            </w:r>
            <w:r>
              <w:rPr>
                <w:rFonts w:hint="eastAsia" w:ascii="宋体" w:hAnsi="宋体" w:eastAsia="宋体" w:cs="宋体"/>
                <w:color w:val="auto"/>
                <w:kern w:val="0"/>
                <w:sz w:val="24"/>
                <w:szCs w:val="24"/>
                <w:lang w:eastAsia="zh-CN" w:bidi="ar"/>
              </w:rPr>
              <w:br w:type="textWrapping"/>
            </w:r>
            <w:r>
              <w:rPr>
                <w:rFonts w:hint="eastAsia" w:ascii="宋体" w:hAnsi="宋体" w:eastAsia="宋体" w:cs="宋体"/>
                <w:color w:val="auto"/>
                <w:kern w:val="0"/>
                <w:sz w:val="24"/>
                <w:szCs w:val="24"/>
                <w:lang w:eastAsia="zh-CN" w:bidi="ar"/>
              </w:rPr>
              <w:t xml:space="preserve">抗接触蛋白关联蛋白2(CASPR2)抗体IgG </w:t>
            </w:r>
            <w:r>
              <w:rPr>
                <w:rFonts w:hint="eastAsia" w:ascii="宋体" w:hAnsi="宋体" w:eastAsia="宋体" w:cs="宋体"/>
                <w:color w:val="auto"/>
                <w:kern w:val="0"/>
                <w:sz w:val="24"/>
                <w:szCs w:val="24"/>
                <w:lang w:eastAsia="zh-CN" w:bidi="ar"/>
              </w:rPr>
              <w:br w:type="textWrapping"/>
            </w:r>
            <w:r>
              <w:rPr>
                <w:rFonts w:hint="eastAsia" w:ascii="宋体" w:hAnsi="宋体" w:eastAsia="宋体" w:cs="宋体"/>
                <w:color w:val="auto"/>
                <w:kern w:val="0"/>
                <w:sz w:val="24"/>
                <w:szCs w:val="24"/>
                <w:lang w:eastAsia="zh-CN" w:bidi="ar"/>
              </w:rPr>
              <w:t xml:space="preserve">抗IgLON家族蛋白5(IgLON5)抗体IgG </w:t>
            </w:r>
            <w:r>
              <w:rPr>
                <w:rFonts w:hint="eastAsia" w:ascii="宋体" w:hAnsi="宋体" w:eastAsia="宋体" w:cs="宋体"/>
                <w:color w:val="auto"/>
                <w:kern w:val="0"/>
                <w:sz w:val="24"/>
                <w:szCs w:val="24"/>
                <w:lang w:eastAsia="zh-CN" w:bidi="ar"/>
              </w:rPr>
              <w:br w:type="textWrapping"/>
            </w:r>
            <w:r>
              <w:rPr>
                <w:rFonts w:hint="eastAsia" w:ascii="宋体" w:hAnsi="宋体" w:eastAsia="宋体" w:cs="宋体"/>
                <w:color w:val="auto"/>
                <w:kern w:val="0"/>
                <w:sz w:val="24"/>
                <w:szCs w:val="24"/>
                <w:lang w:eastAsia="zh-CN" w:bidi="ar"/>
              </w:rPr>
              <w:t xml:space="preserve">抗二缩氨酸相似蛋白6(DPPX)抗体IgG </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C68003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1500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76779CB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5806D7A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CBA 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28B48F7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14F63F82">
        <w:tblPrEx>
          <w:tblCellMar>
            <w:top w:w="0" w:type="dxa"/>
            <w:left w:w="108" w:type="dxa"/>
            <w:bottom w:w="0" w:type="dxa"/>
            <w:right w:w="108" w:type="dxa"/>
          </w:tblCellMar>
        </w:tblPrEx>
        <w:trPr>
          <w:trHeight w:val="1140"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15CDA34B">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53</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26C3CBDB">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color w:val="auto"/>
                <w:kern w:val="0"/>
                <w:sz w:val="24"/>
                <w:szCs w:val="24"/>
                <w:lang w:eastAsia="zh-CN" w:bidi="ar"/>
              </w:rPr>
              <w:t>中枢神经系统脱髓鞘三项：</w:t>
            </w:r>
            <w:r>
              <w:rPr>
                <w:rFonts w:hint="eastAsia" w:ascii="宋体" w:hAnsi="宋体" w:eastAsia="宋体" w:cs="宋体"/>
                <w:color w:val="auto"/>
                <w:kern w:val="0"/>
                <w:sz w:val="24"/>
                <w:szCs w:val="24"/>
                <w:lang w:eastAsia="zh-CN" w:bidi="ar"/>
              </w:rPr>
              <w:br w:type="textWrapping"/>
            </w:r>
            <w:r>
              <w:rPr>
                <w:rFonts w:hint="eastAsia" w:ascii="宋体" w:hAnsi="宋体" w:eastAsia="宋体" w:cs="宋体"/>
                <w:color w:val="auto"/>
                <w:kern w:val="0"/>
                <w:sz w:val="24"/>
                <w:szCs w:val="24"/>
                <w:lang w:eastAsia="zh-CN" w:bidi="ar"/>
              </w:rPr>
              <w:t xml:space="preserve">抗水通道蛋白4(AQP4)抗体 </w:t>
            </w:r>
            <w:r>
              <w:rPr>
                <w:rFonts w:hint="eastAsia" w:ascii="宋体" w:hAnsi="宋体" w:eastAsia="宋体" w:cs="宋体"/>
                <w:color w:val="auto"/>
                <w:kern w:val="0"/>
                <w:sz w:val="24"/>
                <w:szCs w:val="24"/>
                <w:lang w:eastAsia="zh-CN" w:bidi="ar"/>
              </w:rPr>
              <w:br w:type="textWrapping"/>
            </w:r>
            <w:r>
              <w:rPr>
                <w:rFonts w:hint="eastAsia" w:ascii="宋体" w:hAnsi="宋体" w:eastAsia="宋体" w:cs="宋体"/>
                <w:color w:val="auto"/>
                <w:kern w:val="0"/>
                <w:sz w:val="24"/>
                <w:szCs w:val="24"/>
                <w:lang w:eastAsia="zh-CN" w:bidi="ar"/>
              </w:rPr>
              <w:t xml:space="preserve">抗髓鞘少突胶质细胞糖蛋白抗体(MOG) </w:t>
            </w:r>
            <w:r>
              <w:rPr>
                <w:rFonts w:hint="eastAsia" w:ascii="宋体" w:hAnsi="宋体" w:eastAsia="宋体" w:cs="宋体"/>
                <w:color w:val="auto"/>
                <w:kern w:val="0"/>
                <w:sz w:val="24"/>
                <w:szCs w:val="24"/>
                <w:lang w:eastAsia="zh-CN" w:bidi="ar"/>
              </w:rPr>
              <w:br w:type="textWrapping"/>
            </w:r>
            <w:r>
              <w:rPr>
                <w:rFonts w:hint="eastAsia" w:ascii="宋体" w:hAnsi="宋体" w:eastAsia="宋体" w:cs="宋体"/>
                <w:color w:val="auto"/>
                <w:kern w:val="0"/>
                <w:sz w:val="24"/>
                <w:szCs w:val="24"/>
                <w:lang w:eastAsia="zh-CN" w:bidi="ar"/>
              </w:rPr>
              <w:t xml:space="preserve">抗髓鞘碱性蛋白抗体(MBP) </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90A182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1000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49B93D2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0CCCFF0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CBA 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2B10877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627C90B1">
        <w:tblPrEx>
          <w:tblCellMar>
            <w:top w:w="0" w:type="dxa"/>
            <w:left w:w="108" w:type="dxa"/>
            <w:bottom w:w="0" w:type="dxa"/>
            <w:right w:w="108" w:type="dxa"/>
          </w:tblCellMar>
        </w:tblPrEx>
        <w:trPr>
          <w:trHeight w:val="285"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67060ACA">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54</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73F74EBF">
            <w:pPr>
              <w:spacing w:line="360" w:lineRule="auto"/>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寄生虫常用抗体七项</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50D7E90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130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177ECC6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4BBF189C">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酶联免疫法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622C63A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20BCDA32">
        <w:tblPrEx>
          <w:tblCellMar>
            <w:top w:w="0" w:type="dxa"/>
            <w:left w:w="108" w:type="dxa"/>
            <w:bottom w:w="0" w:type="dxa"/>
            <w:right w:w="108" w:type="dxa"/>
          </w:tblCellMar>
        </w:tblPrEx>
        <w:trPr>
          <w:trHeight w:val="600"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06FCBCB4">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55</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73B7A219">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color w:val="auto"/>
                <w:kern w:val="0"/>
                <w:sz w:val="24"/>
                <w:szCs w:val="24"/>
                <w:lang w:eastAsia="zh-CN" w:bidi="ar"/>
              </w:rPr>
              <w:t>曲霉菌半乳甘露聚糖检测（GM试验）</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50EF004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160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0218358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1569770F">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酶联免疫法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29FB2F2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0A5CA254">
        <w:tblPrEx>
          <w:tblCellMar>
            <w:top w:w="0" w:type="dxa"/>
            <w:left w:w="108" w:type="dxa"/>
            <w:bottom w:w="0" w:type="dxa"/>
            <w:right w:w="108" w:type="dxa"/>
          </w:tblCellMar>
        </w:tblPrEx>
        <w:trPr>
          <w:trHeight w:val="540"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685061A9">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56</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7937ED42">
            <w:pPr>
              <w:spacing w:line="360" w:lineRule="auto"/>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烟曲霉sIgE、sIgG</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44ACC1D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270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54D8F05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673BD6C4">
            <w:pPr>
              <w:spacing w:line="360" w:lineRule="auto"/>
              <w:jc w:val="center"/>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化学发光法+酶联免疫法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6E9ECD9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7FB45F0A">
        <w:tblPrEx>
          <w:tblCellMar>
            <w:top w:w="0" w:type="dxa"/>
            <w:left w:w="108" w:type="dxa"/>
            <w:bottom w:w="0" w:type="dxa"/>
            <w:right w:w="108" w:type="dxa"/>
          </w:tblCellMar>
        </w:tblPrEx>
        <w:trPr>
          <w:trHeight w:val="285"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5DBBDA00">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57</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6BACB1F1">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color w:val="auto"/>
                <w:kern w:val="0"/>
                <w:sz w:val="24"/>
                <w:szCs w:val="24"/>
                <w:lang w:eastAsia="zh-CN" w:bidi="ar"/>
              </w:rPr>
              <w:t>可溶性白细胞介素2受体（sCD25）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4FEA6DD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600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5CF3039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538D3FC8">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6C9CEB4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5922CBAF">
        <w:tblPrEx>
          <w:tblCellMar>
            <w:top w:w="0" w:type="dxa"/>
            <w:left w:w="108" w:type="dxa"/>
            <w:bottom w:w="0" w:type="dxa"/>
            <w:right w:w="108" w:type="dxa"/>
          </w:tblCellMar>
        </w:tblPrEx>
        <w:trPr>
          <w:trHeight w:val="285"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7F11C0E6">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58</w:t>
            </w:r>
          </w:p>
        </w:tc>
        <w:tc>
          <w:tcPr>
            <w:tcW w:w="3681" w:type="dxa"/>
            <w:tcBorders>
              <w:top w:val="single" w:color="000000" w:sz="4" w:space="0"/>
              <w:left w:val="single" w:color="000000" w:sz="4" w:space="0"/>
              <w:bottom w:val="single" w:color="000000" w:sz="4" w:space="0"/>
              <w:right w:val="single" w:color="000000" w:sz="4" w:space="0"/>
            </w:tcBorders>
            <w:noWrap/>
            <w:vAlign w:val="center"/>
          </w:tcPr>
          <w:p w14:paraId="34091535">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肠道菌群宏基因组检测</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0A4F68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1200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0D107AD6">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0486CB3E">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高通量测序</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71A00DE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414BB268">
        <w:tblPrEx>
          <w:tblCellMar>
            <w:top w:w="0" w:type="dxa"/>
            <w:left w:w="108" w:type="dxa"/>
            <w:bottom w:w="0" w:type="dxa"/>
            <w:right w:w="108" w:type="dxa"/>
          </w:tblCellMar>
        </w:tblPrEx>
        <w:trPr>
          <w:trHeight w:val="285"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7FF2E09C">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59</w:t>
            </w:r>
          </w:p>
        </w:tc>
        <w:tc>
          <w:tcPr>
            <w:tcW w:w="3681" w:type="dxa"/>
            <w:tcBorders>
              <w:top w:val="single" w:color="000000" w:sz="4" w:space="0"/>
              <w:left w:val="single" w:color="000000" w:sz="4" w:space="0"/>
              <w:bottom w:val="single" w:color="000000" w:sz="4" w:space="0"/>
              <w:right w:val="single" w:color="000000" w:sz="4" w:space="0"/>
            </w:tcBorders>
            <w:noWrap/>
            <w:vAlign w:val="center"/>
          </w:tcPr>
          <w:p w14:paraId="23867802">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血脂肪酶</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6C1FFBE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6607BA8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1B0511A7">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酶法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5113511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796BE2C1">
        <w:tblPrEx>
          <w:tblCellMar>
            <w:top w:w="0" w:type="dxa"/>
            <w:left w:w="108" w:type="dxa"/>
            <w:bottom w:w="0" w:type="dxa"/>
            <w:right w:w="108" w:type="dxa"/>
          </w:tblCellMar>
        </w:tblPrEx>
        <w:trPr>
          <w:trHeight w:val="720"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2E1E59BD">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60</w:t>
            </w:r>
          </w:p>
        </w:tc>
        <w:tc>
          <w:tcPr>
            <w:tcW w:w="3681" w:type="dxa"/>
            <w:tcBorders>
              <w:top w:val="single" w:color="000000" w:sz="4" w:space="0"/>
              <w:left w:val="single" w:color="000000" w:sz="4" w:space="0"/>
              <w:bottom w:val="single" w:color="000000" w:sz="4" w:space="0"/>
              <w:right w:val="single" w:color="000000" w:sz="4" w:space="0"/>
            </w:tcBorders>
            <w:noWrap/>
            <w:vAlign w:val="center"/>
          </w:tcPr>
          <w:p w14:paraId="53369928">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粪便艰难梭菌抗原GDH及毒素A和B</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6BCB1A2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320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6B7C976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738D6522">
            <w:pPr>
              <w:spacing w:line="360" w:lineRule="auto"/>
              <w:jc w:val="center"/>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免疫层析法+酶联、免疫分析法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38D80AA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1D5F879E">
        <w:tblPrEx>
          <w:tblCellMar>
            <w:top w:w="0" w:type="dxa"/>
            <w:left w:w="108" w:type="dxa"/>
            <w:bottom w:w="0" w:type="dxa"/>
            <w:right w:w="108" w:type="dxa"/>
          </w:tblCellMar>
        </w:tblPrEx>
        <w:trPr>
          <w:trHeight w:val="425"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0885F410">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61</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62E2592">
            <w:pPr>
              <w:spacing w:line="360" w:lineRule="auto"/>
              <w:textAlignment w:val="center"/>
              <w:rPr>
                <w:rFonts w:hint="eastAsia" w:ascii="宋体" w:hAnsi="宋体" w:eastAsia="宋体" w:cs="宋体"/>
                <w:color w:val="auto"/>
                <w:sz w:val="22"/>
              </w:rPr>
            </w:pPr>
            <w:r>
              <w:rPr>
                <w:rStyle w:val="12"/>
                <w:rFonts w:hint="default"/>
                <w:color w:val="auto"/>
                <w:sz w:val="22"/>
                <w:szCs w:val="22"/>
                <w:lang w:eastAsia="zh-CN" w:bidi="ar"/>
              </w:rPr>
              <w:t>非标准磷脂抗体检测:</w:t>
            </w:r>
            <w:r>
              <w:rPr>
                <w:rStyle w:val="12"/>
                <w:rFonts w:hint="default"/>
                <w:color w:val="auto"/>
                <w:sz w:val="22"/>
                <w:szCs w:val="22"/>
                <w:lang w:eastAsia="zh-CN" w:bidi="ar"/>
              </w:rPr>
              <w:br w:type="textWrapping"/>
            </w:r>
            <w:r>
              <w:rPr>
                <w:rStyle w:val="12"/>
                <w:rFonts w:hint="default"/>
                <w:color w:val="auto"/>
                <w:sz w:val="22"/>
                <w:szCs w:val="22"/>
                <w:lang w:eastAsia="zh-CN" w:bidi="ar"/>
              </w:rPr>
              <w:t>1、抗波形蛋白抗体</w:t>
            </w:r>
            <w:r>
              <w:rPr>
                <w:rStyle w:val="12"/>
                <w:rFonts w:hint="default"/>
                <w:color w:val="auto"/>
                <w:sz w:val="22"/>
                <w:szCs w:val="22"/>
                <w:lang w:eastAsia="zh-CN" w:bidi="ar"/>
              </w:rPr>
              <w:br w:type="textWrapping"/>
            </w:r>
            <w:r>
              <w:rPr>
                <w:rStyle w:val="12"/>
                <w:rFonts w:hint="default"/>
                <w:color w:val="auto"/>
                <w:sz w:val="22"/>
                <w:szCs w:val="22"/>
                <w:lang w:eastAsia="zh-CN" w:bidi="ar"/>
              </w:rPr>
              <w:t>2、抗蛋白S抗体</w:t>
            </w:r>
            <w:r>
              <w:rPr>
                <w:rStyle w:val="12"/>
                <w:rFonts w:hint="default"/>
                <w:color w:val="auto"/>
                <w:sz w:val="22"/>
                <w:szCs w:val="22"/>
                <w:lang w:eastAsia="zh-CN" w:bidi="ar"/>
              </w:rPr>
              <w:br w:type="textWrapping"/>
            </w:r>
            <w:r>
              <w:rPr>
                <w:rStyle w:val="12"/>
                <w:rFonts w:hint="default"/>
                <w:color w:val="auto"/>
                <w:sz w:val="22"/>
                <w:szCs w:val="22"/>
                <w:lang w:eastAsia="zh-CN" w:bidi="ar"/>
              </w:rPr>
              <w:t>3、抗</w:t>
            </w:r>
            <w:r>
              <w:rPr>
                <w:rStyle w:val="13"/>
                <w:rFonts w:hint="default" w:ascii="宋体" w:hAnsi="宋体" w:eastAsia="宋体" w:cs="宋体"/>
                <w:color w:val="auto"/>
                <w:lang w:eastAsia="zh-CN" w:bidi="ar"/>
              </w:rPr>
              <w:t>β</w:t>
            </w:r>
            <w:r>
              <w:rPr>
                <w:rStyle w:val="12"/>
                <w:rFonts w:hint="default"/>
                <w:color w:val="auto"/>
                <w:sz w:val="22"/>
                <w:szCs w:val="22"/>
                <w:lang w:eastAsia="zh-CN" w:bidi="ar"/>
              </w:rPr>
              <w:t>2糖蛋白I结构域1抗体</w:t>
            </w:r>
            <w:r>
              <w:rPr>
                <w:rStyle w:val="12"/>
                <w:rFonts w:hint="default"/>
                <w:color w:val="auto"/>
                <w:sz w:val="22"/>
                <w:szCs w:val="22"/>
                <w:lang w:eastAsia="zh-CN" w:bidi="ar"/>
              </w:rPr>
              <w:br w:type="textWrapping"/>
            </w:r>
            <w:r>
              <w:rPr>
                <w:rStyle w:val="12"/>
                <w:rFonts w:hint="default"/>
                <w:color w:val="auto"/>
                <w:sz w:val="22"/>
                <w:szCs w:val="22"/>
                <w:lang w:eastAsia="zh-CN" w:bidi="ar"/>
              </w:rPr>
              <w:t>4、抗磷酯酰丝氨酸抗体IgM/IgG</w:t>
            </w:r>
            <w:r>
              <w:rPr>
                <w:rStyle w:val="12"/>
                <w:rFonts w:hint="default"/>
                <w:color w:val="auto"/>
                <w:sz w:val="22"/>
                <w:szCs w:val="22"/>
                <w:lang w:eastAsia="zh-CN" w:bidi="ar"/>
              </w:rPr>
              <w:br w:type="textWrapping"/>
            </w:r>
            <w:r>
              <w:rPr>
                <w:rStyle w:val="12"/>
                <w:rFonts w:hint="default"/>
                <w:color w:val="auto"/>
                <w:sz w:val="22"/>
                <w:szCs w:val="22"/>
                <w:lang w:eastAsia="zh-CN" w:bidi="ar"/>
              </w:rPr>
              <w:t>5、抗凝血素抗体IgM/IgG</w:t>
            </w:r>
            <w:r>
              <w:rPr>
                <w:rStyle w:val="12"/>
                <w:rFonts w:hint="default"/>
                <w:color w:val="auto"/>
                <w:sz w:val="22"/>
                <w:szCs w:val="22"/>
                <w:lang w:eastAsia="zh-CN" w:bidi="ar"/>
              </w:rPr>
              <w:br w:type="textWrapping"/>
            </w:r>
            <w:r>
              <w:rPr>
                <w:rStyle w:val="12"/>
                <w:rFonts w:hint="default"/>
                <w:color w:val="auto"/>
                <w:sz w:val="22"/>
                <w:szCs w:val="22"/>
                <w:lang w:eastAsia="zh-CN" w:bidi="ar"/>
              </w:rPr>
              <w:t>6、抗鞘磷脂抗体IgM/IgG</w:t>
            </w:r>
            <w:r>
              <w:rPr>
                <w:rStyle w:val="12"/>
                <w:rFonts w:hint="default"/>
                <w:color w:val="auto"/>
                <w:sz w:val="22"/>
                <w:szCs w:val="22"/>
                <w:lang w:eastAsia="zh-CN" w:bidi="ar"/>
              </w:rPr>
              <w:br w:type="textWrapping"/>
            </w:r>
            <w:r>
              <w:rPr>
                <w:rStyle w:val="12"/>
                <w:rFonts w:hint="default"/>
                <w:color w:val="auto"/>
                <w:sz w:val="22"/>
                <w:szCs w:val="22"/>
                <w:lang w:eastAsia="zh-CN" w:bidi="ar"/>
              </w:rPr>
              <w:t>7、抗磷酯酰丝氨酸/凝血素抗体IgM/IgG</w:t>
            </w:r>
            <w:r>
              <w:rPr>
                <w:rStyle w:val="12"/>
                <w:rFonts w:hint="default"/>
                <w:color w:val="auto"/>
                <w:sz w:val="22"/>
                <w:szCs w:val="22"/>
                <w:lang w:eastAsia="zh-CN" w:bidi="ar"/>
              </w:rPr>
              <w:br w:type="textWrapping"/>
            </w:r>
            <w:r>
              <w:rPr>
                <w:rStyle w:val="12"/>
                <w:rFonts w:hint="default"/>
                <w:color w:val="auto"/>
                <w:sz w:val="22"/>
                <w:szCs w:val="22"/>
                <w:lang w:eastAsia="zh-CN" w:bidi="ar"/>
              </w:rPr>
              <w:t>8、抗磷脂酰肌醇抗体IgM/IgG</w:t>
            </w:r>
            <w:r>
              <w:rPr>
                <w:rStyle w:val="12"/>
                <w:rFonts w:hint="default"/>
                <w:color w:val="auto"/>
                <w:sz w:val="22"/>
                <w:szCs w:val="22"/>
                <w:lang w:eastAsia="zh-CN" w:bidi="ar"/>
              </w:rPr>
              <w:br w:type="textWrapping"/>
            </w:r>
            <w:r>
              <w:rPr>
                <w:rStyle w:val="12"/>
                <w:rFonts w:hint="default"/>
                <w:color w:val="auto"/>
                <w:sz w:val="22"/>
                <w:szCs w:val="22"/>
                <w:lang w:eastAsia="zh-CN" w:bidi="ar"/>
              </w:rPr>
              <w:t>9、抗膜联蛋白A2抗体</w:t>
            </w:r>
            <w:r>
              <w:rPr>
                <w:rStyle w:val="12"/>
                <w:rFonts w:hint="default"/>
                <w:color w:val="auto"/>
                <w:sz w:val="22"/>
                <w:szCs w:val="22"/>
                <w:lang w:eastAsia="zh-CN" w:bidi="ar"/>
              </w:rPr>
              <w:br w:type="textWrapping"/>
            </w:r>
            <w:r>
              <w:rPr>
                <w:rStyle w:val="12"/>
                <w:rFonts w:hint="default"/>
                <w:color w:val="auto"/>
                <w:sz w:val="22"/>
                <w:szCs w:val="22"/>
                <w:lang w:eastAsia="zh-CN" w:bidi="ar"/>
              </w:rPr>
              <w:t>10、抗磷脂抗体1gM/IgG</w:t>
            </w:r>
            <w:r>
              <w:rPr>
                <w:rStyle w:val="12"/>
                <w:rFonts w:hint="default"/>
                <w:color w:val="auto"/>
                <w:sz w:val="22"/>
                <w:szCs w:val="22"/>
                <w:lang w:eastAsia="zh-CN" w:bidi="ar"/>
              </w:rPr>
              <w:br w:type="textWrapping"/>
            </w:r>
            <w:r>
              <w:rPr>
                <w:rStyle w:val="12"/>
                <w:rFonts w:hint="default"/>
                <w:color w:val="auto"/>
                <w:sz w:val="22"/>
                <w:szCs w:val="22"/>
                <w:lang w:eastAsia="zh-CN" w:bidi="ar"/>
              </w:rPr>
              <w:t>11、抗膜联蛋白A5抗体IgM/IgG</w:t>
            </w:r>
            <w:r>
              <w:rPr>
                <w:rStyle w:val="12"/>
                <w:rFonts w:hint="default"/>
                <w:color w:val="auto"/>
                <w:sz w:val="22"/>
                <w:szCs w:val="22"/>
                <w:lang w:eastAsia="zh-CN" w:bidi="ar"/>
              </w:rPr>
              <w:br w:type="textWrapping"/>
            </w:r>
            <w:r>
              <w:rPr>
                <w:rStyle w:val="12"/>
                <w:rFonts w:hint="default"/>
                <w:color w:val="auto"/>
                <w:sz w:val="22"/>
                <w:szCs w:val="22"/>
                <w:lang w:eastAsia="zh-CN" w:bidi="ar"/>
              </w:rPr>
              <w:t>12、抗磷脂酸抗体IgM/IgG</w:t>
            </w:r>
            <w:r>
              <w:rPr>
                <w:rStyle w:val="12"/>
                <w:rFonts w:hint="default"/>
                <w:color w:val="auto"/>
                <w:sz w:val="22"/>
                <w:szCs w:val="22"/>
                <w:lang w:eastAsia="zh-CN" w:bidi="ar"/>
              </w:rPr>
              <w:br w:type="textWrapping"/>
            </w:r>
            <w:r>
              <w:rPr>
                <w:rStyle w:val="12"/>
                <w:rFonts w:hint="default"/>
                <w:color w:val="auto"/>
                <w:sz w:val="22"/>
                <w:szCs w:val="22"/>
                <w:lang w:eastAsia="zh-CN" w:bidi="ar"/>
              </w:rPr>
              <w:t>13、抗磷脂酰乙醇胺抗体IgM/IgG</w:t>
            </w:r>
            <w:r>
              <w:rPr>
                <w:rStyle w:val="12"/>
                <w:rFonts w:hint="default"/>
                <w:color w:val="auto"/>
                <w:sz w:val="22"/>
                <w:szCs w:val="22"/>
                <w:lang w:eastAsia="zh-CN" w:bidi="ar"/>
              </w:rPr>
              <w:br w:type="textWrapping"/>
            </w:r>
            <w:r>
              <w:rPr>
                <w:rStyle w:val="12"/>
                <w:rFonts w:hint="default"/>
                <w:color w:val="auto"/>
                <w:sz w:val="22"/>
                <w:szCs w:val="22"/>
                <w:lang w:eastAsia="zh-CN" w:bidi="ar"/>
              </w:rPr>
              <w:t>14、抗磷脂酰胆碱抗体IgM/IgG</w:t>
            </w:r>
            <w:r>
              <w:rPr>
                <w:rStyle w:val="12"/>
                <w:rFonts w:hint="default"/>
                <w:color w:val="auto"/>
                <w:sz w:val="22"/>
                <w:szCs w:val="22"/>
                <w:lang w:eastAsia="zh-CN" w:bidi="ar"/>
              </w:rPr>
              <w:br w:type="textWrapping"/>
            </w:r>
            <w:r>
              <w:rPr>
                <w:rStyle w:val="12"/>
                <w:rFonts w:hint="default"/>
                <w:color w:val="auto"/>
                <w:sz w:val="22"/>
                <w:szCs w:val="22"/>
                <w:lang w:eastAsia="zh-CN" w:bidi="ar"/>
              </w:rPr>
              <w:t>15、抗蛋白C抗体</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66ED4EC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3200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781AD62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4</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35BCE69E">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44818258">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3015EDC7">
        <w:tblPrEx>
          <w:tblCellMar>
            <w:top w:w="0" w:type="dxa"/>
            <w:left w:w="108" w:type="dxa"/>
            <w:bottom w:w="0" w:type="dxa"/>
            <w:right w:w="108" w:type="dxa"/>
          </w:tblCellMar>
        </w:tblPrEx>
        <w:trPr>
          <w:trHeight w:val="570"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4D2E5527">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62</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03D91EE4">
            <w:pPr>
              <w:spacing w:line="360" w:lineRule="auto"/>
              <w:textAlignment w:val="center"/>
              <w:rPr>
                <w:rFonts w:hint="eastAsia" w:ascii="宋体" w:hAnsi="宋体" w:eastAsia="宋体" w:cs="宋体"/>
                <w:color w:val="auto"/>
                <w:sz w:val="20"/>
                <w:szCs w:val="20"/>
              </w:rPr>
            </w:pPr>
            <w:r>
              <w:rPr>
                <w:rFonts w:hint="eastAsia" w:ascii="宋体" w:hAnsi="宋体" w:eastAsia="宋体" w:cs="宋体"/>
                <w:color w:val="auto"/>
                <w:kern w:val="0"/>
                <w:sz w:val="20"/>
                <w:szCs w:val="20"/>
                <w:lang w:eastAsia="zh-CN" w:bidi="ar"/>
              </w:rPr>
              <w:t>抗平滑肌抗体（ASMA）</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50A83A1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07BD59E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1387BBC7">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间接免疫荧光法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4DB51AA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5A54D0F4">
        <w:tblPrEx>
          <w:tblCellMar>
            <w:top w:w="0" w:type="dxa"/>
            <w:left w:w="108" w:type="dxa"/>
            <w:bottom w:w="0" w:type="dxa"/>
            <w:right w:w="108" w:type="dxa"/>
          </w:tblCellMar>
        </w:tblPrEx>
        <w:trPr>
          <w:trHeight w:val="1620"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3B7B3FC5">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63</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4A1D3F4B">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自身免疫性肝病抗体四项：</w:t>
            </w:r>
            <w:r>
              <w:rPr>
                <w:rFonts w:hint="eastAsia" w:ascii="宋体" w:hAnsi="宋体" w:eastAsia="宋体" w:cs="宋体"/>
                <w:color w:val="auto"/>
                <w:kern w:val="0"/>
                <w:sz w:val="22"/>
                <w:lang w:eastAsia="zh-CN" w:bidi="ar"/>
              </w:rPr>
              <w:br w:type="textWrapping"/>
            </w:r>
            <w:r>
              <w:rPr>
                <w:rFonts w:hint="eastAsia" w:ascii="宋体" w:hAnsi="宋体" w:eastAsia="宋体" w:cs="宋体"/>
                <w:color w:val="auto"/>
                <w:kern w:val="0"/>
                <w:sz w:val="22"/>
                <w:lang w:eastAsia="zh-CN" w:bidi="ar"/>
              </w:rPr>
              <w:t>1.1抗可溶性肝抗原/肝胰抗原(SLA/LP)</w:t>
            </w:r>
            <w:r>
              <w:rPr>
                <w:rFonts w:hint="eastAsia" w:ascii="宋体" w:hAnsi="宋体" w:eastAsia="宋体" w:cs="宋体"/>
                <w:color w:val="auto"/>
                <w:kern w:val="0"/>
                <w:sz w:val="22"/>
                <w:lang w:eastAsia="zh-CN" w:bidi="ar"/>
              </w:rPr>
              <w:br w:type="textWrapping"/>
            </w:r>
            <w:r>
              <w:rPr>
                <w:rFonts w:hint="eastAsia" w:ascii="宋体" w:hAnsi="宋体" w:eastAsia="宋体" w:cs="宋体"/>
                <w:color w:val="auto"/>
                <w:kern w:val="0"/>
                <w:sz w:val="22"/>
                <w:lang w:eastAsia="zh-CN" w:bidi="ar"/>
              </w:rPr>
              <w:t>抗体</w:t>
            </w:r>
            <w:r>
              <w:rPr>
                <w:rFonts w:hint="eastAsia" w:ascii="宋体" w:hAnsi="宋体" w:eastAsia="宋体" w:cs="宋体"/>
                <w:color w:val="auto"/>
                <w:kern w:val="0"/>
                <w:sz w:val="22"/>
                <w:lang w:eastAsia="zh-CN" w:bidi="ar"/>
              </w:rPr>
              <w:br w:type="textWrapping"/>
            </w:r>
            <w:r>
              <w:rPr>
                <w:rFonts w:hint="eastAsia" w:ascii="宋体" w:hAnsi="宋体" w:eastAsia="宋体" w:cs="宋体"/>
                <w:color w:val="auto"/>
                <w:kern w:val="0"/>
                <w:sz w:val="22"/>
                <w:lang w:eastAsia="zh-CN" w:bidi="ar"/>
              </w:rPr>
              <w:t>1.2抗肝肾微粒体1型（LKM-1）抗体</w:t>
            </w:r>
            <w:r>
              <w:rPr>
                <w:rFonts w:hint="eastAsia" w:ascii="宋体" w:hAnsi="宋体" w:eastAsia="宋体" w:cs="宋体"/>
                <w:color w:val="auto"/>
                <w:kern w:val="0"/>
                <w:sz w:val="22"/>
                <w:lang w:eastAsia="zh-CN" w:bidi="ar"/>
              </w:rPr>
              <w:br w:type="textWrapping"/>
            </w:r>
            <w:r>
              <w:rPr>
                <w:rFonts w:hint="eastAsia" w:ascii="宋体" w:hAnsi="宋体" w:eastAsia="宋体" w:cs="宋体"/>
                <w:color w:val="auto"/>
                <w:kern w:val="0"/>
                <w:sz w:val="22"/>
                <w:lang w:eastAsia="zh-CN" w:bidi="ar"/>
              </w:rPr>
              <w:t>1.3抗肝细胞溶质1型（LC-1）抗体</w:t>
            </w:r>
            <w:r>
              <w:rPr>
                <w:rFonts w:hint="eastAsia" w:ascii="宋体" w:hAnsi="宋体" w:eastAsia="宋体" w:cs="宋体"/>
                <w:color w:val="auto"/>
                <w:kern w:val="0"/>
                <w:sz w:val="22"/>
                <w:lang w:eastAsia="zh-CN" w:bidi="ar"/>
              </w:rPr>
              <w:br w:type="textWrapping"/>
            </w:r>
            <w:r>
              <w:rPr>
                <w:rFonts w:hint="eastAsia" w:ascii="宋体" w:hAnsi="宋体" w:eastAsia="宋体" w:cs="宋体"/>
                <w:color w:val="auto"/>
                <w:kern w:val="0"/>
                <w:sz w:val="22"/>
                <w:lang w:eastAsia="zh-CN" w:bidi="ar"/>
              </w:rPr>
              <w:t>1.4抗线粒体M2抗体(AMA-M2)</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49B33CB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200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1ED5976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27289BBF">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化学发光法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2B86163A">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59310EE4">
        <w:tblPrEx>
          <w:tblCellMar>
            <w:top w:w="0" w:type="dxa"/>
            <w:left w:w="108" w:type="dxa"/>
            <w:bottom w:w="0" w:type="dxa"/>
            <w:right w:w="108" w:type="dxa"/>
          </w:tblCellMar>
        </w:tblPrEx>
        <w:trPr>
          <w:trHeight w:val="1350"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73540661">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64</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58668FF0">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抗核抗体(ANA)</w:t>
            </w:r>
            <w:r>
              <w:rPr>
                <w:rFonts w:hint="eastAsia" w:ascii="宋体" w:hAnsi="宋体" w:eastAsia="宋体" w:cs="宋体"/>
                <w:color w:val="auto"/>
                <w:kern w:val="0"/>
                <w:sz w:val="22"/>
                <w:lang w:eastAsia="zh-CN" w:bidi="ar"/>
              </w:rPr>
              <w:br w:type="textWrapping"/>
            </w:r>
            <w:r>
              <w:rPr>
                <w:rFonts w:hint="eastAsia" w:ascii="宋体" w:hAnsi="宋体" w:eastAsia="宋体" w:cs="宋体"/>
                <w:color w:val="auto"/>
                <w:kern w:val="0"/>
                <w:sz w:val="22"/>
                <w:lang w:eastAsia="zh-CN" w:bidi="ar"/>
              </w:rPr>
              <w:t xml:space="preserve">1.1抗核抗体(ANA)总抗体 </w:t>
            </w:r>
            <w:r>
              <w:rPr>
                <w:rFonts w:hint="eastAsia" w:ascii="宋体" w:hAnsi="宋体" w:eastAsia="宋体" w:cs="宋体"/>
                <w:color w:val="auto"/>
                <w:kern w:val="0"/>
                <w:sz w:val="22"/>
                <w:lang w:eastAsia="zh-CN" w:bidi="ar"/>
              </w:rPr>
              <w:br w:type="textWrapping"/>
            </w:r>
            <w:r>
              <w:rPr>
                <w:rFonts w:hint="eastAsia" w:ascii="宋体" w:hAnsi="宋体" w:eastAsia="宋体" w:cs="宋体"/>
                <w:color w:val="auto"/>
                <w:kern w:val="0"/>
                <w:sz w:val="22"/>
                <w:lang w:eastAsia="zh-CN" w:bidi="ar"/>
              </w:rPr>
              <w:t xml:space="preserve">1.2细胞核荧光模型 </w:t>
            </w:r>
            <w:r>
              <w:rPr>
                <w:rFonts w:hint="eastAsia" w:ascii="宋体" w:hAnsi="宋体" w:eastAsia="宋体" w:cs="宋体"/>
                <w:color w:val="auto"/>
                <w:kern w:val="0"/>
                <w:sz w:val="22"/>
                <w:lang w:eastAsia="zh-CN" w:bidi="ar"/>
              </w:rPr>
              <w:br w:type="textWrapping"/>
            </w:r>
            <w:r>
              <w:rPr>
                <w:rFonts w:hint="eastAsia" w:ascii="宋体" w:hAnsi="宋体" w:eastAsia="宋体" w:cs="宋体"/>
                <w:color w:val="auto"/>
                <w:kern w:val="0"/>
                <w:sz w:val="22"/>
                <w:lang w:eastAsia="zh-CN" w:bidi="ar"/>
              </w:rPr>
              <w:t xml:space="preserve">1.3细胞浆荧光模型 </w:t>
            </w:r>
            <w:r>
              <w:rPr>
                <w:rFonts w:hint="eastAsia" w:ascii="宋体" w:hAnsi="宋体" w:eastAsia="宋体" w:cs="宋体"/>
                <w:color w:val="auto"/>
                <w:kern w:val="0"/>
                <w:sz w:val="22"/>
                <w:lang w:eastAsia="zh-CN" w:bidi="ar"/>
              </w:rPr>
              <w:br w:type="textWrapping"/>
            </w:r>
            <w:r>
              <w:rPr>
                <w:rFonts w:hint="eastAsia" w:ascii="宋体" w:hAnsi="宋体" w:eastAsia="宋体" w:cs="宋体"/>
                <w:color w:val="auto"/>
                <w:kern w:val="0"/>
                <w:sz w:val="22"/>
                <w:lang w:eastAsia="zh-CN" w:bidi="ar"/>
              </w:rPr>
              <w:t>1.4细胞有丝分裂荧光模型</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90E04B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0FC893C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23E2D607">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间接免疫荧光法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7B90CF4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5C87998D">
        <w:tblPrEx>
          <w:tblCellMar>
            <w:top w:w="0" w:type="dxa"/>
            <w:left w:w="108" w:type="dxa"/>
            <w:bottom w:w="0" w:type="dxa"/>
            <w:right w:w="108" w:type="dxa"/>
          </w:tblCellMar>
        </w:tblPrEx>
        <w:trPr>
          <w:trHeight w:val="540"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16AD8E2F">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65</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34D74E04">
            <w:pPr>
              <w:spacing w:line="360" w:lineRule="auto"/>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消化道多种病原体靶向测序（＞80种）</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401AEB33">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800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6B7A9AED">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76613517">
            <w:pPr>
              <w:spacing w:line="360" w:lineRule="auto"/>
              <w:jc w:val="center"/>
              <w:textAlignment w:val="center"/>
              <w:rPr>
                <w:rFonts w:hint="eastAsia" w:ascii="宋体" w:hAnsi="宋体" w:eastAsia="宋体" w:cs="宋体"/>
                <w:color w:val="auto"/>
                <w:sz w:val="22"/>
                <w:lang w:eastAsia="zh-CN"/>
              </w:rPr>
            </w:pPr>
            <w:r>
              <w:rPr>
                <w:rFonts w:hint="eastAsia" w:ascii="宋体" w:hAnsi="宋体" w:eastAsia="宋体" w:cs="宋体"/>
                <w:color w:val="auto"/>
                <w:kern w:val="0"/>
                <w:sz w:val="22"/>
                <w:lang w:eastAsia="zh-CN" w:bidi="ar"/>
              </w:rPr>
              <w:t>多重靶向扩增-高通量测序法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5B447CF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359F4261">
        <w:tblPrEx>
          <w:tblCellMar>
            <w:top w:w="0" w:type="dxa"/>
            <w:left w:w="108" w:type="dxa"/>
            <w:bottom w:w="0" w:type="dxa"/>
            <w:right w:w="108" w:type="dxa"/>
          </w:tblCellMar>
        </w:tblPrEx>
        <w:trPr>
          <w:trHeight w:val="285" w:hRule="atLeast"/>
          <w:jc w:val="center"/>
        </w:trPr>
        <w:tc>
          <w:tcPr>
            <w:tcW w:w="770" w:type="dxa"/>
            <w:tcBorders>
              <w:top w:val="single" w:color="000000" w:sz="4" w:space="0"/>
              <w:left w:val="single" w:color="000000" w:sz="4" w:space="0"/>
              <w:bottom w:val="single" w:color="000000" w:sz="4" w:space="0"/>
              <w:right w:val="single" w:color="000000" w:sz="4" w:space="0"/>
            </w:tcBorders>
            <w:noWrap/>
            <w:vAlign w:val="center"/>
          </w:tcPr>
          <w:p w14:paraId="5A961044">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66</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466C690">
            <w:pPr>
              <w:spacing w:line="360" w:lineRule="auto"/>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甲肝抗体</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4F8D94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10</w:t>
            </w:r>
          </w:p>
        </w:tc>
        <w:tc>
          <w:tcPr>
            <w:tcW w:w="1212" w:type="dxa"/>
            <w:tcBorders>
              <w:top w:val="single" w:color="000000" w:sz="4" w:space="0"/>
              <w:left w:val="single" w:color="000000" w:sz="4" w:space="0"/>
              <w:bottom w:val="single" w:color="000000" w:sz="4" w:space="0"/>
              <w:right w:val="single" w:color="000000" w:sz="4" w:space="0"/>
            </w:tcBorders>
            <w:noWrap/>
            <w:vAlign w:val="center"/>
          </w:tcPr>
          <w:p w14:paraId="3F4FA30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47109227">
            <w:pPr>
              <w:spacing w:line="360" w:lineRule="auto"/>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lang w:eastAsia="zh-CN" w:bidi="ar"/>
              </w:rPr>
              <w:t>免疫学方法</w:t>
            </w:r>
          </w:p>
        </w:tc>
        <w:tc>
          <w:tcPr>
            <w:tcW w:w="1128" w:type="dxa"/>
            <w:tcBorders>
              <w:top w:val="single" w:color="000000" w:sz="4" w:space="0"/>
              <w:left w:val="single" w:color="000000" w:sz="4" w:space="0"/>
              <w:bottom w:val="single" w:color="000000" w:sz="4" w:space="0"/>
              <w:right w:val="single" w:color="000000" w:sz="4" w:space="0"/>
            </w:tcBorders>
            <w:noWrap/>
            <w:vAlign w:val="center"/>
          </w:tcPr>
          <w:p w14:paraId="279B7397">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2D394852">
        <w:tblPrEx>
          <w:tblCellMar>
            <w:top w:w="0" w:type="dxa"/>
            <w:left w:w="108" w:type="dxa"/>
            <w:bottom w:w="0" w:type="dxa"/>
            <w:right w:w="108" w:type="dxa"/>
          </w:tblCellMar>
        </w:tblPrEx>
        <w:trPr>
          <w:trHeight w:val="315"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5F467881">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67</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469BB0A1">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戊肝抗体</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1370FB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50</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434611E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2F34E10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酶联免疫吸附法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16E664F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2237D2A4">
        <w:tblPrEx>
          <w:tblCellMar>
            <w:top w:w="0" w:type="dxa"/>
            <w:left w:w="108" w:type="dxa"/>
            <w:bottom w:w="0" w:type="dxa"/>
            <w:right w:w="108" w:type="dxa"/>
          </w:tblCellMar>
        </w:tblPrEx>
        <w:trPr>
          <w:trHeight w:val="27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02ACF204">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68</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16B523D5">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庚肝抗体</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CBCB8C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38</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0FA71BE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2EE05479">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酶联免疫吸附法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48F5219B">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2D334F51">
        <w:tblPrEx>
          <w:tblCellMar>
            <w:top w:w="0" w:type="dxa"/>
            <w:left w:w="108" w:type="dxa"/>
            <w:bottom w:w="0" w:type="dxa"/>
            <w:right w:w="108" w:type="dxa"/>
          </w:tblCellMar>
        </w:tblPrEx>
        <w:trPr>
          <w:trHeight w:val="420" w:hRule="atLeast"/>
          <w:jc w:val="center"/>
        </w:trPr>
        <w:tc>
          <w:tcPr>
            <w:tcW w:w="770" w:type="dxa"/>
            <w:tcBorders>
              <w:top w:val="single" w:color="000000" w:sz="4" w:space="0"/>
              <w:left w:val="single" w:color="000000" w:sz="4" w:space="0"/>
              <w:bottom w:val="single" w:color="000000" w:sz="4" w:space="0"/>
              <w:right w:val="single" w:color="000000" w:sz="4" w:space="0"/>
            </w:tcBorders>
            <w:noWrap w:val="0"/>
            <w:vAlign w:val="center"/>
          </w:tcPr>
          <w:p w14:paraId="0EBB066C">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4"/>
                <w:szCs w:val="24"/>
                <w:lang w:eastAsia="zh-CN" w:bidi="ar"/>
              </w:rPr>
              <w:t>69</w:t>
            </w:r>
          </w:p>
        </w:tc>
        <w:tc>
          <w:tcPr>
            <w:tcW w:w="3681" w:type="dxa"/>
            <w:tcBorders>
              <w:top w:val="single" w:color="000000" w:sz="4" w:space="0"/>
              <w:left w:val="single" w:color="000000" w:sz="4" w:space="0"/>
              <w:bottom w:val="single" w:color="000000" w:sz="4" w:space="0"/>
              <w:right w:val="single" w:color="000000" w:sz="4" w:space="0"/>
            </w:tcBorders>
            <w:noWrap w:val="0"/>
            <w:vAlign w:val="center"/>
          </w:tcPr>
          <w:p w14:paraId="6E88487E">
            <w:pPr>
              <w:spacing w:line="360" w:lineRule="auto"/>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丁肝抗体</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6ED058F">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48</w:t>
            </w:r>
          </w:p>
        </w:tc>
        <w:tc>
          <w:tcPr>
            <w:tcW w:w="1212" w:type="dxa"/>
            <w:tcBorders>
              <w:top w:val="single" w:color="000000" w:sz="4" w:space="0"/>
              <w:left w:val="single" w:color="000000" w:sz="4" w:space="0"/>
              <w:bottom w:val="single" w:color="000000" w:sz="4" w:space="0"/>
              <w:right w:val="single" w:color="000000" w:sz="4" w:space="0"/>
            </w:tcBorders>
            <w:noWrap w:val="0"/>
            <w:vAlign w:val="center"/>
          </w:tcPr>
          <w:p w14:paraId="72531B8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2</w:t>
            </w:r>
          </w:p>
        </w:tc>
        <w:tc>
          <w:tcPr>
            <w:tcW w:w="1565" w:type="dxa"/>
            <w:tcBorders>
              <w:top w:val="single" w:color="000000" w:sz="4" w:space="0"/>
              <w:left w:val="single" w:color="000000" w:sz="4" w:space="0"/>
              <w:bottom w:val="single" w:color="000000" w:sz="4" w:space="0"/>
              <w:right w:val="single" w:color="000000" w:sz="4" w:space="0"/>
            </w:tcBorders>
            <w:noWrap w:val="0"/>
            <w:vAlign w:val="center"/>
          </w:tcPr>
          <w:p w14:paraId="75C83E45">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酶联免疫法</w:t>
            </w:r>
          </w:p>
        </w:tc>
        <w:tc>
          <w:tcPr>
            <w:tcW w:w="1128" w:type="dxa"/>
            <w:tcBorders>
              <w:top w:val="single" w:color="000000" w:sz="4" w:space="0"/>
              <w:left w:val="single" w:color="000000" w:sz="4" w:space="0"/>
              <w:bottom w:val="single" w:color="000000" w:sz="4" w:space="0"/>
              <w:right w:val="single" w:color="000000" w:sz="4" w:space="0"/>
            </w:tcBorders>
            <w:noWrap w:val="0"/>
            <w:vAlign w:val="center"/>
          </w:tcPr>
          <w:p w14:paraId="40617932">
            <w:pPr>
              <w:spacing w:line="360" w:lineRule="auto"/>
              <w:jc w:val="center"/>
              <w:textAlignment w:val="center"/>
              <w:rPr>
                <w:rFonts w:hint="eastAsia" w:ascii="宋体" w:hAnsi="宋体" w:eastAsia="宋体" w:cs="宋体"/>
                <w:color w:val="auto"/>
                <w:sz w:val="22"/>
              </w:rPr>
            </w:pPr>
            <w:r>
              <w:rPr>
                <w:rFonts w:hint="eastAsia" w:ascii="宋体" w:hAnsi="宋体" w:eastAsia="宋体" w:cs="宋体"/>
                <w:color w:val="auto"/>
                <w:kern w:val="0"/>
                <w:sz w:val="22"/>
                <w:lang w:eastAsia="zh-CN" w:bidi="ar"/>
              </w:rPr>
              <w:t>35%</w:t>
            </w:r>
          </w:p>
        </w:tc>
      </w:tr>
      <w:tr w14:paraId="2A9EDD2A">
        <w:tblPrEx>
          <w:tblCellMar>
            <w:top w:w="0" w:type="dxa"/>
            <w:left w:w="108" w:type="dxa"/>
            <w:bottom w:w="0" w:type="dxa"/>
            <w:right w:w="108" w:type="dxa"/>
          </w:tblCellMar>
        </w:tblPrEx>
        <w:trPr>
          <w:trHeight w:val="1356" w:hRule="atLeast"/>
          <w:jc w:val="center"/>
        </w:trPr>
        <w:tc>
          <w:tcPr>
            <w:tcW w:w="9465" w:type="dxa"/>
            <w:gridSpan w:val="6"/>
            <w:tcBorders>
              <w:top w:val="single" w:color="000000" w:sz="4" w:space="0"/>
              <w:left w:val="single" w:color="000000" w:sz="4" w:space="0"/>
              <w:bottom w:val="single" w:color="000000" w:sz="4" w:space="0"/>
              <w:right w:val="single" w:color="000000" w:sz="4" w:space="0"/>
            </w:tcBorders>
            <w:noWrap/>
            <w:vAlign w:val="center"/>
          </w:tcPr>
          <w:p w14:paraId="77B8151F">
            <w:pPr>
              <w:spacing w:line="360" w:lineRule="auto"/>
              <w:textAlignment w:val="center"/>
              <w:rPr>
                <w:rFonts w:hint="eastAsia" w:ascii="宋体" w:hAnsi="宋体" w:eastAsia="宋体" w:cs="宋体"/>
                <w:color w:val="auto"/>
                <w:sz w:val="24"/>
                <w:szCs w:val="24"/>
                <w:lang w:eastAsia="zh-CN"/>
              </w:rPr>
            </w:pPr>
            <w:r>
              <w:rPr>
                <w:rFonts w:hint="eastAsia" w:ascii="宋体" w:hAnsi="宋体" w:eastAsia="宋体" w:cs="宋体"/>
                <w:color w:val="auto"/>
                <w:kern w:val="0"/>
                <w:sz w:val="22"/>
                <w:lang w:eastAsia="zh-CN" w:bidi="ar"/>
              </w:rPr>
              <w:t>备注：项目包含但不限于以上项目,如收费价格有调整，按就低不就高原则执行。</w:t>
            </w:r>
          </w:p>
        </w:tc>
      </w:tr>
    </w:tbl>
    <w:p w14:paraId="33A2202C">
      <w:pPr>
        <w:spacing w:line="560" w:lineRule="exact"/>
        <w:ind w:firstLine="640" w:firstLineChars="200"/>
        <w:jc w:val="both"/>
        <w:rPr>
          <w:rFonts w:ascii="仿宋" w:hAnsi="仿宋" w:eastAsia="仿宋" w:cs="仿宋"/>
          <w:color w:val="auto"/>
          <w:spacing w:val="5"/>
          <w:sz w:val="31"/>
          <w:szCs w:val="31"/>
          <w:lang w:eastAsia="zh-CN"/>
        </w:rPr>
      </w:pPr>
    </w:p>
    <w:p w14:paraId="3A79799F">
      <w:pPr>
        <w:widowControl w:val="0"/>
        <w:kinsoku/>
        <w:overflowPunct w:val="0"/>
        <w:spacing w:before="78" w:line="360" w:lineRule="auto"/>
        <w:ind w:firstLine="711" w:firstLineChars="300"/>
        <w:jc w:val="both"/>
        <w:outlineLvl w:val="1"/>
        <w:rPr>
          <w:rFonts w:hint="eastAsia" w:ascii="宋体" w:hAnsi="宋体" w:eastAsia="宋体" w:cs="宋体"/>
          <w:b/>
          <w:bCs/>
          <w:color w:val="auto"/>
          <w:spacing w:val="-2"/>
          <w:sz w:val="24"/>
          <w:szCs w:val="24"/>
          <w:lang w:eastAsia="zh-CN"/>
        </w:rPr>
      </w:pPr>
      <w:r>
        <w:rPr>
          <w:rFonts w:hint="eastAsia" w:ascii="宋体" w:hAnsi="宋体" w:eastAsia="宋体" w:cs="宋体"/>
          <w:b/>
          <w:bCs/>
          <w:color w:val="auto"/>
          <w:spacing w:val="-2"/>
          <w:sz w:val="24"/>
          <w:szCs w:val="24"/>
          <w:lang w:eastAsia="zh-CN"/>
        </w:rPr>
        <w:t>三、商务要求</w:t>
      </w:r>
    </w:p>
    <w:p w14:paraId="695531F1">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 xml:space="preserve">（1）履行方式、地点 </w:t>
      </w:r>
    </w:p>
    <w:p w14:paraId="24E63C36">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① 项目履行地点：赣州市妇幼保健院指定科室。 </w:t>
      </w:r>
    </w:p>
    <w:p w14:paraId="3D328F6B">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② 履行方式：采购人为供应商完成工作提供必要的条件外，其余工作由供应商自行负责。 </w:t>
      </w:r>
    </w:p>
    <w:p w14:paraId="6F1E9854">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（2）报价方式：</w:t>
      </w:r>
      <w:r>
        <w:rPr>
          <w:rFonts w:hint="eastAsia" w:ascii="宋体" w:hAnsi="宋体" w:eastAsia="宋体" w:cs="宋体"/>
          <w:color w:val="auto"/>
          <w:sz w:val="24"/>
          <w:szCs w:val="24"/>
          <w:lang w:eastAsia="zh-CN" w:bidi="ar"/>
        </w:rPr>
        <w:t xml:space="preserve">本项目采用综合折扣报价（只允许有一个折扣，不允许出现两个或多个折扣），供应商须报出分项响应单价，响应折扣须小于或等于检验外送项目一览表最高限价。（折扣率以%表示，例如：打3折，则折扣率为 30%）。 </w:t>
      </w:r>
    </w:p>
    <w:p w14:paraId="3635FB10">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（3）服务期限：</w:t>
      </w:r>
      <w:r>
        <w:rPr>
          <w:rFonts w:hint="eastAsia" w:ascii="宋体" w:hAnsi="宋体" w:eastAsia="宋体" w:cs="宋体"/>
          <w:color w:val="auto"/>
          <w:sz w:val="24"/>
          <w:szCs w:val="24"/>
          <w:lang w:eastAsia="zh-CN" w:bidi="ar"/>
        </w:rPr>
        <w:t>自签订合同之日起 2 年止或者合同期限内累计支付金额达到合同项目总金额</w:t>
      </w:r>
      <w:r>
        <w:rPr>
          <w:rFonts w:hint="eastAsia" w:ascii="宋体" w:hAnsi="宋体" w:eastAsia="宋体" w:cs="宋体"/>
          <w:color w:val="auto"/>
          <w:sz w:val="24"/>
          <w:szCs w:val="24"/>
          <w:lang w:eastAsia="zh-CN"/>
        </w:rPr>
        <w:t>（1400000元）</w:t>
      </w:r>
      <w:r>
        <w:rPr>
          <w:rFonts w:hint="eastAsia" w:ascii="宋体" w:hAnsi="宋体" w:eastAsia="宋体" w:cs="宋体"/>
          <w:color w:val="auto"/>
          <w:sz w:val="24"/>
          <w:szCs w:val="24"/>
          <w:lang w:eastAsia="zh-CN" w:bidi="ar"/>
        </w:rPr>
        <w:t>，则合同提前终止，合同到期后，若新采购项目未完成的情况下，</w:t>
      </w:r>
      <w:r>
        <w:rPr>
          <w:rFonts w:hint="eastAsia" w:ascii="宋体" w:hAnsi="宋体" w:eastAsia="宋体" w:cs="宋体"/>
          <w:color w:val="auto"/>
          <w:sz w:val="24"/>
          <w:szCs w:val="24"/>
          <w:lang w:eastAsia="zh-CN"/>
        </w:rPr>
        <w:t>双方在法规允许范围内协商签订补充协议</w:t>
      </w:r>
      <w:r>
        <w:rPr>
          <w:rFonts w:hint="eastAsia" w:ascii="宋体" w:hAnsi="宋体" w:eastAsia="宋体" w:cs="宋体"/>
          <w:color w:val="auto"/>
          <w:sz w:val="24"/>
          <w:szCs w:val="24"/>
          <w:lang w:eastAsia="zh-CN" w:bidi="ar"/>
        </w:rPr>
        <w:t>。</w:t>
      </w:r>
    </w:p>
    <w:p w14:paraId="61455881">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（4）项目检测周期：</w:t>
      </w:r>
      <w:r>
        <w:rPr>
          <w:rFonts w:hint="eastAsia" w:ascii="宋体" w:hAnsi="宋体" w:eastAsia="宋体" w:cs="宋体"/>
          <w:color w:val="auto"/>
          <w:sz w:val="24"/>
          <w:szCs w:val="24"/>
          <w:lang w:eastAsia="zh-CN" w:bidi="ar"/>
        </w:rPr>
        <w:t xml:space="preserve">自供应商接收到合格样本之日起开始计算至供应商寄送盖章版检测报告之日，具体检测周期详见项目需求一览表。样本因采集、保存、运输等原因造成无法进行检测的，项目检测周期重新计算。 </w:t>
      </w:r>
    </w:p>
    <w:p w14:paraId="1BC5ACC1">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 xml:space="preserve">（5）付款条件（进度和方式）： </w:t>
      </w:r>
    </w:p>
    <w:p w14:paraId="07137A6B">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① 采购人以实际检测项目的基准进行支付，实际支付费用计算方法如下： </w:t>
      </w:r>
    </w:p>
    <w:p w14:paraId="63F90610">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实际支付费用=实际检验诊断数量×结算单价（分项响应单价）-考核扣罚金额（若有）</w:t>
      </w:r>
      <w:r>
        <w:rPr>
          <w:rFonts w:hint="eastAsia" w:ascii="宋体" w:hAnsi="宋体" w:eastAsia="宋体" w:cs="宋体"/>
          <w:color w:val="auto"/>
          <w:sz w:val="24"/>
          <w:szCs w:val="24"/>
          <w:lang w:eastAsia="zh-CN" w:bidi="ar"/>
        </w:rPr>
        <w:t xml:space="preserve">。 </w:t>
      </w:r>
    </w:p>
    <w:p w14:paraId="4CF1F5D5">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② 每季度的第一个月10日前，供应商根据实际数量及结算单价（分项响应单价），统计上季度内收到采购方的送检单，编制季度收费结算单并提交给采购方，季度结算单需经双方人员确认签字。 </w:t>
      </w:r>
    </w:p>
    <w:p w14:paraId="75882668">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③ 每季度根据服务考核情况（见附件 1）和上述计算方式进行付费结算，季度考核结果为优秀，则该季度检测服务费按实际应付检测服务费的 100%支付；季度考核结果为良好，则该季度检测服务费按实际应付检测服务费的 98%支付；季度考核结果为差的，则该季度检测服务费按实际应付检测服务费的 95%支付。 </w:t>
      </w:r>
    </w:p>
    <w:p w14:paraId="21B75260">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④ 采购方收到正规等额发票后，每季度的第一个月内以银行转账的方式支付上个季度的检测服务费用，不计利息。 </w:t>
      </w:r>
    </w:p>
    <w:p w14:paraId="302FE921">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（6）履约保证金：</w:t>
      </w:r>
      <w:r>
        <w:rPr>
          <w:rFonts w:hint="eastAsia" w:ascii="宋体" w:hAnsi="宋体" w:eastAsia="宋体" w:cs="宋体"/>
          <w:color w:val="auto"/>
          <w:sz w:val="24"/>
          <w:szCs w:val="24"/>
          <w:lang w:eastAsia="zh-CN" w:bidi="ar"/>
        </w:rPr>
        <w:t xml:space="preserve">成交供应商按成交金额的 5%缴纳履约保证金【以现金转账、支票、汇票、本票、保函等）缴纳本项目的履约保证金】。履约保证金由采购人收取，服务期结束后，采购人确认服务无质量问题或者无赔偿事项后，履约保证金一次性无息退还。 </w:t>
      </w:r>
    </w:p>
    <w:p w14:paraId="60856F8E">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 xml:space="preserve">（7）售后服务 </w:t>
      </w:r>
    </w:p>
    <w:p w14:paraId="7498803E">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① 免费质量保证期 </w:t>
      </w:r>
    </w:p>
    <w:p w14:paraId="2C8BB18B">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1）供应商应按磋商文件规定的技术要求、质量标准向采购方提供服务。 </w:t>
      </w:r>
    </w:p>
    <w:p w14:paraId="5BA6DCFD">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2）质量保证期：供应商对检测报告结果终身负责。 </w:t>
      </w:r>
    </w:p>
    <w:p w14:paraId="1BD4BD4F">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3）供应商保证向采购方提供的有关资质材料真实有效，由此引起的责任或费用均由供应商承担。 </w:t>
      </w:r>
    </w:p>
    <w:p w14:paraId="46B72D28">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② 售后服务标准要求 </w:t>
      </w:r>
    </w:p>
    <w:p w14:paraId="1027A0E2">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需要有明确的售后服务方案、培训方案、售后服务机构、人员、协助等。协助完成实验室相关 SOP 修订，相关人员的理论和实验技能培训；为采购人提供免费检测数据共享；实验室日常相关支持；授课和科研支持：科室建设及宣传支持。 </w:t>
      </w:r>
    </w:p>
    <w:p w14:paraId="2D1086BA">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③ 售后服务效率要求 </w:t>
      </w:r>
    </w:p>
    <w:p w14:paraId="7B56CD13">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1）供应商应按照“项目需求一览表”中采购人规定的时间提交服务成果。 </w:t>
      </w:r>
    </w:p>
    <w:p w14:paraId="7C639635">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2）在履行合同过程中，如果供应商遇到不能按时提供服务的情况，应及时以书面形式将不能按时提供服务的理由、延误时间通知采购方。采购人在收到供应商通知后，应进行分析，如果同意，可通过修改合同，酌情延长服务时间。 </w:t>
      </w:r>
    </w:p>
    <w:p w14:paraId="355EF3FF">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3）如果供应商毫无理由地拖延提供服务，将受到以下制裁：没收履约保证金，加收违约损失赔偿和/或终止合同。 </w:t>
      </w:r>
    </w:p>
    <w:p w14:paraId="290EDBF6">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 xml:space="preserve">（8）验收 </w:t>
      </w:r>
    </w:p>
    <w:p w14:paraId="305C912B">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① 每季度提供检测服务后，由供货商提出验收申请，项目单位同意后，按照验收的权限，相关部门及人员形成验收小组，验收小组根据采购文件、响应文件、合同等项目文件约定内容对项目进行综合运行验收。 </w:t>
      </w:r>
    </w:p>
    <w:p w14:paraId="7B0159C0">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② 成交供应商应负责在项目验收时将全部有关技术文件、资料、验收报告等文档汇集成册交付采购人或用户。 如验收达不到规定要求，采购人有权要求拒绝付款，成交供应商若违约，采购人将依法追究相应法律责任。 </w:t>
      </w:r>
    </w:p>
    <w:p w14:paraId="054A59DD">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 xml:space="preserve">（9）违约责任 </w:t>
      </w:r>
    </w:p>
    <w:p w14:paraId="73A1BBDE">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① 供应商应保证检测程序和检测方法准确，如因检测程序或者方法等原因导致检测报告错误而产生的纠纷或由此原因给采购人造成经济损失的，由供应商承担责任。采购人承担了相应责任的，享有对供应商的追偿权。 </w:t>
      </w:r>
    </w:p>
    <w:p w14:paraId="76EB2158">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② 如果因为供应商的试剂质量、市场准入、检测方案或者分析软件导致最终的检测报告有误和试验无法完成，合同期内所检测的结果供应商承担以下责任： </w:t>
      </w:r>
    </w:p>
    <w:p w14:paraId="45111E16">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1）如因供应商原因导致检测结果迟延或无法检测，视为供应商违约，供应商承担患者及采购方所有损失； </w:t>
      </w:r>
    </w:p>
    <w:p w14:paraId="78E6DFEE">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2）如因供应商原因导致采购方面对任何索赔、指控时，供应商应承担相应法律责任，并使采购人免于承担任何责任。 </w:t>
      </w:r>
    </w:p>
    <w:p w14:paraId="73E87A4F">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③ 本项目检测结果由供应商保证，即使合同服务终止，供应商仍需对合同期内所检测的结果承担以下责任：如因供应商原因导致采购方面对任何索赔、指控时，供应商应承担相应法律责任并使采购方免于承担任何责任。 </w:t>
      </w:r>
    </w:p>
    <w:p w14:paraId="7ABFF802">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④ 采购人每月对成交供应商检验结果回报及时率进行考核，若连续二个月结果回报时间超时及延后超过 5 次，采购人有权直接终止合同。 </w:t>
      </w:r>
    </w:p>
    <w:p w14:paraId="72064DF6">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 xml:space="preserve">（10）其他 </w:t>
      </w:r>
    </w:p>
    <w:p w14:paraId="5031C5D5">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① 供应商负责提供检测技术，对送检的合格样本进行检测，提供检测报告并对检测报告结果负责； </w:t>
      </w:r>
    </w:p>
    <w:p w14:paraId="57415B32">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② 供应商应按照相关法律法规规定保存相关样本、信息资料等，并对于采购人所提供样品的相关信息负有保密责任，不得将样品的相关信息泄露给任何第三方，也不得将与样品有关的技术资料用于任何经营及开发活动； </w:t>
      </w:r>
    </w:p>
    <w:p w14:paraId="6AB3EC4C">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③ 供应商负责提供检测项目的知情同意书及检测申请单；</w:t>
      </w:r>
    </w:p>
    <w:p w14:paraId="2FAD7553">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④ 供应商应按照相关法律法规规定开展检测业务，在样本检测过程中，应当及时、准确、如实记录操作人员、仪器、试剂及检测数据等相关信息。 </w:t>
      </w:r>
    </w:p>
    <w:p w14:paraId="0CF31C5E">
      <w:pPr>
        <w:spacing w:line="360" w:lineRule="auto"/>
        <w:ind w:firstLine="480" w:firstLineChars="200"/>
        <w:rPr>
          <w:rFonts w:hint="eastAsia" w:ascii="宋体" w:hAnsi="宋体" w:eastAsia="宋体" w:cs="宋体"/>
          <w:color w:val="auto"/>
          <w:sz w:val="24"/>
          <w:szCs w:val="24"/>
          <w:lang w:eastAsia="zh-CN" w:bidi="ar"/>
        </w:rPr>
      </w:pPr>
      <w:r>
        <w:rPr>
          <w:rFonts w:hint="eastAsia" w:ascii="宋体" w:hAnsi="宋体" w:eastAsia="宋体" w:cs="宋体"/>
          <w:color w:val="auto"/>
          <w:sz w:val="24"/>
          <w:szCs w:val="24"/>
          <w:lang w:eastAsia="zh-CN" w:bidi="ar"/>
        </w:rPr>
        <w:t xml:space="preserve">⑤ 供应商对于采购人送检样本质控不合格的，应及时告知采购人。由采购人决定是否继续检测，如因未及时告知采购人造成检测结果错误的，由供应商承担相应责任。 </w:t>
      </w:r>
    </w:p>
    <w:p w14:paraId="25DED56C">
      <w:pPr>
        <w:spacing w:line="360" w:lineRule="auto"/>
        <w:ind w:firstLine="480" w:firstLineChars="200"/>
        <w:rPr>
          <w:rFonts w:hint="eastAsia" w:ascii="宋体" w:hAnsi="宋体" w:eastAsia="宋体" w:cs="宋体"/>
          <w:color w:val="auto"/>
          <w:sz w:val="24"/>
          <w:szCs w:val="24"/>
          <w:lang w:eastAsia="zh-CN" w:bidi="ar"/>
        </w:rPr>
      </w:pPr>
      <w:r>
        <w:rPr>
          <w:rFonts w:hint="eastAsia" w:ascii="宋体" w:hAnsi="宋体" w:eastAsia="宋体" w:cs="宋体"/>
          <w:color w:val="auto"/>
          <w:sz w:val="24"/>
          <w:szCs w:val="24"/>
          <w:lang w:eastAsia="zh-CN" w:bidi="ar"/>
        </w:rPr>
        <w:t>⑥ 如果响应供应商名称存在与医疗机构执业许可证名称不一致等情况，供应商应在投标文件中提供相关书面说明或者证明。</w:t>
      </w:r>
    </w:p>
    <w:p w14:paraId="64234625">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（11）考核办法：</w:t>
      </w:r>
    </w:p>
    <w:p w14:paraId="7B232DE0">
      <w:pPr>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bidi="ar"/>
        </w:rPr>
        <w:t xml:space="preserve">检验样本外送检测服务考核表（见附件1） </w:t>
      </w:r>
    </w:p>
    <w:p w14:paraId="32979EC1">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为提高和规范赣州市妇幼保健院的检验样本外送检测服务质量（以下简称检测服务），并结合实际情况，按照合同规定要求及相应的考核标准，每季度对检测服务采购项目进行检查考核打分，并依据考核得分情况核发检测服务费用。 </w:t>
      </w:r>
    </w:p>
    <w:p w14:paraId="60DE8031">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① 考核内容及标准 </w:t>
      </w:r>
    </w:p>
    <w:p w14:paraId="540B7682">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1）考核内容：业务承揽范围内的提供特殊采样耗材情况、接收标本、标本运输情况、交接情况、检测报告单发放情况、技术指标质量安全标准、售后服务响应、运输导致标本不合格等工作。 </w:t>
      </w:r>
    </w:p>
    <w:p w14:paraId="0080805D">
      <w:pPr>
        <w:spacing w:line="360" w:lineRule="auto"/>
        <w:ind w:firstLine="456" w:firstLineChars="200"/>
        <w:rPr>
          <w:rFonts w:hint="eastAsia" w:ascii="宋体" w:hAnsi="宋体" w:eastAsia="宋体" w:cs="宋体"/>
          <w:color w:val="auto"/>
          <w:sz w:val="24"/>
          <w:szCs w:val="24"/>
          <w:lang w:eastAsia="zh-CN"/>
        </w:rPr>
      </w:pPr>
      <w:r>
        <w:rPr>
          <w:rFonts w:hint="eastAsia" w:ascii="宋体" w:hAnsi="宋体" w:eastAsia="宋体" w:cs="宋体"/>
          <w:color w:val="auto"/>
          <w:spacing w:val="-6"/>
          <w:sz w:val="24"/>
          <w:szCs w:val="24"/>
          <w:lang w:eastAsia="zh-CN" w:bidi="ar"/>
        </w:rPr>
        <w:t>2）考核标准：考核采取百分制综合评分法，考核结果分三个等级：优等：90 分—100 分；良好：71—89 分；差：70 分以下（含 70 分）</w:t>
      </w:r>
    </w:p>
    <w:p w14:paraId="7645A1F0">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3）检测服务费用的考核：季度考核结果为优秀，则该季度检测服务费按实际应付检测服务费的 100%支付；季度考核结果为良好，则该季度检测服务费按实际应付检测服务费的 98%支付；季度考核结果为差的，则该季度检测服务费按实际应付检测服务费的 95%支付。 </w:t>
      </w:r>
    </w:p>
    <w:p w14:paraId="7493EE62">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4）出现下列情况之一的，解除检测服务合同： </w:t>
      </w:r>
    </w:p>
    <w:p w14:paraId="7EBE70B7">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a.连续 2 个季度考核结果为差的； </w:t>
      </w:r>
    </w:p>
    <w:p w14:paraId="50022662">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b.同一个工作质量问题 2 次未能整改或三次整改不到位的；</w:t>
      </w:r>
    </w:p>
    <w:p w14:paraId="625DE61F">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c.因工作质量问题，被新闻媒体曝光或受到上级领导批评且整改不及时、不到位的； </w:t>
      </w:r>
    </w:p>
    <w:p w14:paraId="3152A525">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d.经举报、投诉的问题未及时整改，且情节严重，问题突出的。 </w:t>
      </w:r>
    </w:p>
    <w:p w14:paraId="6FA0584F">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e.发生较重大安全事故的（除解除服务合同外，同时按有关规定进行责任追究，并给予处罚） </w:t>
      </w:r>
    </w:p>
    <w:p w14:paraId="27573B90">
      <w:pPr>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bidi="ar"/>
        </w:rPr>
        <w:t xml:space="preserve">5）考核频次：每季度考核一次并汇总。 </w:t>
      </w:r>
    </w:p>
    <w:p w14:paraId="2CD11B6E">
      <w:pPr>
        <w:spacing w:line="360" w:lineRule="auto"/>
        <w:ind w:firstLine="480" w:firstLineChars="200"/>
        <w:rPr>
          <w:rFonts w:hint="eastAsia" w:ascii="宋体" w:hAnsi="宋体" w:eastAsia="宋体" w:cs="宋体"/>
          <w:color w:val="auto"/>
          <w:sz w:val="24"/>
          <w:szCs w:val="24"/>
          <w:lang w:eastAsia="zh-CN" w:bidi="ar"/>
        </w:rPr>
        <w:sectPr>
          <w:footerReference r:id="rId4" w:type="default"/>
          <w:pgSz w:w="11906" w:h="16839"/>
          <w:pgMar w:top="1431" w:right="1472" w:bottom="400" w:left="1785" w:header="0" w:footer="992" w:gutter="0"/>
          <w:cols w:space="720" w:num="1"/>
        </w:sectPr>
      </w:pPr>
      <w:r>
        <w:rPr>
          <w:rFonts w:hint="eastAsia" w:ascii="宋体" w:hAnsi="宋体" w:eastAsia="宋体" w:cs="宋体"/>
          <w:color w:val="auto"/>
          <w:sz w:val="24"/>
          <w:szCs w:val="24"/>
          <w:lang w:eastAsia="zh-CN" w:bidi="ar"/>
        </w:rPr>
        <w:t>6）考核办法评分细则</w:t>
      </w:r>
    </w:p>
    <w:p w14:paraId="69C619C7">
      <w:pPr>
        <w:widowControl w:val="0"/>
        <w:rPr>
          <w:rFonts w:hint="eastAsia" w:ascii="宋体" w:hAnsi="宋体" w:eastAsia="宋体" w:cs="宋体"/>
          <w:bCs/>
          <w:color w:val="auto"/>
          <w:kern w:val="2"/>
          <w:sz w:val="24"/>
          <w:szCs w:val="24"/>
          <w:lang w:eastAsia="zh-CN" w:bidi="ar"/>
        </w:rPr>
      </w:pPr>
      <w:r>
        <w:rPr>
          <w:rFonts w:hint="eastAsia" w:ascii="宋体" w:hAnsi="宋体" w:eastAsia="宋体" w:cs="宋体"/>
          <w:bCs/>
          <w:color w:val="auto"/>
          <w:kern w:val="2"/>
          <w:sz w:val="24"/>
          <w:szCs w:val="24"/>
          <w:lang w:eastAsia="zh-CN" w:bidi="ar"/>
        </w:rPr>
        <w:t>附件1:</w:t>
      </w:r>
    </w:p>
    <w:p w14:paraId="10E737B3">
      <w:pPr>
        <w:widowControl w:val="0"/>
        <w:jc w:val="center"/>
        <w:rPr>
          <w:rFonts w:hint="eastAsia" w:ascii="宋体" w:hAnsi="宋体" w:eastAsia="宋体" w:cs="宋体"/>
          <w:b/>
          <w:color w:val="auto"/>
          <w:sz w:val="32"/>
          <w:szCs w:val="32"/>
          <w:lang w:eastAsia="zh-CN"/>
        </w:rPr>
      </w:pPr>
      <w:r>
        <w:rPr>
          <w:rFonts w:hint="eastAsia" w:ascii="宋体" w:hAnsi="宋体" w:eastAsia="宋体" w:cs="宋体"/>
          <w:b/>
          <w:color w:val="auto"/>
          <w:kern w:val="2"/>
          <w:sz w:val="32"/>
          <w:szCs w:val="32"/>
          <w:lang w:eastAsia="zh-CN" w:bidi="ar"/>
        </w:rPr>
        <w:t>检验样本外送检测服务考核表</w:t>
      </w:r>
    </w:p>
    <w:p w14:paraId="32D7B615">
      <w:pPr>
        <w:widowControl w:val="0"/>
        <w:jc w:val="center"/>
        <w:rPr>
          <w:rFonts w:hint="eastAsia" w:ascii="宋体" w:hAnsi="宋体" w:eastAsia="宋体" w:cs="宋体"/>
          <w:color w:val="auto"/>
          <w:sz w:val="24"/>
          <w:szCs w:val="24"/>
          <w:lang w:eastAsia="zh-CN"/>
        </w:rPr>
      </w:pPr>
    </w:p>
    <w:p w14:paraId="10BC5E53">
      <w:pPr>
        <w:widowControl w:val="0"/>
        <w:spacing w:before="10"/>
        <w:jc w:val="both"/>
        <w:rPr>
          <w:rFonts w:hint="eastAsia" w:ascii="宋体" w:hAnsi="宋体" w:eastAsia="宋体" w:cs="宋体"/>
          <w:color w:val="auto"/>
          <w:sz w:val="2"/>
          <w:szCs w:val="2"/>
          <w:lang w:eastAsia="zh-CN"/>
        </w:rPr>
      </w:pPr>
      <w:r>
        <w:rPr>
          <w:rFonts w:hint="eastAsia" w:ascii="宋体" w:hAnsi="宋体" w:eastAsia="宋体" w:cs="宋体"/>
          <w:color w:val="auto"/>
          <w:spacing w:val="-1"/>
          <w:kern w:val="2"/>
          <w:sz w:val="24"/>
          <w:szCs w:val="24"/>
          <w:lang w:eastAsia="zh-CN" w:bidi="ar"/>
        </w:rPr>
        <w:t>供应商：</w:t>
      </w:r>
      <w:r>
        <w:rPr>
          <w:rFonts w:hint="eastAsia" w:ascii="宋体" w:hAnsi="宋体" w:eastAsia="宋体" w:cs="宋体"/>
          <w:color w:val="auto"/>
          <w:spacing w:val="-1"/>
          <w:kern w:val="2"/>
          <w:sz w:val="24"/>
          <w:szCs w:val="24"/>
          <w:u w:val="single" w:color="000000"/>
          <w:lang w:eastAsia="zh-CN" w:bidi="ar"/>
        </w:rPr>
        <w:tab/>
      </w:r>
      <w:r>
        <w:rPr>
          <w:rFonts w:hint="eastAsia" w:ascii="宋体" w:hAnsi="宋体" w:eastAsia="宋体" w:cs="宋体"/>
          <w:color w:val="auto"/>
          <w:spacing w:val="-1"/>
          <w:kern w:val="2"/>
          <w:sz w:val="24"/>
          <w:szCs w:val="24"/>
          <w:u w:val="single" w:color="000000"/>
          <w:lang w:eastAsia="zh-CN" w:bidi="ar"/>
        </w:rPr>
        <w:t xml:space="preserve">              </w:t>
      </w:r>
      <w:r>
        <w:rPr>
          <w:rFonts w:hint="eastAsia" w:ascii="宋体" w:hAnsi="宋体" w:eastAsia="宋体" w:cs="宋体"/>
          <w:color w:val="auto"/>
          <w:spacing w:val="-1"/>
          <w:kern w:val="2"/>
          <w:sz w:val="24"/>
          <w:szCs w:val="24"/>
          <w:lang w:eastAsia="zh-CN" w:bidi="ar"/>
        </w:rPr>
        <w:t xml:space="preserve">                        考核季度：</w:t>
      </w:r>
      <w:r>
        <w:rPr>
          <w:rFonts w:hint="eastAsia" w:ascii="宋体" w:hAnsi="宋体" w:eastAsia="宋体" w:cs="宋体"/>
          <w:color w:val="auto"/>
          <w:spacing w:val="-1"/>
          <w:kern w:val="2"/>
          <w:sz w:val="24"/>
          <w:szCs w:val="24"/>
          <w:u w:val="single" w:color="000000"/>
          <w:lang w:eastAsia="zh-CN" w:bidi="ar"/>
        </w:rPr>
        <w:tab/>
      </w:r>
      <w:r>
        <w:rPr>
          <w:rFonts w:hint="eastAsia" w:ascii="宋体" w:hAnsi="宋体" w:eastAsia="宋体" w:cs="宋体"/>
          <w:color w:val="auto"/>
          <w:spacing w:val="-1"/>
          <w:kern w:val="2"/>
          <w:sz w:val="24"/>
          <w:szCs w:val="24"/>
          <w:u w:val="single" w:color="000000"/>
          <w:lang w:eastAsia="zh-CN" w:bidi="ar"/>
        </w:rPr>
        <w:t xml:space="preserve">   </w:t>
      </w:r>
      <w:r>
        <w:rPr>
          <w:rFonts w:hint="eastAsia" w:ascii="宋体" w:hAnsi="宋体" w:eastAsia="宋体" w:cs="宋体"/>
          <w:color w:val="auto"/>
          <w:spacing w:val="-1"/>
          <w:kern w:val="2"/>
          <w:sz w:val="24"/>
          <w:szCs w:val="24"/>
          <w:lang w:eastAsia="zh-CN" w:bidi="ar"/>
        </w:rPr>
        <w:t>年第</w:t>
      </w:r>
      <w:r>
        <w:rPr>
          <w:rFonts w:hint="eastAsia" w:ascii="宋体" w:hAnsi="宋体" w:eastAsia="宋体" w:cs="宋体"/>
          <w:color w:val="auto"/>
          <w:spacing w:val="-1"/>
          <w:kern w:val="2"/>
          <w:sz w:val="24"/>
          <w:szCs w:val="24"/>
          <w:u w:val="single"/>
          <w:lang w:eastAsia="zh-CN" w:bidi="ar"/>
        </w:rPr>
        <w:t xml:space="preserve">     </w:t>
      </w:r>
      <w:r>
        <w:rPr>
          <w:rFonts w:hint="eastAsia" w:ascii="宋体" w:hAnsi="宋体" w:eastAsia="宋体" w:cs="宋体"/>
          <w:color w:val="auto"/>
          <w:kern w:val="2"/>
          <w:sz w:val="24"/>
          <w:szCs w:val="24"/>
          <w:lang w:eastAsia="zh-CN" w:bidi="ar"/>
        </w:rPr>
        <w:t>季度</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20"/>
        <w:gridCol w:w="8160"/>
        <w:gridCol w:w="963"/>
        <w:gridCol w:w="2075"/>
        <w:gridCol w:w="1000"/>
        <w:gridCol w:w="1379"/>
      </w:tblGrid>
      <w:tr w14:paraId="2DC20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5FA8CD51">
            <w:pPr>
              <w:pStyle w:val="14"/>
              <w:jc w:val="center"/>
              <w:rPr>
                <w:rFonts w:hint="eastAsia"/>
                <w:color w:val="auto"/>
                <w:sz w:val="24"/>
                <w:szCs w:val="24"/>
                <w:lang w:val="en-US"/>
              </w:rPr>
            </w:pPr>
            <w:r>
              <w:rPr>
                <w:rFonts w:hint="eastAsia"/>
                <w:color w:val="auto"/>
                <w:sz w:val="24"/>
                <w:szCs w:val="24"/>
              </w:rPr>
              <w:t>序号</w:t>
            </w:r>
          </w:p>
        </w:tc>
        <w:tc>
          <w:tcPr>
            <w:tcW w:w="8160" w:type="dxa"/>
            <w:tcBorders>
              <w:top w:val="single" w:color="auto" w:sz="4" w:space="0"/>
              <w:left w:val="single" w:color="auto" w:sz="4" w:space="0"/>
              <w:bottom w:val="single" w:color="auto" w:sz="4" w:space="0"/>
              <w:right w:val="single" w:color="auto" w:sz="4" w:space="0"/>
            </w:tcBorders>
            <w:noWrap w:val="0"/>
            <w:vAlign w:val="center"/>
          </w:tcPr>
          <w:p w14:paraId="0C03DF2E">
            <w:pPr>
              <w:pStyle w:val="14"/>
              <w:jc w:val="center"/>
              <w:rPr>
                <w:rFonts w:hint="eastAsia"/>
                <w:color w:val="auto"/>
                <w:sz w:val="24"/>
                <w:szCs w:val="24"/>
                <w:lang w:val="en-US"/>
              </w:rPr>
            </w:pPr>
            <w:r>
              <w:rPr>
                <w:rFonts w:hint="eastAsia"/>
                <w:color w:val="auto"/>
                <w:sz w:val="24"/>
                <w:szCs w:val="24"/>
              </w:rPr>
              <w:t>服务质量标准</w:t>
            </w:r>
          </w:p>
        </w:tc>
        <w:tc>
          <w:tcPr>
            <w:tcW w:w="963" w:type="dxa"/>
            <w:tcBorders>
              <w:top w:val="single" w:color="auto" w:sz="4" w:space="0"/>
              <w:left w:val="single" w:color="auto" w:sz="4" w:space="0"/>
              <w:bottom w:val="single" w:color="auto" w:sz="4" w:space="0"/>
              <w:right w:val="single" w:color="auto" w:sz="4" w:space="0"/>
            </w:tcBorders>
            <w:noWrap w:val="0"/>
            <w:vAlign w:val="center"/>
          </w:tcPr>
          <w:p w14:paraId="51D7B15C">
            <w:pPr>
              <w:pStyle w:val="14"/>
              <w:jc w:val="center"/>
              <w:rPr>
                <w:rFonts w:hint="eastAsia"/>
                <w:color w:val="auto"/>
                <w:sz w:val="24"/>
                <w:szCs w:val="24"/>
                <w:lang w:val="en-US"/>
              </w:rPr>
            </w:pPr>
            <w:r>
              <w:rPr>
                <w:rFonts w:hint="eastAsia"/>
                <w:color w:val="auto"/>
                <w:sz w:val="24"/>
                <w:szCs w:val="24"/>
              </w:rPr>
              <w:t>分值</w:t>
            </w:r>
          </w:p>
        </w:tc>
        <w:tc>
          <w:tcPr>
            <w:tcW w:w="2075" w:type="dxa"/>
            <w:tcBorders>
              <w:top w:val="single" w:color="auto" w:sz="4" w:space="0"/>
              <w:left w:val="single" w:color="auto" w:sz="4" w:space="0"/>
              <w:bottom w:val="single" w:color="auto" w:sz="4" w:space="0"/>
              <w:right w:val="single" w:color="auto" w:sz="4" w:space="0"/>
            </w:tcBorders>
            <w:noWrap w:val="0"/>
            <w:vAlign w:val="center"/>
          </w:tcPr>
          <w:p w14:paraId="708A71B0">
            <w:pPr>
              <w:pStyle w:val="14"/>
              <w:jc w:val="center"/>
              <w:rPr>
                <w:rFonts w:hint="eastAsia"/>
                <w:color w:val="auto"/>
                <w:sz w:val="24"/>
                <w:szCs w:val="24"/>
                <w:lang w:val="en-US"/>
              </w:rPr>
            </w:pPr>
            <w:r>
              <w:rPr>
                <w:rFonts w:hint="eastAsia"/>
                <w:color w:val="auto"/>
                <w:sz w:val="24"/>
                <w:szCs w:val="24"/>
              </w:rPr>
              <w:t>考核标准</w:t>
            </w:r>
          </w:p>
        </w:tc>
        <w:tc>
          <w:tcPr>
            <w:tcW w:w="1000" w:type="dxa"/>
            <w:tcBorders>
              <w:top w:val="single" w:color="auto" w:sz="4" w:space="0"/>
              <w:left w:val="single" w:color="auto" w:sz="4" w:space="0"/>
              <w:bottom w:val="single" w:color="auto" w:sz="4" w:space="0"/>
              <w:right w:val="single" w:color="auto" w:sz="4" w:space="0"/>
            </w:tcBorders>
            <w:noWrap w:val="0"/>
            <w:vAlign w:val="center"/>
          </w:tcPr>
          <w:p w14:paraId="7721F093">
            <w:pPr>
              <w:pStyle w:val="14"/>
              <w:jc w:val="center"/>
              <w:rPr>
                <w:rFonts w:hint="eastAsia"/>
                <w:color w:val="auto"/>
                <w:sz w:val="24"/>
                <w:szCs w:val="24"/>
                <w:lang w:val="en-US"/>
              </w:rPr>
            </w:pPr>
            <w:r>
              <w:rPr>
                <w:rFonts w:hint="eastAsia"/>
                <w:color w:val="auto"/>
                <w:sz w:val="24"/>
                <w:szCs w:val="24"/>
              </w:rPr>
              <w:t>得分</w:t>
            </w:r>
          </w:p>
        </w:tc>
        <w:tc>
          <w:tcPr>
            <w:tcW w:w="1379" w:type="dxa"/>
            <w:tcBorders>
              <w:top w:val="single" w:color="auto" w:sz="4" w:space="0"/>
              <w:left w:val="single" w:color="auto" w:sz="4" w:space="0"/>
              <w:bottom w:val="single" w:color="auto" w:sz="4" w:space="0"/>
              <w:right w:val="single" w:color="auto" w:sz="4" w:space="0"/>
            </w:tcBorders>
            <w:noWrap w:val="0"/>
            <w:vAlign w:val="center"/>
          </w:tcPr>
          <w:p w14:paraId="5F386005">
            <w:pPr>
              <w:pStyle w:val="14"/>
              <w:jc w:val="center"/>
              <w:rPr>
                <w:rFonts w:hint="eastAsia"/>
                <w:color w:val="auto"/>
                <w:sz w:val="24"/>
                <w:szCs w:val="24"/>
                <w:lang w:val="en-US"/>
              </w:rPr>
            </w:pPr>
            <w:r>
              <w:rPr>
                <w:rFonts w:hint="eastAsia"/>
                <w:color w:val="auto"/>
                <w:sz w:val="24"/>
                <w:szCs w:val="24"/>
              </w:rPr>
              <w:t>扣分说明</w:t>
            </w:r>
          </w:p>
        </w:tc>
      </w:tr>
      <w:tr w14:paraId="340FE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06EF8896">
            <w:pPr>
              <w:pStyle w:val="14"/>
              <w:jc w:val="center"/>
              <w:rPr>
                <w:rFonts w:hint="eastAsia"/>
                <w:color w:val="auto"/>
                <w:sz w:val="24"/>
                <w:szCs w:val="24"/>
                <w:lang w:val="en-US"/>
              </w:rPr>
            </w:pPr>
            <w:r>
              <w:rPr>
                <w:rFonts w:hint="eastAsia"/>
                <w:color w:val="auto"/>
                <w:sz w:val="24"/>
                <w:szCs w:val="24"/>
                <w:lang w:val="en-US"/>
              </w:rPr>
              <w:t>1</w:t>
            </w:r>
          </w:p>
        </w:tc>
        <w:tc>
          <w:tcPr>
            <w:tcW w:w="8160" w:type="dxa"/>
            <w:tcBorders>
              <w:top w:val="single" w:color="auto" w:sz="4" w:space="0"/>
              <w:left w:val="single" w:color="auto" w:sz="4" w:space="0"/>
              <w:bottom w:val="single" w:color="auto" w:sz="4" w:space="0"/>
              <w:right w:val="single" w:color="auto" w:sz="4" w:space="0"/>
            </w:tcBorders>
            <w:noWrap w:val="0"/>
            <w:vAlign w:val="center"/>
          </w:tcPr>
          <w:p w14:paraId="63ACDDF8">
            <w:pPr>
              <w:pStyle w:val="14"/>
              <w:spacing w:before="100" w:line="310" w:lineRule="exact"/>
              <w:ind w:left="103" w:right="166"/>
              <w:rPr>
                <w:rFonts w:hint="eastAsia"/>
                <w:color w:val="auto"/>
                <w:sz w:val="24"/>
                <w:szCs w:val="24"/>
                <w:lang w:val="en-US"/>
              </w:rPr>
            </w:pPr>
            <w:r>
              <w:rPr>
                <w:rFonts w:hint="eastAsia"/>
                <w:color w:val="auto"/>
                <w:sz w:val="24"/>
                <w:szCs w:val="24"/>
              </w:rPr>
              <w:t>特殊采样耗材要求：按院方要求提供合格的特殊采样耗材（包括但不限于不同规格的离心管和吸头）。</w:t>
            </w:r>
          </w:p>
        </w:tc>
        <w:tc>
          <w:tcPr>
            <w:tcW w:w="963" w:type="dxa"/>
            <w:tcBorders>
              <w:top w:val="single" w:color="auto" w:sz="4" w:space="0"/>
              <w:left w:val="single" w:color="auto" w:sz="4" w:space="0"/>
              <w:bottom w:val="single" w:color="auto" w:sz="4" w:space="0"/>
              <w:right w:val="single" w:color="auto" w:sz="4" w:space="0"/>
            </w:tcBorders>
            <w:noWrap w:val="0"/>
            <w:vAlign w:val="center"/>
          </w:tcPr>
          <w:p w14:paraId="744A8293">
            <w:pPr>
              <w:pStyle w:val="14"/>
              <w:jc w:val="center"/>
              <w:rPr>
                <w:rFonts w:hint="eastAsia"/>
                <w:color w:val="auto"/>
                <w:sz w:val="24"/>
                <w:szCs w:val="24"/>
                <w:lang w:val="en-US"/>
              </w:rPr>
            </w:pPr>
            <w:r>
              <w:rPr>
                <w:rFonts w:hint="eastAsia"/>
                <w:color w:val="auto"/>
                <w:sz w:val="24"/>
                <w:szCs w:val="24"/>
                <w:lang w:val="en-US"/>
              </w:rPr>
              <w:t>10</w:t>
            </w:r>
          </w:p>
        </w:tc>
        <w:tc>
          <w:tcPr>
            <w:tcW w:w="2075" w:type="dxa"/>
            <w:tcBorders>
              <w:top w:val="single" w:color="auto" w:sz="4" w:space="0"/>
              <w:left w:val="single" w:color="auto" w:sz="4" w:space="0"/>
              <w:bottom w:val="single" w:color="auto" w:sz="4" w:space="0"/>
              <w:right w:val="single" w:color="auto" w:sz="4" w:space="0"/>
            </w:tcBorders>
            <w:noWrap w:val="0"/>
            <w:vAlign w:val="center"/>
          </w:tcPr>
          <w:p w14:paraId="09BFE0DD">
            <w:pPr>
              <w:pStyle w:val="14"/>
              <w:spacing w:before="126" w:line="312" w:lineRule="exact"/>
              <w:ind w:left="102" w:right="41"/>
              <w:jc w:val="center"/>
              <w:rPr>
                <w:rFonts w:hint="eastAsia"/>
                <w:color w:val="auto"/>
                <w:sz w:val="24"/>
                <w:szCs w:val="24"/>
                <w:lang w:val="en-US"/>
              </w:rPr>
            </w:pPr>
            <w:r>
              <w:rPr>
                <w:rFonts w:hint="eastAsia"/>
                <w:color w:val="auto"/>
                <w:sz w:val="24"/>
                <w:szCs w:val="24"/>
              </w:rPr>
              <w:t>未按要求提供的， 每出现一次扣</w:t>
            </w:r>
            <w:r>
              <w:rPr>
                <w:rFonts w:hint="eastAsia"/>
                <w:color w:val="auto"/>
                <w:spacing w:val="-60"/>
                <w:sz w:val="24"/>
                <w:szCs w:val="24"/>
              </w:rPr>
              <w:t xml:space="preserve"> </w:t>
            </w:r>
            <w:r>
              <w:rPr>
                <w:rFonts w:hint="eastAsia"/>
                <w:color w:val="auto"/>
                <w:sz w:val="24"/>
                <w:szCs w:val="24"/>
                <w:lang w:val="en-US"/>
              </w:rPr>
              <w:t>5</w:t>
            </w:r>
            <w:r>
              <w:rPr>
                <w:rFonts w:hint="eastAsia"/>
                <w:color w:val="auto"/>
                <w:sz w:val="24"/>
                <w:szCs w:val="24"/>
              </w:rPr>
              <w:t>分</w:t>
            </w:r>
          </w:p>
        </w:tc>
        <w:tc>
          <w:tcPr>
            <w:tcW w:w="1000" w:type="dxa"/>
            <w:tcBorders>
              <w:top w:val="single" w:color="auto" w:sz="4" w:space="0"/>
              <w:left w:val="single" w:color="auto" w:sz="4" w:space="0"/>
              <w:bottom w:val="single" w:color="auto" w:sz="4" w:space="0"/>
              <w:right w:val="single" w:color="auto" w:sz="4" w:space="0"/>
            </w:tcBorders>
            <w:noWrap w:val="0"/>
            <w:vAlign w:val="center"/>
          </w:tcPr>
          <w:p w14:paraId="2B1E0915">
            <w:pPr>
              <w:widowControl w:val="0"/>
              <w:spacing w:before="100" w:beforeAutospacing="1"/>
              <w:jc w:val="center"/>
              <w:rPr>
                <w:rFonts w:hint="eastAsia" w:ascii="宋体" w:hAnsi="宋体" w:eastAsia="宋体" w:cs="宋体"/>
                <w:color w:val="auto"/>
                <w:sz w:val="22"/>
                <w:szCs w:val="24"/>
                <w:lang w:eastAsia="zh-CN"/>
              </w:rPr>
            </w:pPr>
          </w:p>
        </w:tc>
        <w:tc>
          <w:tcPr>
            <w:tcW w:w="1379" w:type="dxa"/>
            <w:tcBorders>
              <w:top w:val="single" w:color="auto" w:sz="4" w:space="0"/>
              <w:left w:val="single" w:color="auto" w:sz="4" w:space="0"/>
              <w:bottom w:val="single" w:color="auto" w:sz="4" w:space="0"/>
              <w:right w:val="single" w:color="auto" w:sz="4" w:space="0"/>
            </w:tcBorders>
            <w:noWrap w:val="0"/>
            <w:vAlign w:val="center"/>
          </w:tcPr>
          <w:p w14:paraId="319BB74D">
            <w:pPr>
              <w:widowControl w:val="0"/>
              <w:spacing w:before="100" w:beforeAutospacing="1"/>
              <w:jc w:val="center"/>
              <w:rPr>
                <w:rFonts w:hint="eastAsia" w:ascii="宋体" w:hAnsi="宋体" w:eastAsia="宋体" w:cs="宋体"/>
                <w:color w:val="auto"/>
                <w:sz w:val="22"/>
                <w:szCs w:val="24"/>
                <w:lang w:eastAsia="zh-CN"/>
              </w:rPr>
            </w:pPr>
          </w:p>
        </w:tc>
      </w:tr>
      <w:tr w14:paraId="4738B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4BAE9B29">
            <w:pPr>
              <w:pStyle w:val="14"/>
              <w:jc w:val="center"/>
              <w:rPr>
                <w:rFonts w:hint="eastAsia"/>
                <w:color w:val="auto"/>
                <w:sz w:val="24"/>
                <w:szCs w:val="24"/>
                <w:lang w:val="en-US"/>
              </w:rPr>
            </w:pPr>
            <w:r>
              <w:rPr>
                <w:rFonts w:hint="eastAsia"/>
                <w:color w:val="auto"/>
                <w:sz w:val="24"/>
                <w:szCs w:val="24"/>
                <w:lang w:val="en-US"/>
              </w:rPr>
              <w:t>2</w:t>
            </w:r>
          </w:p>
        </w:tc>
        <w:tc>
          <w:tcPr>
            <w:tcW w:w="8160" w:type="dxa"/>
            <w:tcBorders>
              <w:top w:val="single" w:color="auto" w:sz="4" w:space="0"/>
              <w:left w:val="single" w:color="auto" w:sz="4" w:space="0"/>
              <w:bottom w:val="single" w:color="auto" w:sz="4" w:space="0"/>
              <w:right w:val="single" w:color="auto" w:sz="4" w:space="0"/>
            </w:tcBorders>
            <w:noWrap w:val="0"/>
            <w:vAlign w:val="center"/>
          </w:tcPr>
          <w:p w14:paraId="73C596DA">
            <w:pPr>
              <w:pStyle w:val="14"/>
              <w:spacing w:before="100" w:line="310" w:lineRule="exact"/>
              <w:ind w:left="103" w:right="-17"/>
              <w:rPr>
                <w:rFonts w:hint="eastAsia"/>
                <w:color w:val="auto"/>
                <w:sz w:val="24"/>
                <w:szCs w:val="24"/>
                <w:lang w:val="en-US"/>
              </w:rPr>
            </w:pPr>
            <w:r>
              <w:rPr>
                <w:rFonts w:hint="eastAsia"/>
                <w:color w:val="auto"/>
                <w:spacing w:val="-2"/>
                <w:sz w:val="24"/>
                <w:szCs w:val="24"/>
              </w:rPr>
              <w:t>接收标本要求：响应供应商接收样本后需提供交接清单并核对签字、及时向院方反馈接收的基本信息，</w:t>
            </w:r>
            <w:r>
              <w:rPr>
                <w:rFonts w:hint="eastAsia"/>
                <w:color w:val="auto"/>
                <w:spacing w:val="-110"/>
                <w:sz w:val="24"/>
                <w:szCs w:val="24"/>
              </w:rPr>
              <w:t xml:space="preserve"> </w:t>
            </w:r>
            <w:r>
              <w:rPr>
                <w:rFonts w:hint="eastAsia"/>
                <w:color w:val="auto"/>
                <w:sz w:val="24"/>
                <w:szCs w:val="24"/>
              </w:rPr>
              <w:t>如：接收时间、标本状况等。</w:t>
            </w:r>
          </w:p>
        </w:tc>
        <w:tc>
          <w:tcPr>
            <w:tcW w:w="963" w:type="dxa"/>
            <w:tcBorders>
              <w:top w:val="single" w:color="auto" w:sz="4" w:space="0"/>
              <w:left w:val="single" w:color="auto" w:sz="4" w:space="0"/>
              <w:bottom w:val="single" w:color="auto" w:sz="4" w:space="0"/>
              <w:right w:val="single" w:color="auto" w:sz="4" w:space="0"/>
            </w:tcBorders>
            <w:noWrap w:val="0"/>
            <w:vAlign w:val="center"/>
          </w:tcPr>
          <w:p w14:paraId="08451661">
            <w:pPr>
              <w:pStyle w:val="14"/>
              <w:jc w:val="center"/>
              <w:rPr>
                <w:rFonts w:hint="eastAsia"/>
                <w:color w:val="auto"/>
                <w:sz w:val="24"/>
                <w:szCs w:val="24"/>
                <w:lang w:val="en-US"/>
              </w:rPr>
            </w:pPr>
            <w:r>
              <w:rPr>
                <w:rFonts w:hint="eastAsia"/>
                <w:color w:val="auto"/>
                <w:sz w:val="24"/>
                <w:szCs w:val="24"/>
                <w:lang w:val="en-US"/>
              </w:rPr>
              <w:t>10</w:t>
            </w:r>
          </w:p>
        </w:tc>
        <w:tc>
          <w:tcPr>
            <w:tcW w:w="2075" w:type="dxa"/>
            <w:tcBorders>
              <w:top w:val="single" w:color="auto" w:sz="4" w:space="0"/>
              <w:left w:val="single" w:color="auto" w:sz="4" w:space="0"/>
              <w:bottom w:val="single" w:color="auto" w:sz="4" w:space="0"/>
              <w:right w:val="single" w:color="auto" w:sz="4" w:space="0"/>
            </w:tcBorders>
            <w:noWrap w:val="0"/>
            <w:vAlign w:val="center"/>
          </w:tcPr>
          <w:p w14:paraId="0C6693B4">
            <w:pPr>
              <w:pStyle w:val="14"/>
              <w:spacing w:before="100" w:line="310" w:lineRule="exact"/>
              <w:ind w:left="102" w:right="41"/>
              <w:jc w:val="center"/>
              <w:rPr>
                <w:rFonts w:hint="eastAsia"/>
                <w:color w:val="auto"/>
                <w:sz w:val="24"/>
                <w:szCs w:val="24"/>
                <w:lang w:val="en-US"/>
              </w:rPr>
            </w:pPr>
            <w:r>
              <w:rPr>
                <w:rFonts w:hint="eastAsia"/>
                <w:color w:val="auto"/>
                <w:sz w:val="24"/>
                <w:szCs w:val="24"/>
              </w:rPr>
              <w:t>未按要求执行的， 每出现一次扣</w:t>
            </w:r>
            <w:r>
              <w:rPr>
                <w:rFonts w:hint="eastAsia"/>
                <w:color w:val="auto"/>
                <w:spacing w:val="-60"/>
                <w:sz w:val="24"/>
                <w:szCs w:val="24"/>
              </w:rPr>
              <w:t xml:space="preserve"> </w:t>
            </w:r>
            <w:r>
              <w:rPr>
                <w:rFonts w:hint="eastAsia"/>
                <w:color w:val="auto"/>
                <w:sz w:val="24"/>
                <w:szCs w:val="24"/>
                <w:lang w:val="en-US"/>
              </w:rPr>
              <w:t>5</w:t>
            </w:r>
            <w:r>
              <w:rPr>
                <w:rFonts w:hint="eastAsia"/>
                <w:color w:val="auto"/>
                <w:sz w:val="24"/>
                <w:szCs w:val="24"/>
              </w:rPr>
              <w:t>分</w:t>
            </w:r>
          </w:p>
        </w:tc>
        <w:tc>
          <w:tcPr>
            <w:tcW w:w="1000" w:type="dxa"/>
            <w:tcBorders>
              <w:top w:val="single" w:color="auto" w:sz="4" w:space="0"/>
              <w:left w:val="single" w:color="auto" w:sz="4" w:space="0"/>
              <w:bottom w:val="single" w:color="auto" w:sz="4" w:space="0"/>
              <w:right w:val="single" w:color="auto" w:sz="4" w:space="0"/>
            </w:tcBorders>
            <w:noWrap w:val="0"/>
            <w:vAlign w:val="center"/>
          </w:tcPr>
          <w:p w14:paraId="77C64D14">
            <w:pPr>
              <w:widowControl w:val="0"/>
              <w:spacing w:before="100" w:beforeAutospacing="1"/>
              <w:jc w:val="center"/>
              <w:rPr>
                <w:rFonts w:hint="eastAsia" w:ascii="宋体" w:hAnsi="宋体" w:eastAsia="宋体" w:cs="宋体"/>
                <w:color w:val="auto"/>
                <w:sz w:val="22"/>
                <w:szCs w:val="24"/>
                <w:lang w:eastAsia="zh-CN"/>
              </w:rPr>
            </w:pPr>
          </w:p>
        </w:tc>
        <w:tc>
          <w:tcPr>
            <w:tcW w:w="1379" w:type="dxa"/>
            <w:tcBorders>
              <w:top w:val="single" w:color="auto" w:sz="4" w:space="0"/>
              <w:left w:val="single" w:color="auto" w:sz="4" w:space="0"/>
              <w:bottom w:val="single" w:color="auto" w:sz="4" w:space="0"/>
              <w:right w:val="single" w:color="auto" w:sz="4" w:space="0"/>
            </w:tcBorders>
            <w:noWrap w:val="0"/>
            <w:vAlign w:val="center"/>
          </w:tcPr>
          <w:p w14:paraId="6DE1C7F0">
            <w:pPr>
              <w:widowControl w:val="0"/>
              <w:spacing w:before="100" w:beforeAutospacing="1"/>
              <w:jc w:val="center"/>
              <w:rPr>
                <w:rFonts w:hint="eastAsia" w:ascii="宋体" w:hAnsi="宋体" w:eastAsia="宋体" w:cs="宋体"/>
                <w:color w:val="auto"/>
                <w:sz w:val="22"/>
                <w:szCs w:val="24"/>
                <w:lang w:eastAsia="zh-CN"/>
              </w:rPr>
            </w:pPr>
          </w:p>
        </w:tc>
      </w:tr>
      <w:tr w14:paraId="64F5D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4"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4565A9D7">
            <w:pPr>
              <w:pStyle w:val="14"/>
              <w:jc w:val="center"/>
              <w:rPr>
                <w:rFonts w:hint="eastAsia"/>
                <w:color w:val="auto"/>
                <w:sz w:val="24"/>
                <w:szCs w:val="24"/>
                <w:lang w:val="en-US"/>
              </w:rPr>
            </w:pPr>
            <w:r>
              <w:rPr>
                <w:rFonts w:hint="eastAsia"/>
                <w:color w:val="auto"/>
                <w:sz w:val="24"/>
                <w:szCs w:val="24"/>
                <w:lang w:val="en-US"/>
              </w:rPr>
              <w:t>3</w:t>
            </w:r>
          </w:p>
        </w:tc>
        <w:tc>
          <w:tcPr>
            <w:tcW w:w="8160" w:type="dxa"/>
            <w:tcBorders>
              <w:top w:val="single" w:color="auto" w:sz="4" w:space="0"/>
              <w:left w:val="single" w:color="auto" w:sz="4" w:space="0"/>
              <w:bottom w:val="single" w:color="auto" w:sz="4" w:space="0"/>
              <w:right w:val="single" w:color="auto" w:sz="4" w:space="0"/>
            </w:tcBorders>
            <w:noWrap w:val="0"/>
            <w:vAlign w:val="center"/>
          </w:tcPr>
          <w:p w14:paraId="0D50A4A3">
            <w:pPr>
              <w:pStyle w:val="14"/>
              <w:ind w:left="103"/>
              <w:rPr>
                <w:rFonts w:hint="eastAsia"/>
                <w:color w:val="auto"/>
                <w:sz w:val="24"/>
                <w:szCs w:val="24"/>
                <w:lang w:val="en-US"/>
              </w:rPr>
            </w:pPr>
            <w:r>
              <w:rPr>
                <w:rFonts w:hint="eastAsia"/>
                <w:color w:val="auto"/>
                <w:sz w:val="24"/>
                <w:szCs w:val="24"/>
              </w:rPr>
              <w:t>质量控制要求：响应供应商必须定期提供实验室内质控及室间质评结果。</w:t>
            </w:r>
          </w:p>
        </w:tc>
        <w:tc>
          <w:tcPr>
            <w:tcW w:w="963" w:type="dxa"/>
            <w:tcBorders>
              <w:top w:val="single" w:color="auto" w:sz="4" w:space="0"/>
              <w:left w:val="single" w:color="auto" w:sz="4" w:space="0"/>
              <w:bottom w:val="single" w:color="auto" w:sz="4" w:space="0"/>
              <w:right w:val="single" w:color="auto" w:sz="4" w:space="0"/>
            </w:tcBorders>
            <w:noWrap w:val="0"/>
            <w:vAlign w:val="center"/>
          </w:tcPr>
          <w:p w14:paraId="74FBE3FC">
            <w:pPr>
              <w:pStyle w:val="14"/>
              <w:jc w:val="center"/>
              <w:rPr>
                <w:rFonts w:hint="eastAsia"/>
                <w:color w:val="auto"/>
                <w:sz w:val="24"/>
                <w:szCs w:val="24"/>
                <w:lang w:val="en-US"/>
              </w:rPr>
            </w:pPr>
            <w:r>
              <w:rPr>
                <w:rFonts w:hint="eastAsia"/>
                <w:color w:val="auto"/>
                <w:sz w:val="24"/>
                <w:szCs w:val="24"/>
                <w:lang w:val="en-US"/>
              </w:rPr>
              <w:t>20</w:t>
            </w:r>
          </w:p>
        </w:tc>
        <w:tc>
          <w:tcPr>
            <w:tcW w:w="2075" w:type="dxa"/>
            <w:tcBorders>
              <w:top w:val="single" w:color="auto" w:sz="4" w:space="0"/>
              <w:left w:val="single" w:color="auto" w:sz="4" w:space="0"/>
              <w:bottom w:val="single" w:color="auto" w:sz="4" w:space="0"/>
              <w:right w:val="single" w:color="auto" w:sz="4" w:space="0"/>
            </w:tcBorders>
            <w:noWrap w:val="0"/>
            <w:vAlign w:val="center"/>
          </w:tcPr>
          <w:p w14:paraId="1DB2FF02">
            <w:pPr>
              <w:pStyle w:val="14"/>
              <w:spacing w:before="100" w:line="310" w:lineRule="exact"/>
              <w:ind w:left="102" w:right="281"/>
              <w:jc w:val="center"/>
              <w:rPr>
                <w:rFonts w:hint="eastAsia"/>
                <w:color w:val="auto"/>
                <w:sz w:val="24"/>
                <w:szCs w:val="24"/>
                <w:lang w:val="en-US"/>
              </w:rPr>
            </w:pPr>
            <w:r>
              <w:rPr>
                <w:rFonts w:hint="eastAsia"/>
                <w:color w:val="auto"/>
                <w:sz w:val="24"/>
                <w:szCs w:val="24"/>
              </w:rPr>
              <w:t>未提供或提供不 全扣相应分值</w:t>
            </w:r>
          </w:p>
        </w:tc>
        <w:tc>
          <w:tcPr>
            <w:tcW w:w="1000" w:type="dxa"/>
            <w:tcBorders>
              <w:top w:val="single" w:color="auto" w:sz="4" w:space="0"/>
              <w:left w:val="single" w:color="auto" w:sz="4" w:space="0"/>
              <w:bottom w:val="single" w:color="auto" w:sz="4" w:space="0"/>
              <w:right w:val="single" w:color="auto" w:sz="4" w:space="0"/>
            </w:tcBorders>
            <w:noWrap w:val="0"/>
            <w:vAlign w:val="center"/>
          </w:tcPr>
          <w:p w14:paraId="1C097F96">
            <w:pPr>
              <w:widowControl w:val="0"/>
              <w:spacing w:before="100" w:beforeAutospacing="1"/>
              <w:jc w:val="center"/>
              <w:rPr>
                <w:rFonts w:hint="eastAsia" w:ascii="宋体" w:hAnsi="宋体" w:eastAsia="宋体" w:cs="宋体"/>
                <w:color w:val="auto"/>
                <w:sz w:val="22"/>
                <w:szCs w:val="24"/>
                <w:lang w:eastAsia="zh-CN"/>
              </w:rPr>
            </w:pPr>
          </w:p>
        </w:tc>
        <w:tc>
          <w:tcPr>
            <w:tcW w:w="1379" w:type="dxa"/>
            <w:tcBorders>
              <w:top w:val="single" w:color="auto" w:sz="4" w:space="0"/>
              <w:left w:val="single" w:color="auto" w:sz="4" w:space="0"/>
              <w:bottom w:val="single" w:color="auto" w:sz="4" w:space="0"/>
              <w:right w:val="single" w:color="auto" w:sz="4" w:space="0"/>
            </w:tcBorders>
            <w:noWrap w:val="0"/>
            <w:vAlign w:val="center"/>
          </w:tcPr>
          <w:p w14:paraId="0940976D">
            <w:pPr>
              <w:widowControl w:val="0"/>
              <w:spacing w:before="100" w:beforeAutospacing="1"/>
              <w:jc w:val="center"/>
              <w:rPr>
                <w:rFonts w:hint="eastAsia" w:ascii="宋体" w:hAnsi="宋体" w:eastAsia="宋体" w:cs="宋体"/>
                <w:color w:val="auto"/>
                <w:sz w:val="22"/>
                <w:szCs w:val="24"/>
                <w:lang w:eastAsia="zh-CN"/>
              </w:rPr>
            </w:pPr>
          </w:p>
        </w:tc>
      </w:tr>
      <w:tr w14:paraId="4FD5A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3"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2D72970A">
            <w:pPr>
              <w:pStyle w:val="14"/>
              <w:jc w:val="center"/>
              <w:rPr>
                <w:rFonts w:hint="eastAsia"/>
                <w:color w:val="auto"/>
                <w:sz w:val="24"/>
                <w:szCs w:val="24"/>
                <w:lang w:val="en-US"/>
              </w:rPr>
            </w:pPr>
            <w:r>
              <w:rPr>
                <w:rFonts w:hint="eastAsia"/>
                <w:color w:val="auto"/>
                <w:sz w:val="24"/>
                <w:szCs w:val="24"/>
                <w:lang w:val="en-US"/>
              </w:rPr>
              <w:t>4</w:t>
            </w:r>
          </w:p>
        </w:tc>
        <w:tc>
          <w:tcPr>
            <w:tcW w:w="8160" w:type="dxa"/>
            <w:tcBorders>
              <w:top w:val="single" w:color="auto" w:sz="4" w:space="0"/>
              <w:left w:val="single" w:color="auto" w:sz="4" w:space="0"/>
              <w:bottom w:val="single" w:color="auto" w:sz="4" w:space="0"/>
              <w:right w:val="single" w:color="auto" w:sz="4" w:space="0"/>
            </w:tcBorders>
            <w:noWrap w:val="0"/>
            <w:vAlign w:val="center"/>
          </w:tcPr>
          <w:p w14:paraId="1BF2020D">
            <w:pPr>
              <w:pStyle w:val="14"/>
              <w:ind w:left="103"/>
              <w:rPr>
                <w:rFonts w:hint="eastAsia"/>
                <w:color w:val="auto"/>
                <w:sz w:val="24"/>
                <w:szCs w:val="24"/>
                <w:lang w:val="en-US"/>
              </w:rPr>
            </w:pPr>
            <w:r>
              <w:rPr>
                <w:rFonts w:hint="eastAsia"/>
                <w:color w:val="auto"/>
                <w:sz w:val="24"/>
                <w:szCs w:val="24"/>
              </w:rPr>
              <w:t>报告要求：①按时并按要求出具检测报告，保证检测结果准确无误。②对于检测失败的标本，响应供应商需提供分析检测失败原因的文字说明，并重新检测。③对可疑结果进行复核时，响应供应商需提供验证检测服务或满足院方送其他权威实验室进行比对的要求，保证结果的准确无误。针对以上情况，院方不再另行支付任何费用。</w:t>
            </w:r>
          </w:p>
        </w:tc>
        <w:tc>
          <w:tcPr>
            <w:tcW w:w="963" w:type="dxa"/>
            <w:tcBorders>
              <w:top w:val="single" w:color="auto" w:sz="4" w:space="0"/>
              <w:left w:val="single" w:color="auto" w:sz="4" w:space="0"/>
              <w:bottom w:val="single" w:color="auto" w:sz="4" w:space="0"/>
              <w:right w:val="single" w:color="auto" w:sz="4" w:space="0"/>
            </w:tcBorders>
            <w:noWrap w:val="0"/>
            <w:vAlign w:val="center"/>
          </w:tcPr>
          <w:p w14:paraId="02534458">
            <w:pPr>
              <w:pStyle w:val="14"/>
              <w:jc w:val="center"/>
              <w:rPr>
                <w:rFonts w:hint="eastAsia"/>
                <w:color w:val="auto"/>
                <w:sz w:val="24"/>
                <w:szCs w:val="24"/>
                <w:lang w:val="en-US"/>
              </w:rPr>
            </w:pPr>
            <w:r>
              <w:rPr>
                <w:rFonts w:hint="eastAsia"/>
                <w:color w:val="auto"/>
                <w:sz w:val="24"/>
                <w:szCs w:val="24"/>
                <w:lang w:val="en-US"/>
              </w:rPr>
              <w:t>20</w:t>
            </w:r>
          </w:p>
        </w:tc>
        <w:tc>
          <w:tcPr>
            <w:tcW w:w="2075" w:type="dxa"/>
            <w:tcBorders>
              <w:top w:val="single" w:color="auto" w:sz="4" w:space="0"/>
              <w:left w:val="single" w:color="auto" w:sz="4" w:space="0"/>
              <w:bottom w:val="single" w:color="auto" w:sz="4" w:space="0"/>
              <w:right w:val="single" w:color="auto" w:sz="4" w:space="0"/>
            </w:tcBorders>
            <w:noWrap w:val="0"/>
            <w:vAlign w:val="center"/>
          </w:tcPr>
          <w:p w14:paraId="33D83E16">
            <w:pPr>
              <w:pStyle w:val="14"/>
              <w:ind w:left="102"/>
              <w:jc w:val="center"/>
              <w:rPr>
                <w:rFonts w:hint="eastAsia"/>
                <w:color w:val="auto"/>
                <w:sz w:val="24"/>
                <w:szCs w:val="24"/>
                <w:lang w:val="en-US"/>
              </w:rPr>
            </w:pPr>
            <w:r>
              <w:rPr>
                <w:rFonts w:hint="eastAsia"/>
                <w:color w:val="auto"/>
                <w:sz w:val="24"/>
                <w:szCs w:val="24"/>
              </w:rPr>
              <w:t>未按要求执行的，每出现一次扣</w:t>
            </w:r>
            <w:r>
              <w:rPr>
                <w:rFonts w:hint="eastAsia"/>
                <w:color w:val="auto"/>
                <w:spacing w:val="-60"/>
                <w:sz w:val="24"/>
                <w:szCs w:val="24"/>
              </w:rPr>
              <w:t xml:space="preserve"> </w:t>
            </w:r>
            <w:r>
              <w:rPr>
                <w:rFonts w:hint="eastAsia"/>
                <w:color w:val="auto"/>
                <w:sz w:val="24"/>
                <w:szCs w:val="24"/>
                <w:lang w:val="en-US"/>
              </w:rPr>
              <w:t>5</w:t>
            </w:r>
            <w:r>
              <w:rPr>
                <w:rFonts w:hint="eastAsia"/>
                <w:color w:val="auto"/>
                <w:sz w:val="24"/>
                <w:szCs w:val="24"/>
              </w:rPr>
              <w:t>分</w:t>
            </w:r>
          </w:p>
        </w:tc>
        <w:tc>
          <w:tcPr>
            <w:tcW w:w="1000" w:type="dxa"/>
            <w:tcBorders>
              <w:top w:val="single" w:color="auto" w:sz="4" w:space="0"/>
              <w:left w:val="single" w:color="auto" w:sz="4" w:space="0"/>
              <w:bottom w:val="single" w:color="auto" w:sz="4" w:space="0"/>
              <w:right w:val="single" w:color="auto" w:sz="4" w:space="0"/>
            </w:tcBorders>
            <w:noWrap w:val="0"/>
            <w:vAlign w:val="center"/>
          </w:tcPr>
          <w:p w14:paraId="336BC8F4">
            <w:pPr>
              <w:widowControl w:val="0"/>
              <w:spacing w:before="100" w:beforeAutospacing="1"/>
              <w:jc w:val="center"/>
              <w:rPr>
                <w:rFonts w:hint="eastAsia" w:ascii="宋体" w:hAnsi="宋体" w:eastAsia="宋体" w:cs="宋体"/>
                <w:color w:val="auto"/>
                <w:sz w:val="22"/>
                <w:szCs w:val="24"/>
                <w:lang w:eastAsia="zh-CN"/>
              </w:rPr>
            </w:pPr>
          </w:p>
        </w:tc>
        <w:tc>
          <w:tcPr>
            <w:tcW w:w="1379" w:type="dxa"/>
            <w:tcBorders>
              <w:top w:val="single" w:color="auto" w:sz="4" w:space="0"/>
              <w:left w:val="single" w:color="auto" w:sz="4" w:space="0"/>
              <w:bottom w:val="single" w:color="auto" w:sz="4" w:space="0"/>
              <w:right w:val="single" w:color="auto" w:sz="4" w:space="0"/>
            </w:tcBorders>
            <w:noWrap w:val="0"/>
            <w:vAlign w:val="center"/>
          </w:tcPr>
          <w:p w14:paraId="68F408F5">
            <w:pPr>
              <w:widowControl w:val="0"/>
              <w:spacing w:before="100" w:beforeAutospacing="1"/>
              <w:jc w:val="center"/>
              <w:rPr>
                <w:rFonts w:hint="eastAsia" w:ascii="宋体" w:hAnsi="宋体" w:eastAsia="宋体" w:cs="宋体"/>
                <w:color w:val="auto"/>
                <w:sz w:val="22"/>
                <w:szCs w:val="24"/>
                <w:lang w:eastAsia="zh-CN"/>
              </w:rPr>
            </w:pPr>
          </w:p>
        </w:tc>
      </w:tr>
      <w:tr w14:paraId="64092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1"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11988D1F">
            <w:pPr>
              <w:pStyle w:val="14"/>
              <w:jc w:val="center"/>
              <w:rPr>
                <w:rFonts w:hint="eastAsia"/>
                <w:color w:val="auto"/>
                <w:sz w:val="24"/>
                <w:szCs w:val="24"/>
                <w:lang w:val="en-US"/>
              </w:rPr>
            </w:pPr>
            <w:r>
              <w:rPr>
                <w:rFonts w:hint="eastAsia"/>
                <w:color w:val="auto"/>
                <w:sz w:val="24"/>
                <w:szCs w:val="24"/>
                <w:lang w:val="en-US"/>
              </w:rPr>
              <w:t>5</w:t>
            </w:r>
          </w:p>
        </w:tc>
        <w:tc>
          <w:tcPr>
            <w:tcW w:w="8160" w:type="dxa"/>
            <w:tcBorders>
              <w:top w:val="single" w:color="auto" w:sz="4" w:space="0"/>
              <w:left w:val="single" w:color="auto" w:sz="4" w:space="0"/>
              <w:bottom w:val="single" w:color="auto" w:sz="4" w:space="0"/>
              <w:right w:val="single" w:color="auto" w:sz="4" w:space="0"/>
            </w:tcBorders>
            <w:noWrap w:val="0"/>
            <w:vAlign w:val="center"/>
          </w:tcPr>
          <w:p w14:paraId="2CD1DCD6">
            <w:pPr>
              <w:pStyle w:val="14"/>
              <w:ind w:left="103"/>
              <w:rPr>
                <w:rFonts w:hint="eastAsia"/>
                <w:color w:val="auto"/>
                <w:sz w:val="24"/>
                <w:szCs w:val="24"/>
              </w:rPr>
            </w:pPr>
            <w:r>
              <w:rPr>
                <w:rFonts w:hint="eastAsia"/>
                <w:color w:val="auto"/>
                <w:sz w:val="24"/>
                <w:szCs w:val="24"/>
              </w:rPr>
              <w:t>每季度对第三方检测机构检验结果回报及时情况进行考核。</w:t>
            </w:r>
          </w:p>
        </w:tc>
        <w:tc>
          <w:tcPr>
            <w:tcW w:w="963" w:type="dxa"/>
            <w:tcBorders>
              <w:top w:val="single" w:color="auto" w:sz="4" w:space="0"/>
              <w:left w:val="single" w:color="auto" w:sz="4" w:space="0"/>
              <w:bottom w:val="single" w:color="auto" w:sz="4" w:space="0"/>
              <w:right w:val="single" w:color="auto" w:sz="4" w:space="0"/>
            </w:tcBorders>
            <w:noWrap w:val="0"/>
            <w:vAlign w:val="center"/>
          </w:tcPr>
          <w:p w14:paraId="57C13F90">
            <w:pPr>
              <w:pStyle w:val="14"/>
              <w:jc w:val="center"/>
              <w:rPr>
                <w:rFonts w:hint="eastAsia"/>
                <w:color w:val="auto"/>
                <w:sz w:val="24"/>
                <w:szCs w:val="24"/>
                <w:lang w:val="en-US"/>
              </w:rPr>
            </w:pPr>
            <w:r>
              <w:rPr>
                <w:rFonts w:hint="eastAsia"/>
                <w:color w:val="auto"/>
                <w:sz w:val="24"/>
                <w:szCs w:val="24"/>
                <w:lang w:val="en-US"/>
              </w:rPr>
              <w:t>20</w:t>
            </w:r>
          </w:p>
        </w:tc>
        <w:tc>
          <w:tcPr>
            <w:tcW w:w="2075" w:type="dxa"/>
            <w:tcBorders>
              <w:top w:val="single" w:color="auto" w:sz="4" w:space="0"/>
              <w:left w:val="single" w:color="auto" w:sz="4" w:space="0"/>
              <w:bottom w:val="single" w:color="auto" w:sz="4" w:space="0"/>
              <w:right w:val="single" w:color="auto" w:sz="4" w:space="0"/>
            </w:tcBorders>
            <w:noWrap w:val="0"/>
            <w:vAlign w:val="center"/>
          </w:tcPr>
          <w:p w14:paraId="15C8CDA5">
            <w:pPr>
              <w:pStyle w:val="14"/>
              <w:spacing w:before="100" w:line="310" w:lineRule="exact"/>
              <w:ind w:left="102" w:right="101"/>
              <w:jc w:val="center"/>
              <w:rPr>
                <w:rFonts w:hint="eastAsia"/>
                <w:color w:val="auto"/>
                <w:sz w:val="24"/>
                <w:szCs w:val="24"/>
              </w:rPr>
            </w:pPr>
            <w:r>
              <w:rPr>
                <w:rFonts w:hint="eastAsia"/>
                <w:color w:val="auto"/>
                <w:sz w:val="24"/>
                <w:szCs w:val="24"/>
              </w:rPr>
              <w:t>出现一例超时扣</w:t>
            </w:r>
            <w:r>
              <w:rPr>
                <w:rFonts w:hint="eastAsia"/>
                <w:color w:val="auto"/>
                <w:spacing w:val="-60"/>
                <w:sz w:val="24"/>
                <w:szCs w:val="24"/>
              </w:rPr>
              <w:t xml:space="preserve"> </w:t>
            </w:r>
            <w:r>
              <w:rPr>
                <w:rFonts w:hint="eastAsia"/>
                <w:color w:val="auto"/>
                <w:sz w:val="24"/>
                <w:szCs w:val="24"/>
                <w:lang w:val="en-US"/>
              </w:rPr>
              <w:t xml:space="preserve">5 </w:t>
            </w:r>
            <w:r>
              <w:rPr>
                <w:rFonts w:hint="eastAsia"/>
                <w:color w:val="auto"/>
                <w:sz w:val="24"/>
                <w:szCs w:val="24"/>
              </w:rPr>
              <w:t>分，扣完为止</w:t>
            </w:r>
          </w:p>
        </w:tc>
        <w:tc>
          <w:tcPr>
            <w:tcW w:w="1000" w:type="dxa"/>
            <w:tcBorders>
              <w:top w:val="single" w:color="auto" w:sz="4" w:space="0"/>
              <w:left w:val="single" w:color="auto" w:sz="4" w:space="0"/>
              <w:bottom w:val="single" w:color="auto" w:sz="4" w:space="0"/>
              <w:right w:val="single" w:color="auto" w:sz="4" w:space="0"/>
            </w:tcBorders>
            <w:noWrap w:val="0"/>
            <w:vAlign w:val="center"/>
          </w:tcPr>
          <w:p w14:paraId="77D9D557">
            <w:pPr>
              <w:widowControl w:val="0"/>
              <w:spacing w:before="100" w:beforeAutospacing="1"/>
              <w:jc w:val="center"/>
              <w:rPr>
                <w:rFonts w:hint="eastAsia" w:ascii="宋体" w:hAnsi="宋体" w:eastAsia="宋体" w:cs="宋体"/>
                <w:color w:val="auto"/>
                <w:sz w:val="22"/>
                <w:szCs w:val="24"/>
                <w:lang w:eastAsia="zh-CN"/>
              </w:rPr>
            </w:pPr>
          </w:p>
        </w:tc>
        <w:tc>
          <w:tcPr>
            <w:tcW w:w="1379" w:type="dxa"/>
            <w:tcBorders>
              <w:top w:val="single" w:color="auto" w:sz="4" w:space="0"/>
              <w:left w:val="single" w:color="auto" w:sz="4" w:space="0"/>
              <w:bottom w:val="single" w:color="auto" w:sz="4" w:space="0"/>
              <w:right w:val="single" w:color="auto" w:sz="4" w:space="0"/>
            </w:tcBorders>
            <w:noWrap w:val="0"/>
            <w:vAlign w:val="center"/>
          </w:tcPr>
          <w:p w14:paraId="74975F91">
            <w:pPr>
              <w:widowControl w:val="0"/>
              <w:spacing w:before="100" w:beforeAutospacing="1"/>
              <w:jc w:val="center"/>
              <w:rPr>
                <w:rFonts w:hint="eastAsia" w:ascii="宋体" w:hAnsi="宋体" w:eastAsia="宋体" w:cs="宋体"/>
                <w:color w:val="auto"/>
                <w:sz w:val="22"/>
                <w:szCs w:val="24"/>
                <w:lang w:eastAsia="zh-CN"/>
              </w:rPr>
            </w:pPr>
          </w:p>
        </w:tc>
      </w:tr>
      <w:tr w14:paraId="6BC1F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8"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232733E9">
            <w:pPr>
              <w:pStyle w:val="14"/>
              <w:jc w:val="center"/>
              <w:rPr>
                <w:rFonts w:hint="eastAsia"/>
                <w:color w:val="auto"/>
                <w:sz w:val="24"/>
                <w:szCs w:val="24"/>
                <w:lang w:val="en-US"/>
              </w:rPr>
            </w:pPr>
            <w:r>
              <w:rPr>
                <w:rFonts w:hint="eastAsia"/>
                <w:color w:val="auto"/>
                <w:sz w:val="24"/>
                <w:szCs w:val="24"/>
                <w:lang w:val="en-US"/>
              </w:rPr>
              <w:t>6</w:t>
            </w:r>
          </w:p>
        </w:tc>
        <w:tc>
          <w:tcPr>
            <w:tcW w:w="8160" w:type="dxa"/>
            <w:tcBorders>
              <w:top w:val="single" w:color="auto" w:sz="4" w:space="0"/>
              <w:left w:val="single" w:color="auto" w:sz="4" w:space="0"/>
              <w:bottom w:val="single" w:color="auto" w:sz="4" w:space="0"/>
              <w:right w:val="single" w:color="auto" w:sz="4" w:space="0"/>
            </w:tcBorders>
            <w:noWrap w:val="0"/>
            <w:vAlign w:val="center"/>
          </w:tcPr>
          <w:p w14:paraId="493BA4A2">
            <w:pPr>
              <w:pStyle w:val="14"/>
              <w:spacing w:before="100" w:line="312" w:lineRule="exact"/>
              <w:ind w:left="103" w:right="166"/>
              <w:rPr>
                <w:rFonts w:hint="eastAsia"/>
                <w:color w:val="auto"/>
                <w:sz w:val="24"/>
                <w:szCs w:val="24"/>
              </w:rPr>
            </w:pPr>
            <w:r>
              <w:rPr>
                <w:rFonts w:hint="eastAsia"/>
                <w:color w:val="auto"/>
                <w:sz w:val="24"/>
                <w:szCs w:val="24"/>
              </w:rPr>
              <w:t>每季度第三方反馈标本送检不合格标本数量、不合格标本率，形成分析报 告。</w:t>
            </w:r>
          </w:p>
        </w:tc>
        <w:tc>
          <w:tcPr>
            <w:tcW w:w="963" w:type="dxa"/>
            <w:tcBorders>
              <w:top w:val="single" w:color="auto" w:sz="4" w:space="0"/>
              <w:left w:val="single" w:color="auto" w:sz="4" w:space="0"/>
              <w:bottom w:val="single" w:color="auto" w:sz="4" w:space="0"/>
              <w:right w:val="single" w:color="auto" w:sz="4" w:space="0"/>
            </w:tcBorders>
            <w:noWrap w:val="0"/>
            <w:vAlign w:val="center"/>
          </w:tcPr>
          <w:p w14:paraId="6096DA6D">
            <w:pPr>
              <w:pStyle w:val="14"/>
              <w:jc w:val="center"/>
              <w:rPr>
                <w:rFonts w:hint="eastAsia"/>
                <w:color w:val="auto"/>
                <w:sz w:val="24"/>
                <w:szCs w:val="24"/>
                <w:lang w:val="en-US"/>
              </w:rPr>
            </w:pPr>
            <w:r>
              <w:rPr>
                <w:rFonts w:hint="eastAsia"/>
                <w:color w:val="auto"/>
                <w:sz w:val="24"/>
                <w:szCs w:val="24"/>
                <w:lang w:val="en-US"/>
              </w:rPr>
              <w:t>20</w:t>
            </w:r>
          </w:p>
        </w:tc>
        <w:tc>
          <w:tcPr>
            <w:tcW w:w="2075" w:type="dxa"/>
            <w:tcBorders>
              <w:top w:val="single" w:color="auto" w:sz="4" w:space="0"/>
              <w:left w:val="single" w:color="auto" w:sz="4" w:space="0"/>
              <w:bottom w:val="single" w:color="auto" w:sz="4" w:space="0"/>
              <w:right w:val="single" w:color="auto" w:sz="4" w:space="0"/>
            </w:tcBorders>
            <w:noWrap w:val="0"/>
            <w:vAlign w:val="center"/>
          </w:tcPr>
          <w:p w14:paraId="73A9BBC7">
            <w:pPr>
              <w:pStyle w:val="14"/>
              <w:spacing w:before="100" w:line="312" w:lineRule="exact"/>
              <w:ind w:left="102" w:right="281"/>
              <w:jc w:val="center"/>
              <w:rPr>
                <w:rFonts w:hint="eastAsia"/>
                <w:color w:val="auto"/>
                <w:sz w:val="24"/>
                <w:szCs w:val="24"/>
              </w:rPr>
            </w:pPr>
            <w:r>
              <w:rPr>
                <w:rFonts w:hint="eastAsia"/>
                <w:color w:val="auto"/>
                <w:sz w:val="24"/>
                <w:szCs w:val="24"/>
              </w:rPr>
              <w:t>未分析或分析不 全扣相应分值</w:t>
            </w:r>
          </w:p>
        </w:tc>
        <w:tc>
          <w:tcPr>
            <w:tcW w:w="1000" w:type="dxa"/>
            <w:tcBorders>
              <w:top w:val="single" w:color="auto" w:sz="4" w:space="0"/>
              <w:left w:val="single" w:color="auto" w:sz="4" w:space="0"/>
              <w:bottom w:val="single" w:color="auto" w:sz="4" w:space="0"/>
              <w:right w:val="single" w:color="auto" w:sz="4" w:space="0"/>
            </w:tcBorders>
            <w:noWrap w:val="0"/>
            <w:vAlign w:val="center"/>
          </w:tcPr>
          <w:p w14:paraId="2EB9347F">
            <w:pPr>
              <w:widowControl w:val="0"/>
              <w:spacing w:before="100" w:beforeAutospacing="1"/>
              <w:jc w:val="center"/>
              <w:rPr>
                <w:rFonts w:hint="eastAsia" w:ascii="宋体" w:hAnsi="宋体" w:eastAsia="宋体" w:cs="宋体"/>
                <w:color w:val="auto"/>
                <w:sz w:val="22"/>
                <w:szCs w:val="24"/>
                <w:lang w:eastAsia="zh-CN"/>
              </w:rPr>
            </w:pPr>
          </w:p>
        </w:tc>
        <w:tc>
          <w:tcPr>
            <w:tcW w:w="1379" w:type="dxa"/>
            <w:tcBorders>
              <w:top w:val="single" w:color="auto" w:sz="4" w:space="0"/>
              <w:left w:val="single" w:color="auto" w:sz="4" w:space="0"/>
              <w:bottom w:val="single" w:color="auto" w:sz="4" w:space="0"/>
              <w:right w:val="single" w:color="auto" w:sz="4" w:space="0"/>
            </w:tcBorders>
            <w:noWrap w:val="0"/>
            <w:vAlign w:val="center"/>
          </w:tcPr>
          <w:p w14:paraId="71938FD1">
            <w:pPr>
              <w:widowControl w:val="0"/>
              <w:spacing w:before="100" w:beforeAutospacing="1"/>
              <w:jc w:val="center"/>
              <w:rPr>
                <w:rFonts w:hint="eastAsia" w:ascii="宋体" w:hAnsi="宋体" w:eastAsia="宋体" w:cs="宋体"/>
                <w:color w:val="auto"/>
                <w:sz w:val="22"/>
                <w:szCs w:val="24"/>
                <w:lang w:eastAsia="zh-CN"/>
              </w:rPr>
            </w:pPr>
          </w:p>
        </w:tc>
      </w:tr>
      <w:tr w14:paraId="161B2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76" w:hRule="atLeast"/>
          <w:jc w:val="center"/>
        </w:trPr>
        <w:tc>
          <w:tcPr>
            <w:tcW w:w="8880" w:type="dxa"/>
            <w:gridSpan w:val="2"/>
            <w:tcBorders>
              <w:top w:val="single" w:color="auto" w:sz="4" w:space="0"/>
              <w:left w:val="single" w:color="auto" w:sz="4" w:space="0"/>
              <w:bottom w:val="single" w:color="auto" w:sz="4" w:space="0"/>
              <w:right w:val="single" w:color="auto" w:sz="4" w:space="0"/>
            </w:tcBorders>
            <w:noWrap w:val="0"/>
            <w:vAlign w:val="center"/>
          </w:tcPr>
          <w:p w14:paraId="43EA8460">
            <w:pPr>
              <w:pStyle w:val="14"/>
              <w:spacing w:before="150"/>
              <w:ind w:left="-1" w:right="1"/>
              <w:jc w:val="center"/>
              <w:rPr>
                <w:rFonts w:hint="eastAsia"/>
                <w:color w:val="auto"/>
                <w:sz w:val="24"/>
                <w:szCs w:val="24"/>
              </w:rPr>
            </w:pPr>
            <w:r>
              <w:rPr>
                <w:rFonts w:hint="eastAsia"/>
                <w:color w:val="auto"/>
                <w:sz w:val="24"/>
                <w:szCs w:val="24"/>
              </w:rPr>
              <w:t>合计</w:t>
            </w:r>
          </w:p>
        </w:tc>
        <w:tc>
          <w:tcPr>
            <w:tcW w:w="963" w:type="dxa"/>
            <w:tcBorders>
              <w:top w:val="single" w:color="auto" w:sz="4" w:space="0"/>
              <w:left w:val="single" w:color="auto" w:sz="4" w:space="0"/>
              <w:bottom w:val="single" w:color="auto" w:sz="4" w:space="0"/>
              <w:right w:val="single" w:color="auto" w:sz="4" w:space="0"/>
            </w:tcBorders>
            <w:noWrap w:val="0"/>
            <w:vAlign w:val="center"/>
          </w:tcPr>
          <w:p w14:paraId="589107FD">
            <w:pPr>
              <w:pStyle w:val="14"/>
              <w:spacing w:before="150"/>
              <w:jc w:val="center"/>
              <w:rPr>
                <w:rFonts w:hint="eastAsia"/>
                <w:color w:val="auto"/>
                <w:sz w:val="24"/>
                <w:szCs w:val="24"/>
                <w:lang w:val="en-US"/>
              </w:rPr>
            </w:pPr>
            <w:r>
              <w:rPr>
                <w:rFonts w:hint="eastAsia"/>
                <w:color w:val="auto"/>
                <w:sz w:val="24"/>
                <w:szCs w:val="24"/>
                <w:lang w:val="en-US"/>
              </w:rPr>
              <w:t>100</w:t>
            </w:r>
          </w:p>
        </w:tc>
        <w:tc>
          <w:tcPr>
            <w:tcW w:w="2075" w:type="dxa"/>
            <w:tcBorders>
              <w:top w:val="single" w:color="auto" w:sz="4" w:space="0"/>
              <w:left w:val="single" w:color="auto" w:sz="4" w:space="0"/>
              <w:bottom w:val="single" w:color="auto" w:sz="4" w:space="0"/>
              <w:right w:val="single" w:color="auto" w:sz="4" w:space="0"/>
            </w:tcBorders>
            <w:noWrap w:val="0"/>
            <w:vAlign w:val="center"/>
          </w:tcPr>
          <w:p w14:paraId="66ADCB9B">
            <w:pPr>
              <w:pStyle w:val="14"/>
              <w:spacing w:before="150"/>
              <w:ind w:left="102"/>
              <w:jc w:val="center"/>
              <w:rPr>
                <w:rFonts w:hint="eastAsia"/>
                <w:color w:val="auto"/>
                <w:sz w:val="24"/>
                <w:szCs w:val="24"/>
              </w:rPr>
            </w:pPr>
            <w:r>
              <w:rPr>
                <w:rFonts w:hint="eastAsia"/>
                <w:color w:val="auto"/>
                <w:sz w:val="24"/>
                <w:szCs w:val="24"/>
              </w:rPr>
              <w:t>考核得分</w:t>
            </w:r>
          </w:p>
        </w:tc>
        <w:tc>
          <w:tcPr>
            <w:tcW w:w="1000" w:type="dxa"/>
            <w:tcBorders>
              <w:top w:val="single" w:color="auto" w:sz="4" w:space="0"/>
              <w:left w:val="single" w:color="auto" w:sz="4" w:space="0"/>
              <w:bottom w:val="single" w:color="auto" w:sz="4" w:space="0"/>
              <w:right w:val="single" w:color="auto" w:sz="4" w:space="0"/>
            </w:tcBorders>
            <w:noWrap w:val="0"/>
            <w:vAlign w:val="center"/>
          </w:tcPr>
          <w:p w14:paraId="7F4E34FF">
            <w:pPr>
              <w:widowControl w:val="0"/>
              <w:spacing w:before="100" w:beforeAutospacing="1"/>
              <w:jc w:val="center"/>
              <w:rPr>
                <w:rFonts w:hint="eastAsia" w:ascii="宋体" w:hAnsi="宋体" w:eastAsia="宋体" w:cs="宋体"/>
                <w:color w:val="auto"/>
                <w:sz w:val="22"/>
                <w:szCs w:val="24"/>
              </w:rPr>
            </w:pPr>
          </w:p>
        </w:tc>
        <w:tc>
          <w:tcPr>
            <w:tcW w:w="1379" w:type="dxa"/>
            <w:tcBorders>
              <w:top w:val="single" w:color="auto" w:sz="4" w:space="0"/>
              <w:left w:val="single" w:color="auto" w:sz="4" w:space="0"/>
              <w:bottom w:val="single" w:color="auto" w:sz="4" w:space="0"/>
              <w:right w:val="single" w:color="auto" w:sz="4" w:space="0"/>
            </w:tcBorders>
            <w:noWrap w:val="0"/>
            <w:vAlign w:val="center"/>
          </w:tcPr>
          <w:p w14:paraId="6C18E391">
            <w:pPr>
              <w:widowControl w:val="0"/>
              <w:spacing w:before="100" w:beforeAutospacing="1"/>
              <w:jc w:val="center"/>
              <w:rPr>
                <w:rFonts w:hint="eastAsia" w:ascii="宋体" w:hAnsi="宋体" w:eastAsia="宋体" w:cs="宋体"/>
                <w:color w:val="auto"/>
                <w:sz w:val="22"/>
                <w:szCs w:val="24"/>
              </w:rPr>
            </w:pPr>
          </w:p>
        </w:tc>
      </w:tr>
    </w:tbl>
    <w:p w14:paraId="3E204B16">
      <w:pPr>
        <w:widowControl w:val="0"/>
        <w:tabs>
          <w:tab w:val="left" w:pos="6110"/>
        </w:tabs>
        <w:spacing w:line="275" w:lineRule="exact"/>
        <w:ind w:left="638" w:leftChars="304"/>
        <w:jc w:val="both"/>
        <w:rPr>
          <w:rFonts w:hint="eastAsia" w:ascii="宋体" w:hAnsi="宋体" w:eastAsia="宋体" w:cs="宋体"/>
          <w:color w:val="auto"/>
          <w:kern w:val="2"/>
          <w:sz w:val="24"/>
          <w:szCs w:val="24"/>
          <w:lang w:eastAsia="zh-CN" w:bidi="ar"/>
        </w:rPr>
      </w:pPr>
    </w:p>
    <w:p w14:paraId="0B978F35">
      <w:pPr>
        <w:widowControl w:val="0"/>
        <w:tabs>
          <w:tab w:val="left" w:pos="6110"/>
        </w:tabs>
        <w:spacing w:line="275" w:lineRule="exact"/>
        <w:ind w:left="638" w:leftChars="304"/>
        <w:jc w:val="both"/>
        <w:rPr>
          <w:rFonts w:hint="eastAsia" w:ascii="宋体" w:hAnsi="宋体" w:eastAsia="宋体" w:cs="宋体"/>
          <w:color w:val="auto"/>
          <w:sz w:val="24"/>
          <w:szCs w:val="24"/>
        </w:rPr>
      </w:pPr>
      <w:r>
        <w:rPr>
          <w:rFonts w:hint="eastAsia" w:ascii="宋体" w:hAnsi="宋体" w:eastAsia="宋体" w:cs="宋体"/>
          <w:color w:val="auto"/>
          <w:kern w:val="2"/>
          <w:sz w:val="24"/>
          <w:szCs w:val="24"/>
          <w:lang w:eastAsia="zh-CN" w:bidi="ar"/>
        </w:rPr>
        <w:t>考核人员：</w:t>
      </w:r>
      <w:r>
        <w:rPr>
          <w:rFonts w:hint="eastAsia" w:ascii="宋体" w:hAnsi="宋体" w:eastAsia="宋体" w:cs="宋体"/>
          <w:color w:val="auto"/>
          <w:kern w:val="2"/>
          <w:sz w:val="24"/>
          <w:szCs w:val="24"/>
          <w:lang w:eastAsia="zh-CN" w:bidi="ar"/>
        </w:rPr>
        <w:tab/>
      </w:r>
      <w:r>
        <w:rPr>
          <w:rFonts w:hint="eastAsia" w:ascii="宋体" w:hAnsi="宋体" w:eastAsia="宋体" w:cs="宋体"/>
          <w:color w:val="auto"/>
          <w:kern w:val="2"/>
          <w:sz w:val="24"/>
          <w:szCs w:val="24"/>
          <w:lang w:eastAsia="zh-CN" w:bidi="ar"/>
        </w:rPr>
        <w:t>考核日期：</w:t>
      </w:r>
    </w:p>
    <w:p w14:paraId="0A9573A8">
      <w:pPr>
        <w:widowControl w:val="0"/>
        <w:spacing w:before="9"/>
        <w:ind w:left="638" w:leftChars="304"/>
        <w:jc w:val="both"/>
        <w:rPr>
          <w:rFonts w:hint="eastAsia" w:ascii="宋体" w:hAnsi="宋体" w:eastAsia="宋体" w:cs="宋体"/>
          <w:color w:val="auto"/>
          <w:sz w:val="23"/>
          <w:szCs w:val="23"/>
        </w:rPr>
      </w:pPr>
      <w:r>
        <w:rPr>
          <w:rFonts w:hint="eastAsia" w:ascii="宋体" w:hAnsi="宋体" w:eastAsia="宋体" w:cs="宋体"/>
          <w:color w:val="auto"/>
          <w:kern w:val="2"/>
          <w:sz w:val="23"/>
          <w:szCs w:val="23"/>
          <w:lang w:eastAsia="zh-CN" w:bidi="ar"/>
        </w:rPr>
        <w:t xml:space="preserve"> </w:t>
      </w:r>
    </w:p>
    <w:p w14:paraId="5CA5D06A">
      <w:pPr>
        <w:widowControl w:val="0"/>
        <w:ind w:left="638" w:leftChars="304"/>
        <w:jc w:val="both"/>
        <w:rPr>
          <w:rFonts w:hint="eastAsia" w:ascii="宋体" w:hAnsi="宋体" w:eastAsia="宋体" w:cs="宋体"/>
          <w:color w:val="auto"/>
          <w:kern w:val="2"/>
          <w:sz w:val="24"/>
          <w:szCs w:val="24"/>
          <w:lang w:eastAsia="zh-CN" w:bidi="ar"/>
        </w:rPr>
        <w:sectPr>
          <w:footerReference r:id="rId5" w:type="default"/>
          <w:pgSz w:w="16839" w:h="11906" w:orient="landscape"/>
          <w:pgMar w:top="1701" w:right="1519" w:bottom="1134" w:left="1497" w:header="0" w:footer="994" w:gutter="0"/>
          <w:cols w:space="720" w:num="1"/>
        </w:sectPr>
      </w:pPr>
      <w:r>
        <w:rPr>
          <w:rFonts w:hint="eastAsia" w:ascii="宋体" w:hAnsi="宋体" w:eastAsia="宋体" w:cs="宋体"/>
          <w:color w:val="auto"/>
          <w:kern w:val="2"/>
          <w:sz w:val="24"/>
          <w:szCs w:val="24"/>
          <w:lang w:eastAsia="zh-CN" w:bidi="ar"/>
        </w:rPr>
        <w:t>需求科室意见（签字/盖章）：</w:t>
      </w:r>
    </w:p>
    <w:p w14:paraId="525DFBC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663D93">
    <w:pPr>
      <w:pStyle w:val="4"/>
      <w:rPr>
        <w:lang w:eastAsia="zh-CN"/>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7A2C21B">
                          <w:pPr>
                            <w:pStyle w:val="4"/>
                          </w:pPr>
                          <w:r>
                            <w:fldChar w:fldCharType="begin"/>
                          </w:r>
                          <w:r>
                            <w:rPr>
                              <w:highlight w:val="white"/>
                            </w:rPr>
                            <w:instrText xml:space="preserve"> PAGE  \* MERGEFORMAT </w:instrText>
                          </w:r>
                          <w:r>
                            <w:fldChar w:fldCharType="separate"/>
                          </w:r>
                          <w:r>
                            <w:rPr>
                              <w:highlight w:val="white"/>
                            </w:rPr>
                            <w:t>75</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path/>
              <v:fill on="f" focussize="0,0"/>
              <v:stroke on="f"/>
              <v:imagedata o:title=""/>
              <o:lock v:ext="edit" aspectratio="f"/>
              <v:textbox inset="0mm,0mm,0mm,0mm" style="mso-fit-shape-to-text:t;">
                <w:txbxContent>
                  <w:p w14:paraId="47A2C21B">
                    <w:pPr>
                      <w:pStyle w:val="4"/>
                    </w:pPr>
                    <w:r>
                      <w:fldChar w:fldCharType="begin"/>
                    </w:r>
                    <w:r>
                      <w:rPr>
                        <w:highlight w:val="white"/>
                      </w:rPr>
                      <w:instrText xml:space="preserve"> PAGE  \* MERGEFORMAT </w:instrText>
                    </w:r>
                    <w:r>
                      <w:fldChar w:fldCharType="separate"/>
                    </w:r>
                    <w:r>
                      <w:rPr>
                        <w:highlight w:val="white"/>
                      </w:rPr>
                      <w:t>75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9E8B53">
    <w:pPr>
      <w:spacing w:line="14" w:lineRule="auto"/>
      <w:rPr>
        <w:sz w:val="2"/>
      </w:rPr>
    </w:pPr>
    <w:r>
      <w:rPr>
        <w:sz w:val="2"/>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ED33F86">
                          <w:pPr>
                            <w:pStyle w:val="4"/>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jHpww4AgAAb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mMenDDgCAABvBAAADgAAAAAAAAABACAAAAAfAQAAZHJzL2Uyb0RvYy54&#10;bWxQSwUGAAAAAAYABgBZAQAAyQUAAAAA&#10;">
              <v:path/>
              <v:fill on="f" focussize="0,0"/>
              <v:stroke on="f" weight="0.5pt"/>
              <v:imagedata o:title=""/>
              <o:lock v:ext="edit" aspectratio="f"/>
              <v:textbox inset="0mm,0mm,0mm,0mm" style="mso-fit-shape-to-text:t;">
                <w:txbxContent>
                  <w:p w14:paraId="4ED33F86">
                    <w:pPr>
                      <w:pStyle w:val="4"/>
                    </w:pPr>
                    <w:r>
                      <w:fldChar w:fldCharType="begin"/>
                    </w:r>
                    <w:r>
                      <w:instrText xml:space="preserve"> PAGE  \* MERGEFORMAT </w:instrText>
                    </w:r>
                    <w:r>
                      <w:fldChar w:fldCharType="separate"/>
                    </w:r>
                    <w:r>
                      <w:t>82</w:t>
                    </w:r>
                    <w:r>
                      <w:fldChar w:fldCharType="end"/>
                    </w:r>
                  </w:p>
                </w:txbxContent>
              </v:textbox>
            </v:shape>
          </w:pict>
        </mc:Fallback>
      </mc:AlternateContent>
    </w:r>
    <w:r>
      <w:rPr>
        <w:rFonts w:hint="eastAsia" w:eastAsia="宋体"/>
        <w:sz w:val="2"/>
        <w:lang w:eastAsia="zh-CN"/>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04E4C">
    <w:pPr>
      <w:pStyle w:val="4"/>
      <w:rPr>
        <w:lang w:eastAsia="zh-CN"/>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D7DBFF4">
                          <w:pPr>
                            <w:pStyle w:val="4"/>
                          </w:pPr>
                          <w:r>
                            <w:fldChar w:fldCharType="begin"/>
                          </w:r>
                          <w:r>
                            <w:rPr>
                              <w:highlight w:val="white"/>
                            </w:rPr>
                            <w:instrText xml:space="preserve"> PAGE  \* MERGEFORMAT </w:instrText>
                          </w:r>
                          <w:r>
                            <w:fldChar w:fldCharType="separate"/>
                          </w:r>
                          <w:r>
                            <w:rPr>
                              <w:highlight w:val="white"/>
                            </w:rPr>
                            <w:t>91</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6u++myQEAAJkDAAAOAAAAAAAAAAEAIAAAAB4BAABkcnMvZTJvRG9j&#10;LnhtbFBLBQYAAAAABgAGAFkBAABZBQAAAAA=&#10;">
              <v:path/>
              <v:fill on="f" focussize="0,0"/>
              <v:stroke on="f"/>
              <v:imagedata o:title=""/>
              <o:lock v:ext="edit" aspectratio="f"/>
              <v:textbox inset="0mm,0mm,0mm,0mm" style="mso-fit-shape-to-text:t;">
                <w:txbxContent>
                  <w:p w14:paraId="5D7DBFF4">
                    <w:pPr>
                      <w:pStyle w:val="4"/>
                    </w:pPr>
                    <w:r>
                      <w:fldChar w:fldCharType="begin"/>
                    </w:r>
                    <w:r>
                      <w:rPr>
                        <w:highlight w:val="white"/>
                      </w:rPr>
                      <w:instrText xml:space="preserve"> PAGE  \* MERGEFORMAT </w:instrText>
                    </w:r>
                    <w:r>
                      <w:fldChar w:fldCharType="separate"/>
                    </w:r>
                    <w:r>
                      <w:rPr>
                        <w:highlight w:val="white"/>
                      </w:rPr>
                      <w:t>91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8DF4A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customStyle="1" w:styleId="3">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4">
    <w:name w:val="footer"/>
    <w:basedOn w:val="1"/>
    <w:qFormat/>
    <w:uiPriority w:val="0"/>
    <w:pPr>
      <w:tabs>
        <w:tab w:val="center" w:pos="4153"/>
        <w:tab w:val="right" w:pos="8306"/>
      </w:tabs>
    </w:pPr>
    <w:rPr>
      <w:sz w:val="18"/>
    </w:rPr>
  </w:style>
  <w:style w:type="paragraph" w:customStyle="1" w:styleId="7">
    <w:name w:val="Table Text"/>
    <w:basedOn w:val="1"/>
    <w:semiHidden/>
    <w:qFormat/>
    <w:uiPriority w:val="0"/>
  </w:style>
  <w:style w:type="character" w:customStyle="1" w:styleId="8">
    <w:name w:val="font112"/>
    <w:basedOn w:val="6"/>
    <w:qFormat/>
    <w:uiPriority w:val="0"/>
    <w:rPr>
      <w:rFonts w:hint="eastAsia" w:ascii="微软雅黑" w:hAnsi="微软雅黑" w:eastAsia="微软雅黑" w:cs="微软雅黑"/>
      <w:color w:val="000000"/>
      <w:sz w:val="24"/>
      <w:szCs w:val="24"/>
      <w:u w:val="none"/>
    </w:rPr>
  </w:style>
  <w:style w:type="character" w:customStyle="1" w:styleId="9">
    <w:name w:val="font121"/>
    <w:basedOn w:val="6"/>
    <w:qFormat/>
    <w:uiPriority w:val="0"/>
    <w:rPr>
      <w:rFonts w:hint="default" w:ascii="Calibri" w:hAnsi="Calibri" w:cs="Calibri"/>
      <w:color w:val="000000"/>
      <w:sz w:val="24"/>
      <w:szCs w:val="24"/>
      <w:u w:val="none"/>
    </w:rPr>
  </w:style>
  <w:style w:type="character" w:customStyle="1" w:styleId="10">
    <w:name w:val="font91"/>
    <w:basedOn w:val="6"/>
    <w:qFormat/>
    <w:uiPriority w:val="0"/>
    <w:rPr>
      <w:rFonts w:hint="eastAsia" w:ascii="宋体" w:hAnsi="宋体" w:eastAsia="宋体" w:cs="宋体"/>
      <w:color w:val="000000"/>
      <w:sz w:val="24"/>
      <w:szCs w:val="24"/>
      <w:u w:val="none"/>
    </w:rPr>
  </w:style>
  <w:style w:type="character" w:customStyle="1" w:styleId="11">
    <w:name w:val="font131"/>
    <w:basedOn w:val="6"/>
    <w:qFormat/>
    <w:uiPriority w:val="0"/>
    <w:rPr>
      <w:rFonts w:hint="eastAsia" w:ascii="微软雅黑" w:hAnsi="微软雅黑" w:eastAsia="微软雅黑" w:cs="微软雅黑"/>
      <w:color w:val="000000"/>
      <w:sz w:val="24"/>
      <w:szCs w:val="24"/>
      <w:u w:val="none"/>
    </w:rPr>
  </w:style>
  <w:style w:type="character" w:customStyle="1" w:styleId="12">
    <w:name w:val="font21"/>
    <w:basedOn w:val="6"/>
    <w:qFormat/>
    <w:uiPriority w:val="0"/>
    <w:rPr>
      <w:rFonts w:hint="eastAsia" w:ascii="宋体" w:hAnsi="宋体" w:eastAsia="宋体" w:cs="宋体"/>
      <w:color w:val="000000"/>
      <w:sz w:val="24"/>
      <w:szCs w:val="24"/>
      <w:u w:val="none"/>
    </w:rPr>
  </w:style>
  <w:style w:type="character" w:customStyle="1" w:styleId="13">
    <w:name w:val="font141"/>
    <w:basedOn w:val="6"/>
    <w:qFormat/>
    <w:uiPriority w:val="0"/>
    <w:rPr>
      <w:rFonts w:hint="eastAsia" w:ascii="楷体" w:hAnsi="楷体" w:eastAsia="楷体" w:cs="楷体"/>
      <w:color w:val="FF0000"/>
      <w:sz w:val="22"/>
      <w:szCs w:val="22"/>
      <w:u w:val="none"/>
    </w:rPr>
  </w:style>
  <w:style w:type="paragraph" w:customStyle="1" w:styleId="14">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2026-06-18T08:19:42Z</dcterms:created>
  <dc:creator>Administrator</dc:creator>
  <cp:lastModifiedBy>Administrator</cp:lastModifiedBy>
  <dcterms:modified xsi:type="dcterms:W3CDTF">2026-06-18T08:20:02Z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eyJoZGlkIjoiMTJjZTMwMDQ5MzgwNDIyY2YwOWNlY2M1NjU2OGM1ZDkiLCJ1c2VySWQiOiIzMDAyNDg3NzcifQ==</vt:lpwstr>
  </property>
  <property fmtid="{D5CDD505-2E9C-101B-9397-08002B2CF9AE}" pid="4" name="ICV">
    <vt:lpwstr>E14F211F2D4E4A21BEBB9D9F7106D65A_12</vt:lpwstr>
  </property>
</Properties>
</file>