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0CF494">
      <w:pPr>
        <w:spacing w:before="143" w:line="219" w:lineRule="auto"/>
        <w:ind w:left="1511"/>
        <w:outlineLvl w:val="0"/>
        <w:rPr>
          <w:rFonts w:ascii="宋体" w:hAnsi="宋体" w:eastAsia="宋体" w:cs="宋体"/>
          <w:sz w:val="44"/>
          <w:szCs w:val="44"/>
        </w:rPr>
      </w:pPr>
      <w:bookmarkStart w:id="0" w:name="_Toc24292"/>
      <w:bookmarkStart w:id="1" w:name="_Toc28070"/>
      <w:bookmarkStart w:id="2" w:name="_Toc6331"/>
      <w:bookmarkStart w:id="3" w:name="_Toc3413"/>
      <w:bookmarkStart w:id="4" w:name="_Toc30651"/>
      <w:bookmarkStart w:id="5" w:name="_Toc14735"/>
      <w:r>
        <w:rPr>
          <w:rFonts w:ascii="宋体" w:hAnsi="宋体" w:eastAsia="宋体" w:cs="宋体"/>
          <w:b/>
          <w:bCs/>
          <w:spacing w:val="-5"/>
          <w:sz w:val="44"/>
          <w:szCs w:val="44"/>
        </w:rPr>
        <w:t>第五章</w:t>
      </w:r>
      <w:r>
        <w:rPr>
          <w:rFonts w:ascii="宋体" w:hAnsi="宋体" w:eastAsia="宋体" w:cs="宋体"/>
          <w:spacing w:val="-5"/>
          <w:sz w:val="44"/>
          <w:szCs w:val="44"/>
        </w:rPr>
        <w:t xml:space="preserve"> </w:t>
      </w:r>
      <w:r>
        <w:rPr>
          <w:rFonts w:ascii="宋体" w:hAnsi="宋体" w:eastAsia="宋体" w:cs="宋体"/>
          <w:b/>
          <w:bCs/>
          <w:spacing w:val="-5"/>
          <w:sz w:val="44"/>
          <w:szCs w:val="44"/>
        </w:rPr>
        <w:t>采购需求表及采购要求</w:t>
      </w:r>
      <w:bookmarkEnd w:id="0"/>
      <w:bookmarkEnd w:id="1"/>
      <w:bookmarkEnd w:id="2"/>
      <w:bookmarkEnd w:id="3"/>
      <w:bookmarkEnd w:id="4"/>
      <w:bookmarkEnd w:id="5"/>
    </w:p>
    <w:p w14:paraId="29A0A212">
      <w:pPr>
        <w:pStyle w:val="3"/>
        <w:spacing w:line="312" w:lineRule="auto"/>
      </w:pPr>
    </w:p>
    <w:p w14:paraId="5765B177">
      <w:pPr>
        <w:keepNext w:val="0"/>
        <w:keepLines w:val="0"/>
        <w:pageBreakBefore w:val="0"/>
        <w:widowControl/>
        <w:kinsoku w:val="0"/>
        <w:wordWrap/>
        <w:overflowPunct/>
        <w:topLinePunct w:val="0"/>
        <w:autoSpaceDE w:val="0"/>
        <w:autoSpaceDN w:val="0"/>
        <w:bidi w:val="0"/>
        <w:adjustRightInd w:val="0"/>
        <w:snapToGrid w:val="0"/>
        <w:spacing w:before="94" w:line="360" w:lineRule="auto"/>
        <w:ind w:left="415"/>
        <w:textAlignment w:val="baseline"/>
        <w:outlineLvl w:val="1"/>
        <w:rPr>
          <w:rFonts w:hint="eastAsia" w:ascii="微软雅黑" w:hAnsi="微软雅黑" w:eastAsia="微软雅黑" w:cs="微软雅黑"/>
          <w:spacing w:val="10"/>
          <w:position w:val="-1"/>
          <w:sz w:val="22"/>
          <w:szCs w:val="22"/>
          <w:lang w:eastAsia="zh-CN"/>
        </w:rPr>
      </w:pPr>
      <w:r>
        <w:rPr>
          <w:rFonts w:hint="eastAsia" w:ascii="微软雅黑" w:hAnsi="微软雅黑" w:eastAsia="微软雅黑" w:cs="微软雅黑"/>
          <w:spacing w:val="10"/>
          <w:position w:val="-1"/>
          <w:sz w:val="22"/>
          <w:szCs w:val="22"/>
          <w:lang w:eastAsia="zh-CN"/>
        </w:rPr>
        <w:t>一 、项目前期背景</w:t>
      </w:r>
    </w:p>
    <w:p w14:paraId="47DB2927">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56" w:firstLineChars="200"/>
        <w:jc w:val="both"/>
        <w:textAlignment w:val="baseline"/>
        <w:rPr>
          <w:rFonts w:hint="eastAsia" w:ascii="宋体" w:hAnsi="宋体" w:eastAsia="宋体" w:cs="宋体"/>
          <w:color w:val="auto"/>
          <w:spacing w:val="-6"/>
          <w:sz w:val="24"/>
          <w:szCs w:val="24"/>
          <w:highlight w:val="none"/>
          <w:lang w:val="en-US" w:eastAsia="zh-CN"/>
        </w:rPr>
      </w:pPr>
      <w:r>
        <w:rPr>
          <w:rFonts w:hint="eastAsia" w:ascii="宋体" w:hAnsi="宋体" w:eastAsia="宋体" w:cs="宋体"/>
          <w:color w:val="auto"/>
          <w:spacing w:val="-6"/>
          <w:sz w:val="24"/>
          <w:szCs w:val="24"/>
          <w:lang w:val="en-US" w:eastAsia="zh-CN"/>
        </w:rPr>
        <w:t>2021年2月，中共江西省委省政府颁发的一号文件明确提出实施农村人居环境整治提升五年行动，推广“万村码上通”5G+平台，健全完善“五定包干”村庄环境常态化长效管护机制。为落实省委省政府相关精神，加快推进农村人居环境长效管护机制的运行。结合我县</w:t>
      </w:r>
      <w:r>
        <w:rPr>
          <w:rFonts w:hint="default" w:ascii="宋体" w:hAnsi="宋体" w:eastAsia="宋体" w:cs="宋体"/>
          <w:color w:val="auto"/>
          <w:spacing w:val="-6"/>
          <w:sz w:val="24"/>
          <w:szCs w:val="24"/>
          <w:lang w:val="en-US" w:eastAsia="zh-CN"/>
        </w:rPr>
        <w:t>“万村码上通”5G+长效管护平台一期、二期已建成基础上，开展平台软件模块续签、云服务租赁、前端硬件维保、网络宽带与物联网卡续期、施工辅材保障及系统运维服务，确保涉农资金管理电子台账、远程电子督查、智能考核、视频监控接入、村容村貌摄像头、智慧厕所环境监测等核心功能持续稳定运行，保障农村人居环境长效管护业务不间断、监管不缺位、数据不断档，全面满足省级平台考核要求与县域日常管护需求。</w:t>
      </w:r>
    </w:p>
    <w:p w14:paraId="2F2CB62C">
      <w:pPr>
        <w:spacing w:before="94" w:line="229" w:lineRule="exact"/>
        <w:ind w:left="318"/>
        <w:outlineLvl w:val="1"/>
        <w:rPr>
          <w:rFonts w:hint="default" w:ascii="微软雅黑" w:hAnsi="微软雅黑" w:eastAsia="微软雅黑" w:cs="微软雅黑"/>
          <w:sz w:val="22"/>
          <w:szCs w:val="22"/>
          <w:lang w:val="en-US" w:eastAsia="zh-CN"/>
        </w:rPr>
      </w:pPr>
      <w:r>
        <w:rPr>
          <w:rFonts w:hint="eastAsia" w:ascii="微软雅黑" w:hAnsi="微软雅黑" w:eastAsia="微软雅黑" w:cs="微软雅黑"/>
          <w:spacing w:val="11"/>
          <w:position w:val="-1"/>
          <w:sz w:val="22"/>
          <w:szCs w:val="22"/>
          <w:highlight w:val="none"/>
          <w:lang w:eastAsia="zh-CN"/>
        </w:rPr>
        <w:t>二、</w:t>
      </w:r>
      <w:r>
        <w:rPr>
          <w:rFonts w:ascii="微软雅黑" w:hAnsi="微软雅黑" w:eastAsia="微软雅黑" w:cs="微软雅黑"/>
          <w:spacing w:val="11"/>
          <w:position w:val="-1"/>
          <w:sz w:val="22"/>
          <w:szCs w:val="22"/>
          <w:highlight w:val="none"/>
        </w:rPr>
        <w:t>采购需求表</w:t>
      </w:r>
      <w:r>
        <w:rPr>
          <w:rFonts w:hint="eastAsia" w:ascii="微软雅黑" w:hAnsi="微软雅黑" w:eastAsia="微软雅黑" w:cs="微软雅黑"/>
          <w:spacing w:val="11"/>
          <w:position w:val="-1"/>
          <w:sz w:val="22"/>
          <w:szCs w:val="22"/>
          <w:highlight w:val="none"/>
          <w:lang w:val="en-US" w:eastAsia="zh-CN"/>
        </w:rPr>
        <w:t xml:space="preserve">     </w:t>
      </w:r>
    </w:p>
    <w:p w14:paraId="6B6EC57E">
      <w:pPr>
        <w:spacing w:before="97"/>
      </w:pPr>
    </w:p>
    <w:tbl>
      <w:tblPr>
        <w:tblStyle w:val="8"/>
        <w:tblW w:w="901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65"/>
        <w:gridCol w:w="6149"/>
      </w:tblGrid>
      <w:tr w14:paraId="62962E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95" w:hRule="atLeast"/>
        </w:trPr>
        <w:tc>
          <w:tcPr>
            <w:tcW w:w="2865" w:type="dxa"/>
            <w:tcBorders>
              <w:tl2br w:val="single" w:color="000000" w:sz="2" w:space="0"/>
            </w:tcBorders>
            <w:vAlign w:val="top"/>
          </w:tcPr>
          <w:p w14:paraId="117E0F1D">
            <w:pPr>
              <w:pStyle w:val="7"/>
              <w:spacing w:before="203" w:line="223" w:lineRule="auto"/>
              <w:ind w:left="1103"/>
              <w:rPr>
                <w:rFonts w:hint="eastAsia"/>
                <w:lang w:val="en-US" w:eastAsia="zh-CN"/>
              </w:rPr>
            </w:pPr>
            <w:r>
              <w:rPr>
                <w:rFonts w:hint="eastAsia"/>
                <w:lang w:val="en-US" w:eastAsia="zh-CN"/>
              </w:rPr>
              <w:t xml:space="preserve">名   </w:t>
            </w:r>
          </w:p>
          <w:p w14:paraId="7B53CA43">
            <w:pPr>
              <w:pStyle w:val="7"/>
              <w:spacing w:before="203" w:line="223" w:lineRule="auto"/>
              <w:ind w:left="1103" w:firstLine="960" w:firstLineChars="400"/>
              <w:rPr>
                <w:rFonts w:hint="eastAsia"/>
                <w:lang w:val="en-US" w:eastAsia="zh-CN"/>
              </w:rPr>
            </w:pPr>
            <w:r>
              <w:rPr>
                <w:rFonts w:hint="eastAsia"/>
                <w:lang w:val="en-US" w:eastAsia="zh-CN"/>
              </w:rPr>
              <w:t>称</w:t>
            </w:r>
          </w:p>
          <w:p w14:paraId="444846A7">
            <w:pPr>
              <w:pStyle w:val="7"/>
              <w:spacing w:before="203" w:line="223" w:lineRule="auto"/>
              <w:ind w:firstLine="480" w:firstLineChars="200"/>
              <w:rPr>
                <w:rFonts w:hint="eastAsia"/>
                <w:lang w:val="en-US" w:eastAsia="zh-CN"/>
              </w:rPr>
            </w:pPr>
            <w:r>
              <w:rPr>
                <w:rFonts w:hint="eastAsia"/>
                <w:lang w:val="en-US" w:eastAsia="zh-CN"/>
              </w:rPr>
              <w:t>内</w:t>
            </w:r>
          </w:p>
          <w:p w14:paraId="7244075A">
            <w:pPr>
              <w:pStyle w:val="7"/>
              <w:spacing w:before="203" w:line="223" w:lineRule="auto"/>
              <w:ind w:firstLine="1200" w:firstLineChars="500"/>
              <w:rPr>
                <w:rFonts w:hint="default"/>
                <w:lang w:val="en-US" w:eastAsia="zh-CN"/>
              </w:rPr>
            </w:pPr>
            <w:r>
              <w:rPr>
                <w:rFonts w:hint="eastAsia"/>
                <w:lang w:val="en-US" w:eastAsia="zh-CN"/>
              </w:rPr>
              <w:t>容</w:t>
            </w:r>
          </w:p>
        </w:tc>
        <w:tc>
          <w:tcPr>
            <w:tcW w:w="6149" w:type="dxa"/>
            <w:vAlign w:val="top"/>
          </w:tcPr>
          <w:p w14:paraId="66A63601">
            <w:pPr>
              <w:spacing w:line="256" w:lineRule="auto"/>
              <w:rPr>
                <w:rFonts w:ascii="Arial"/>
                <w:sz w:val="21"/>
                <w:highlight w:val="none"/>
              </w:rPr>
            </w:pPr>
          </w:p>
          <w:p w14:paraId="5FB461C3">
            <w:pPr>
              <w:spacing w:line="257" w:lineRule="auto"/>
              <w:rPr>
                <w:rFonts w:ascii="Arial"/>
                <w:sz w:val="21"/>
                <w:highlight w:val="none"/>
              </w:rPr>
            </w:pPr>
          </w:p>
          <w:p w14:paraId="199C3FCB">
            <w:pPr>
              <w:spacing w:line="257" w:lineRule="auto"/>
              <w:rPr>
                <w:rFonts w:ascii="Arial"/>
                <w:sz w:val="21"/>
                <w:highlight w:val="none"/>
              </w:rPr>
            </w:pPr>
          </w:p>
          <w:p w14:paraId="26E5F05A">
            <w:pPr>
              <w:spacing w:line="257" w:lineRule="auto"/>
              <w:rPr>
                <w:rFonts w:ascii="Arial"/>
                <w:sz w:val="21"/>
                <w:highlight w:val="none"/>
              </w:rPr>
            </w:pPr>
          </w:p>
          <w:p w14:paraId="41417243">
            <w:pPr>
              <w:pStyle w:val="7"/>
              <w:spacing w:before="68" w:line="219" w:lineRule="auto"/>
              <w:ind w:left="0"/>
              <w:jc w:val="center"/>
              <w:rPr>
                <w:color w:val="FF0000"/>
                <w:spacing w:val="-1"/>
                <w:sz w:val="21"/>
                <w:szCs w:val="21"/>
                <w:highlight w:val="none"/>
              </w:rPr>
            </w:pPr>
            <w:r>
              <w:rPr>
                <w:rFonts w:hint="eastAsia" w:ascii="宋体" w:hAnsi="宋体" w:eastAsia="宋体" w:cs="宋体"/>
                <w:spacing w:val="-3"/>
                <w:sz w:val="24"/>
                <w:szCs w:val="24"/>
                <w:highlight w:val="none"/>
                <w:lang w:eastAsia="zh-CN"/>
              </w:rPr>
              <w:t>泰和县农村人居环境治理5G+长效管护平台二期维保项目</w:t>
            </w:r>
          </w:p>
        </w:tc>
      </w:tr>
      <w:tr w14:paraId="306314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3" w:hRule="atLeast"/>
        </w:trPr>
        <w:tc>
          <w:tcPr>
            <w:tcW w:w="2865" w:type="dxa"/>
            <w:vAlign w:val="top"/>
          </w:tcPr>
          <w:p w14:paraId="4D7628D8">
            <w:pPr>
              <w:pStyle w:val="7"/>
              <w:spacing w:before="268" w:line="220" w:lineRule="auto"/>
              <w:ind w:left="1199"/>
            </w:pPr>
            <w:r>
              <w:rPr>
                <w:spacing w:val="-6"/>
              </w:rPr>
              <w:t>数量</w:t>
            </w:r>
          </w:p>
        </w:tc>
        <w:tc>
          <w:tcPr>
            <w:tcW w:w="6149" w:type="dxa"/>
            <w:vAlign w:val="top"/>
          </w:tcPr>
          <w:p w14:paraId="0BF7F805">
            <w:pPr>
              <w:pStyle w:val="7"/>
              <w:spacing w:before="313" w:line="220" w:lineRule="auto"/>
              <w:ind w:left="2911"/>
              <w:rPr>
                <w:rFonts w:hint="eastAsia" w:eastAsia="宋体"/>
                <w:lang w:eastAsia="zh-CN"/>
              </w:rPr>
            </w:pPr>
            <w:r>
              <w:rPr>
                <w:rFonts w:ascii="Arial" w:hAnsi="Arial" w:eastAsia="Arial" w:cs="Arial"/>
                <w:spacing w:val="-14"/>
              </w:rPr>
              <w:t>1</w:t>
            </w:r>
            <w:r>
              <w:rPr>
                <w:rFonts w:hint="eastAsia"/>
                <w:spacing w:val="-14"/>
                <w:lang w:val="en-US" w:eastAsia="zh-CN"/>
              </w:rPr>
              <w:t>年</w:t>
            </w:r>
          </w:p>
        </w:tc>
      </w:tr>
      <w:tr w14:paraId="1A0C20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3" w:hRule="atLeast"/>
        </w:trPr>
        <w:tc>
          <w:tcPr>
            <w:tcW w:w="2865" w:type="dxa"/>
            <w:vAlign w:val="top"/>
          </w:tcPr>
          <w:p w14:paraId="4CE8518A">
            <w:pPr>
              <w:pStyle w:val="7"/>
              <w:spacing w:before="269" w:line="220" w:lineRule="auto"/>
              <w:ind w:left="1080"/>
            </w:pPr>
            <w:r>
              <w:rPr>
                <w:spacing w:val="-5"/>
              </w:rPr>
              <w:t>服务期</w:t>
            </w:r>
          </w:p>
        </w:tc>
        <w:tc>
          <w:tcPr>
            <w:tcW w:w="6149" w:type="dxa"/>
            <w:vAlign w:val="top"/>
          </w:tcPr>
          <w:p w14:paraId="4BBBE5E6">
            <w:pPr>
              <w:spacing w:before="155" w:line="219" w:lineRule="auto"/>
              <w:ind w:left="481"/>
              <w:rPr>
                <w:sz w:val="21"/>
                <w:szCs w:val="21"/>
              </w:rPr>
            </w:pPr>
            <w:r>
              <w:rPr>
                <w:rFonts w:hint="eastAsia" w:ascii="宋体" w:hAnsi="宋体" w:eastAsia="宋体" w:cs="宋体"/>
                <w:spacing w:val="-6"/>
                <w:sz w:val="24"/>
                <w:szCs w:val="24"/>
                <w:lang w:val="en-US" w:eastAsia="zh-CN"/>
              </w:rPr>
              <w:t>供应商应在《中标通知书》发出之日起10日内签订合同，自合同签</w:t>
            </w:r>
            <w:r>
              <w:rPr>
                <w:rFonts w:hint="eastAsia" w:ascii="宋体" w:hAnsi="宋体" w:eastAsia="宋体" w:cs="宋体"/>
                <w:color w:val="auto"/>
                <w:spacing w:val="-6"/>
                <w:sz w:val="24"/>
                <w:szCs w:val="24"/>
                <w:highlight w:val="none"/>
                <w:shd w:val="clear"/>
                <w:lang w:val="en-US" w:eastAsia="zh-CN"/>
              </w:rPr>
              <w:t>订之日起一年服务期。</w:t>
            </w:r>
          </w:p>
        </w:tc>
      </w:tr>
      <w:tr w14:paraId="00155C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3" w:hRule="atLeast"/>
        </w:trPr>
        <w:tc>
          <w:tcPr>
            <w:tcW w:w="2865" w:type="dxa"/>
            <w:vAlign w:val="top"/>
          </w:tcPr>
          <w:p w14:paraId="09ED273D">
            <w:pPr>
              <w:pStyle w:val="7"/>
              <w:spacing w:before="273" w:line="220" w:lineRule="auto"/>
              <w:ind w:left="960"/>
            </w:pPr>
            <w:r>
              <w:rPr>
                <w:spacing w:val="-5"/>
              </w:rPr>
              <w:t>服务地点</w:t>
            </w:r>
          </w:p>
        </w:tc>
        <w:tc>
          <w:tcPr>
            <w:tcW w:w="6149" w:type="dxa"/>
            <w:vAlign w:val="top"/>
          </w:tcPr>
          <w:p w14:paraId="6986A115">
            <w:pPr>
              <w:rPr>
                <w:rFonts w:ascii="Arial"/>
                <w:sz w:val="21"/>
              </w:rPr>
            </w:pPr>
          </w:p>
          <w:p w14:paraId="5C36BE03">
            <w:pPr>
              <w:pStyle w:val="7"/>
              <w:spacing w:before="69" w:line="219" w:lineRule="auto"/>
              <w:ind w:left="1828"/>
              <w:rPr>
                <w:sz w:val="21"/>
                <w:szCs w:val="21"/>
              </w:rPr>
            </w:pPr>
            <w:r>
              <w:rPr>
                <w:rFonts w:hint="eastAsia" w:ascii="宋体" w:hAnsi="宋体" w:eastAsia="宋体" w:cs="宋体"/>
                <w:spacing w:val="-6"/>
                <w:sz w:val="24"/>
                <w:szCs w:val="24"/>
                <w:lang w:val="en-US" w:eastAsia="zh-CN"/>
              </w:rPr>
              <w:t>采购人指定地点</w:t>
            </w:r>
          </w:p>
        </w:tc>
      </w:tr>
      <w:tr w14:paraId="434BF6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1" w:hRule="atLeast"/>
        </w:trPr>
        <w:tc>
          <w:tcPr>
            <w:tcW w:w="2865" w:type="dxa"/>
            <w:vAlign w:val="top"/>
          </w:tcPr>
          <w:p w14:paraId="47CE0283">
            <w:pPr>
              <w:pStyle w:val="7"/>
              <w:spacing w:before="277" w:line="221" w:lineRule="auto"/>
              <w:ind w:left="1201"/>
            </w:pPr>
            <w:r>
              <w:rPr>
                <w:spacing w:val="-7"/>
              </w:rPr>
              <w:t>备注</w:t>
            </w:r>
          </w:p>
        </w:tc>
        <w:tc>
          <w:tcPr>
            <w:tcW w:w="6149" w:type="dxa"/>
            <w:vAlign w:val="top"/>
          </w:tcPr>
          <w:p w14:paraId="7997CE2E">
            <w:pPr>
              <w:rPr>
                <w:rFonts w:ascii="Arial"/>
                <w:sz w:val="21"/>
              </w:rPr>
            </w:pPr>
          </w:p>
        </w:tc>
      </w:tr>
    </w:tbl>
    <w:p w14:paraId="391A00BE">
      <w:pPr>
        <w:pStyle w:val="3"/>
      </w:pPr>
    </w:p>
    <w:p w14:paraId="38D8639E">
      <w:pPr>
        <w:sectPr>
          <w:headerReference r:id="rId7" w:type="default"/>
          <w:footerReference r:id="rId8" w:type="default"/>
          <w:pgSz w:w="11906" w:h="16840"/>
          <w:pgMar w:top="400" w:right="1409" w:bottom="1214" w:left="1477" w:header="0" w:footer="968" w:gutter="0"/>
          <w:pgBorders>
            <w:top w:val="none" w:sz="0" w:space="0"/>
            <w:left w:val="none" w:sz="0" w:space="0"/>
            <w:bottom w:val="none" w:sz="0" w:space="0"/>
            <w:right w:val="none" w:sz="0" w:space="0"/>
          </w:pgBorders>
          <w:pgNumType w:fmt="decimal"/>
          <w:cols w:space="720" w:num="1"/>
        </w:sectPr>
      </w:pPr>
    </w:p>
    <w:p w14:paraId="7FC0C275">
      <w:pPr>
        <w:spacing w:before="95" w:line="230" w:lineRule="exact"/>
        <w:ind w:left="421"/>
        <w:outlineLvl w:val="1"/>
        <w:rPr>
          <w:rFonts w:hint="default" w:ascii="微软雅黑" w:hAnsi="微软雅黑" w:eastAsia="微软雅黑" w:cs="微软雅黑"/>
          <w:sz w:val="22"/>
          <w:szCs w:val="22"/>
          <w:highlight w:val="red"/>
          <w:lang w:val="en-US" w:eastAsia="zh-CN"/>
        </w:rPr>
      </w:pPr>
      <w:r>
        <w:rPr>
          <w:rFonts w:hint="eastAsia" w:ascii="微软雅黑" w:hAnsi="微软雅黑" w:eastAsia="微软雅黑" w:cs="微软雅黑"/>
          <w:spacing w:val="-34"/>
          <w:position w:val="-1"/>
          <w:sz w:val="22"/>
          <w:szCs w:val="22"/>
          <w:highlight w:val="none"/>
          <w:lang w:eastAsia="zh-CN"/>
        </w:rPr>
        <w:t>三</w:t>
      </w:r>
      <w:r>
        <w:rPr>
          <w:rFonts w:ascii="微软雅黑" w:hAnsi="微软雅黑" w:eastAsia="微软雅黑" w:cs="微软雅黑"/>
          <w:spacing w:val="-34"/>
          <w:position w:val="-1"/>
          <w:sz w:val="22"/>
          <w:szCs w:val="22"/>
          <w:highlight w:val="none"/>
        </w:rPr>
        <w:t xml:space="preserve"> </w:t>
      </w:r>
      <w:r>
        <w:rPr>
          <w:rFonts w:ascii="微软雅黑" w:hAnsi="微软雅黑" w:eastAsia="微软雅黑" w:cs="微软雅黑"/>
          <w:spacing w:val="12"/>
          <w:position w:val="-1"/>
          <w:sz w:val="22"/>
          <w:szCs w:val="22"/>
          <w:highlight w:val="none"/>
        </w:rPr>
        <w:t>、服务采购要求</w:t>
      </w:r>
      <w:r>
        <w:rPr>
          <w:rFonts w:hint="eastAsia" w:ascii="微软雅黑" w:hAnsi="微软雅黑" w:eastAsia="微软雅黑" w:cs="微软雅黑"/>
          <w:spacing w:val="12"/>
          <w:position w:val="-1"/>
          <w:sz w:val="22"/>
          <w:szCs w:val="22"/>
          <w:highlight w:val="none"/>
          <w:lang w:val="en-US" w:eastAsia="zh-CN"/>
        </w:rPr>
        <w:t xml:space="preserve">    </w:t>
      </w:r>
    </w:p>
    <w:tbl>
      <w:tblPr>
        <w:tblStyle w:val="5"/>
        <w:tblpPr w:leftFromText="180" w:rightFromText="180" w:vertAnchor="text" w:horzAnchor="page" w:tblpX="893" w:tblpY="193"/>
        <w:tblOverlap w:val="never"/>
        <w:tblW w:w="96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1196"/>
        <w:gridCol w:w="2012"/>
        <w:gridCol w:w="4759"/>
        <w:gridCol w:w="818"/>
        <w:gridCol w:w="851"/>
      </w:tblGrid>
      <w:tr w14:paraId="0D806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2" w:hRule="atLeast"/>
        </w:trPr>
        <w:tc>
          <w:tcPr>
            <w:tcW w:w="1196" w:type="dxa"/>
            <w:shd w:val="clear" w:color="auto" w:fill="auto"/>
            <w:vAlign w:val="center"/>
          </w:tcPr>
          <w:p w14:paraId="35329A2B">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snapToGrid w:val="0"/>
                <w:color w:val="000000"/>
                <w:kern w:val="0"/>
                <w:sz w:val="21"/>
                <w:szCs w:val="21"/>
                <w:u w:val="none"/>
                <w:lang w:val="en-US" w:eastAsia="zh-CN" w:bidi="ar"/>
              </w:rPr>
              <w:t>序号</w:t>
            </w:r>
          </w:p>
        </w:tc>
        <w:tc>
          <w:tcPr>
            <w:tcW w:w="2012" w:type="dxa"/>
            <w:shd w:val="clear" w:color="auto" w:fill="auto"/>
            <w:vAlign w:val="center"/>
          </w:tcPr>
          <w:p w14:paraId="61268075">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lang w:val="en-US" w:eastAsia="zh-CN"/>
              </w:rPr>
            </w:pPr>
            <w:r>
              <w:rPr>
                <w:rFonts w:hint="eastAsia" w:ascii="宋体" w:hAnsi="宋体" w:eastAsia="宋体" w:cs="宋体"/>
                <w:b/>
                <w:bCs/>
                <w:i w:val="0"/>
                <w:iCs w:val="0"/>
                <w:color w:val="000000"/>
                <w:sz w:val="21"/>
                <w:szCs w:val="21"/>
                <w:u w:val="none"/>
                <w:lang w:val="en-US" w:eastAsia="zh-CN"/>
              </w:rPr>
              <w:t>项目</w:t>
            </w:r>
          </w:p>
        </w:tc>
        <w:tc>
          <w:tcPr>
            <w:tcW w:w="4759" w:type="dxa"/>
            <w:shd w:val="clear" w:color="auto" w:fill="auto"/>
            <w:vAlign w:val="center"/>
          </w:tcPr>
          <w:p w14:paraId="5B6B9366">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snapToGrid w:val="0"/>
                <w:color w:val="000000"/>
                <w:kern w:val="0"/>
                <w:sz w:val="21"/>
                <w:szCs w:val="21"/>
                <w:u w:val="none"/>
                <w:lang w:val="en-US" w:eastAsia="zh-CN" w:bidi="ar"/>
              </w:rPr>
              <w:t>内容</w:t>
            </w:r>
          </w:p>
        </w:tc>
        <w:tc>
          <w:tcPr>
            <w:tcW w:w="818" w:type="dxa"/>
            <w:shd w:val="clear" w:color="auto" w:fill="auto"/>
            <w:vAlign w:val="center"/>
          </w:tcPr>
          <w:p w14:paraId="61DF3412">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snapToGrid w:val="0"/>
                <w:color w:val="000000"/>
                <w:kern w:val="0"/>
                <w:sz w:val="21"/>
                <w:szCs w:val="21"/>
                <w:u w:val="none"/>
                <w:lang w:val="en-US" w:eastAsia="zh-CN" w:bidi="ar"/>
              </w:rPr>
              <w:t>数量</w:t>
            </w:r>
          </w:p>
        </w:tc>
        <w:tc>
          <w:tcPr>
            <w:tcW w:w="851" w:type="dxa"/>
            <w:shd w:val="clear" w:color="auto" w:fill="auto"/>
            <w:vAlign w:val="center"/>
          </w:tcPr>
          <w:p w14:paraId="32C8B033">
            <w:pPr>
              <w:keepNext w:val="0"/>
              <w:keepLines w:val="0"/>
              <w:widowControl/>
              <w:suppressLineNumbers w:val="0"/>
              <w:jc w:val="center"/>
              <w:textAlignment w:val="center"/>
              <w:rPr>
                <w:rFonts w:hint="default" w:ascii="宋体" w:hAnsi="宋体" w:eastAsia="宋体" w:cs="宋体"/>
                <w:b/>
                <w:bCs/>
                <w:i w:val="0"/>
                <w:iCs w:val="0"/>
                <w:snapToGrid w:val="0"/>
                <w:color w:val="000000"/>
                <w:kern w:val="0"/>
                <w:sz w:val="21"/>
                <w:szCs w:val="21"/>
                <w:u w:val="none"/>
                <w:lang w:val="en-US" w:eastAsia="zh-CN" w:bidi="ar"/>
              </w:rPr>
            </w:pPr>
            <w:r>
              <w:rPr>
                <w:rFonts w:hint="eastAsia" w:ascii="宋体" w:hAnsi="宋体" w:eastAsia="宋体" w:cs="宋体"/>
                <w:b/>
                <w:bCs/>
                <w:i w:val="0"/>
                <w:iCs w:val="0"/>
                <w:snapToGrid w:val="0"/>
                <w:color w:val="000000"/>
                <w:kern w:val="0"/>
                <w:sz w:val="21"/>
                <w:szCs w:val="21"/>
                <w:u w:val="none"/>
                <w:lang w:val="en-US" w:eastAsia="zh-CN" w:bidi="ar"/>
              </w:rPr>
              <w:t>单位</w:t>
            </w:r>
          </w:p>
        </w:tc>
      </w:tr>
      <w:tr w14:paraId="4D0E7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2" w:hRule="atLeast"/>
        </w:trPr>
        <w:tc>
          <w:tcPr>
            <w:tcW w:w="3208" w:type="dxa"/>
            <w:gridSpan w:val="2"/>
            <w:shd w:val="clear" w:color="auto" w:fill="auto"/>
            <w:vAlign w:val="center"/>
          </w:tcPr>
          <w:p w14:paraId="30074F98">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snapToGrid w:val="0"/>
                <w:color w:val="000000"/>
                <w:kern w:val="0"/>
                <w:sz w:val="21"/>
                <w:szCs w:val="21"/>
                <w:u w:val="none"/>
                <w:lang w:val="en-US" w:eastAsia="zh-CN" w:bidi="ar"/>
              </w:rPr>
              <w:t>一、平台服务　</w:t>
            </w:r>
          </w:p>
        </w:tc>
        <w:tc>
          <w:tcPr>
            <w:tcW w:w="4759" w:type="dxa"/>
            <w:shd w:val="clear" w:color="auto" w:fill="auto"/>
            <w:vAlign w:val="center"/>
          </w:tcPr>
          <w:p w14:paraId="398C861F">
            <w:pPr>
              <w:jc w:val="center"/>
              <w:rPr>
                <w:rFonts w:hint="eastAsia" w:ascii="宋体" w:hAnsi="宋体" w:eastAsia="宋体" w:cs="宋体"/>
                <w:i w:val="0"/>
                <w:iCs w:val="0"/>
                <w:color w:val="000000"/>
                <w:sz w:val="21"/>
                <w:szCs w:val="21"/>
                <w:u w:val="none"/>
              </w:rPr>
            </w:pPr>
          </w:p>
        </w:tc>
        <w:tc>
          <w:tcPr>
            <w:tcW w:w="818" w:type="dxa"/>
            <w:shd w:val="clear" w:color="auto" w:fill="auto"/>
            <w:vAlign w:val="center"/>
          </w:tcPr>
          <w:p w14:paraId="35D18716">
            <w:pPr>
              <w:jc w:val="center"/>
              <w:rPr>
                <w:rFonts w:hint="default" w:ascii="Times New Roman" w:hAnsi="Times New Roman" w:eastAsia="宋体" w:cs="Times New Roman"/>
                <w:i w:val="0"/>
                <w:iCs w:val="0"/>
                <w:color w:val="000000"/>
                <w:sz w:val="21"/>
                <w:szCs w:val="21"/>
                <w:u w:val="none"/>
              </w:rPr>
            </w:pPr>
          </w:p>
        </w:tc>
        <w:tc>
          <w:tcPr>
            <w:tcW w:w="851" w:type="dxa"/>
            <w:shd w:val="clear" w:color="auto" w:fill="auto"/>
            <w:vAlign w:val="center"/>
          </w:tcPr>
          <w:p w14:paraId="10C68813">
            <w:pPr>
              <w:jc w:val="center"/>
              <w:rPr>
                <w:rFonts w:hint="default" w:ascii="Times New Roman" w:hAnsi="Times New Roman" w:eastAsia="宋体" w:cs="Times New Roman"/>
                <w:i w:val="0"/>
                <w:iCs w:val="0"/>
                <w:color w:val="000000"/>
                <w:sz w:val="21"/>
                <w:szCs w:val="21"/>
                <w:u w:val="none"/>
              </w:rPr>
            </w:pPr>
          </w:p>
        </w:tc>
      </w:tr>
      <w:tr w14:paraId="3E5A4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83" w:hRule="atLeast"/>
        </w:trPr>
        <w:tc>
          <w:tcPr>
            <w:tcW w:w="1196" w:type="dxa"/>
            <w:shd w:val="clear" w:color="auto" w:fill="auto"/>
            <w:noWrap/>
            <w:vAlign w:val="center"/>
          </w:tcPr>
          <w:p w14:paraId="41DE95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c>
          <w:tcPr>
            <w:tcW w:w="2012" w:type="dxa"/>
            <w:shd w:val="clear" w:color="auto" w:fill="auto"/>
            <w:noWrap/>
            <w:vAlign w:val="center"/>
          </w:tcPr>
          <w:p w14:paraId="1ECDD1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云服务器租赁费用</w:t>
            </w:r>
          </w:p>
        </w:tc>
        <w:tc>
          <w:tcPr>
            <w:tcW w:w="4759" w:type="dxa"/>
            <w:shd w:val="clear" w:color="auto" w:fill="auto"/>
            <w:vAlign w:val="center"/>
          </w:tcPr>
          <w:p w14:paraId="3B7EBA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云主机 ≥8核CPU\16G内存\500G SATA硬盘</w:t>
            </w:r>
          </w:p>
        </w:tc>
        <w:tc>
          <w:tcPr>
            <w:tcW w:w="818" w:type="dxa"/>
            <w:shd w:val="clear" w:color="auto" w:fill="auto"/>
            <w:noWrap/>
            <w:vAlign w:val="center"/>
          </w:tcPr>
          <w:p w14:paraId="376076B8">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snapToGrid w:val="0"/>
                <w:color w:val="000000"/>
                <w:kern w:val="0"/>
                <w:sz w:val="22"/>
                <w:szCs w:val="22"/>
                <w:u w:val="none"/>
                <w:lang w:val="en-US" w:eastAsia="zh-CN" w:bidi="ar"/>
              </w:rPr>
              <w:t>1</w:t>
            </w:r>
          </w:p>
        </w:tc>
        <w:tc>
          <w:tcPr>
            <w:tcW w:w="851" w:type="dxa"/>
            <w:shd w:val="clear" w:color="auto" w:fill="auto"/>
            <w:noWrap/>
            <w:vAlign w:val="center"/>
          </w:tcPr>
          <w:p w14:paraId="033A147C">
            <w:pPr>
              <w:keepNext w:val="0"/>
              <w:keepLines w:val="0"/>
              <w:widowControl/>
              <w:suppressLineNumbers w:val="0"/>
              <w:jc w:val="center"/>
              <w:textAlignment w:val="center"/>
              <w:rPr>
                <w:rFonts w:hint="eastAsia" w:ascii="宋体" w:hAnsi="宋体" w:eastAsia="宋体" w:cs="宋体"/>
                <w:i w:val="0"/>
                <w:iCs w:val="0"/>
                <w:snapToGrid w:val="0"/>
                <w:color w:val="000000"/>
                <w:kern w:val="0"/>
                <w:sz w:val="22"/>
                <w:szCs w:val="22"/>
                <w:u w:val="none"/>
                <w:lang w:val="en-US" w:eastAsia="zh-CN" w:bidi="ar"/>
              </w:rPr>
            </w:pPr>
            <w:r>
              <w:rPr>
                <w:rFonts w:hint="eastAsia" w:ascii="宋体" w:hAnsi="宋体" w:eastAsia="宋体" w:cs="宋体"/>
                <w:i w:val="0"/>
                <w:iCs w:val="0"/>
                <w:snapToGrid w:val="0"/>
                <w:color w:val="000000"/>
                <w:kern w:val="0"/>
                <w:sz w:val="22"/>
                <w:szCs w:val="22"/>
                <w:u w:val="none"/>
                <w:lang w:val="en-US" w:eastAsia="zh-CN" w:bidi="ar"/>
              </w:rPr>
              <w:t>项</w:t>
            </w:r>
          </w:p>
        </w:tc>
      </w:tr>
      <w:tr w14:paraId="6F9DF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54" w:hRule="atLeast"/>
        </w:trPr>
        <w:tc>
          <w:tcPr>
            <w:tcW w:w="1196" w:type="dxa"/>
            <w:shd w:val="clear" w:color="auto" w:fill="auto"/>
            <w:noWrap/>
            <w:vAlign w:val="center"/>
          </w:tcPr>
          <w:p w14:paraId="37ABF8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2</w:t>
            </w:r>
          </w:p>
        </w:tc>
        <w:tc>
          <w:tcPr>
            <w:tcW w:w="2012" w:type="dxa"/>
            <w:shd w:val="clear" w:color="auto" w:fill="auto"/>
            <w:noWrap/>
            <w:vAlign w:val="center"/>
          </w:tcPr>
          <w:p w14:paraId="2CE015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系统安全费用</w:t>
            </w:r>
          </w:p>
        </w:tc>
        <w:tc>
          <w:tcPr>
            <w:tcW w:w="4759" w:type="dxa"/>
            <w:shd w:val="clear" w:color="auto" w:fill="auto"/>
            <w:vAlign w:val="center"/>
          </w:tcPr>
          <w:p w14:paraId="063EFB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服务器安全卫士（旗舰版）包含安全概览、资产管理、入侵检测（异常登录、暴力破解、后门检测、可疑操作、反弹Shell、进程提权、Webshell检测、端口蜜罐）、漏洞扫描、基线管理、病毒查杀、文件完整性保护、勒索诱饵防护等全部功能。</w:t>
            </w:r>
          </w:p>
        </w:tc>
        <w:tc>
          <w:tcPr>
            <w:tcW w:w="818" w:type="dxa"/>
            <w:shd w:val="clear" w:color="auto" w:fill="auto"/>
            <w:noWrap/>
            <w:vAlign w:val="center"/>
          </w:tcPr>
          <w:p w14:paraId="07A8AB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c>
          <w:tcPr>
            <w:tcW w:w="851" w:type="dxa"/>
            <w:shd w:val="clear" w:color="auto" w:fill="auto"/>
            <w:noWrap/>
            <w:vAlign w:val="center"/>
          </w:tcPr>
          <w:p w14:paraId="5B2FE9E1">
            <w:pPr>
              <w:keepNext w:val="0"/>
              <w:keepLines w:val="0"/>
              <w:widowControl/>
              <w:suppressLineNumbers w:val="0"/>
              <w:jc w:val="center"/>
              <w:textAlignment w:val="center"/>
              <w:rPr>
                <w:rFonts w:hint="eastAsia" w:ascii="宋体" w:hAnsi="宋体" w:eastAsia="宋体" w:cs="宋体"/>
                <w:i w:val="0"/>
                <w:iCs w:val="0"/>
                <w:snapToGrid w:val="0"/>
                <w:color w:val="000000"/>
                <w:kern w:val="0"/>
                <w:sz w:val="22"/>
                <w:szCs w:val="22"/>
                <w:u w:val="none"/>
                <w:lang w:val="en-US" w:eastAsia="zh-CN" w:bidi="ar"/>
              </w:rPr>
            </w:pPr>
            <w:r>
              <w:rPr>
                <w:rFonts w:hint="eastAsia" w:ascii="宋体" w:hAnsi="宋体" w:eastAsia="宋体" w:cs="宋体"/>
                <w:i w:val="0"/>
                <w:iCs w:val="0"/>
                <w:snapToGrid w:val="0"/>
                <w:color w:val="000000"/>
                <w:kern w:val="0"/>
                <w:sz w:val="22"/>
                <w:szCs w:val="22"/>
                <w:u w:val="none"/>
                <w:lang w:val="en-US" w:eastAsia="zh-CN" w:bidi="ar"/>
              </w:rPr>
              <w:t>项</w:t>
            </w:r>
          </w:p>
        </w:tc>
      </w:tr>
      <w:tr w14:paraId="0E46A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87" w:hRule="atLeast"/>
        </w:trPr>
        <w:tc>
          <w:tcPr>
            <w:tcW w:w="1196" w:type="dxa"/>
            <w:shd w:val="clear" w:color="auto" w:fill="auto"/>
            <w:noWrap/>
            <w:vAlign w:val="center"/>
          </w:tcPr>
          <w:p w14:paraId="69B99D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3</w:t>
            </w:r>
          </w:p>
        </w:tc>
        <w:tc>
          <w:tcPr>
            <w:tcW w:w="2012" w:type="dxa"/>
            <w:shd w:val="clear" w:color="auto" w:fill="auto"/>
            <w:noWrap/>
            <w:vAlign w:val="center"/>
          </w:tcPr>
          <w:p w14:paraId="2ED064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视频监控接入费用</w:t>
            </w:r>
          </w:p>
        </w:tc>
        <w:tc>
          <w:tcPr>
            <w:tcW w:w="4759" w:type="dxa"/>
            <w:shd w:val="clear" w:color="auto" w:fill="auto"/>
            <w:vAlign w:val="center"/>
          </w:tcPr>
          <w:p w14:paraId="7127F1CA">
            <w:pPr>
              <w:keepNext w:val="0"/>
              <w:keepLines w:val="0"/>
              <w:widowControl/>
              <w:suppressLineNumbers w:val="0"/>
              <w:jc w:val="center"/>
              <w:textAlignment w:val="center"/>
              <w:rPr>
                <w:rFonts w:hint="default" w:ascii="宋体" w:hAnsi="宋体" w:eastAsia="宋体" w:cs="宋体"/>
                <w:i w:val="0"/>
                <w:iCs w:val="0"/>
                <w:color w:val="auto"/>
                <w:sz w:val="22"/>
                <w:szCs w:val="22"/>
                <w:u w:val="none"/>
                <w:lang w:val="en-US" w:eastAsia="zh-CN"/>
              </w:rPr>
            </w:pPr>
            <w:r>
              <w:rPr>
                <w:rFonts w:hint="eastAsia" w:ascii="宋体" w:hAnsi="宋体" w:eastAsia="宋体" w:cs="宋体"/>
                <w:i w:val="0"/>
                <w:iCs w:val="0"/>
                <w:snapToGrid w:val="0"/>
                <w:color w:val="auto"/>
                <w:kern w:val="0"/>
                <w:sz w:val="22"/>
                <w:szCs w:val="22"/>
                <w:highlight w:val="none"/>
                <w:u w:val="none"/>
                <w:lang w:val="en-US" w:eastAsia="zh-CN" w:bidi="ar"/>
              </w:rPr>
              <w:t>社会资源点摄像头推送</w:t>
            </w:r>
            <w:r>
              <w:rPr>
                <w:color w:val="auto"/>
                <w:highlight w:val="none"/>
              </w:rPr>
              <w:commentReference w:id="0"/>
            </w:r>
            <w:r>
              <w:rPr>
                <w:rFonts w:hint="eastAsia" w:eastAsia="宋体"/>
                <w:color w:val="auto"/>
                <w:highlight w:val="none"/>
                <w:lang w:eastAsia="zh-CN"/>
              </w:rPr>
              <w:t>，数量</w:t>
            </w:r>
            <w:r>
              <w:rPr>
                <w:rFonts w:hint="eastAsia" w:eastAsia="宋体"/>
                <w:color w:val="auto"/>
                <w:highlight w:val="none"/>
                <w:lang w:val="en-US" w:eastAsia="zh-CN"/>
              </w:rPr>
              <w:t>4000路左右</w:t>
            </w:r>
          </w:p>
        </w:tc>
        <w:tc>
          <w:tcPr>
            <w:tcW w:w="818" w:type="dxa"/>
            <w:shd w:val="clear" w:color="auto" w:fill="auto"/>
            <w:noWrap/>
            <w:vAlign w:val="center"/>
          </w:tcPr>
          <w:p w14:paraId="0474A2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c>
          <w:tcPr>
            <w:tcW w:w="851" w:type="dxa"/>
            <w:shd w:val="clear" w:color="auto" w:fill="auto"/>
            <w:noWrap/>
            <w:vAlign w:val="center"/>
          </w:tcPr>
          <w:p w14:paraId="01A62084">
            <w:pPr>
              <w:keepNext w:val="0"/>
              <w:keepLines w:val="0"/>
              <w:widowControl/>
              <w:suppressLineNumbers w:val="0"/>
              <w:jc w:val="center"/>
              <w:textAlignment w:val="center"/>
              <w:rPr>
                <w:rFonts w:hint="eastAsia" w:ascii="宋体" w:hAnsi="宋体" w:eastAsia="宋体" w:cs="宋体"/>
                <w:i w:val="0"/>
                <w:iCs w:val="0"/>
                <w:snapToGrid w:val="0"/>
                <w:color w:val="000000"/>
                <w:kern w:val="0"/>
                <w:sz w:val="22"/>
                <w:szCs w:val="22"/>
                <w:u w:val="none"/>
                <w:lang w:val="en-US" w:eastAsia="zh-CN" w:bidi="ar"/>
              </w:rPr>
            </w:pPr>
            <w:r>
              <w:rPr>
                <w:rFonts w:hint="eastAsia" w:ascii="宋体" w:hAnsi="宋体" w:eastAsia="宋体" w:cs="宋体"/>
                <w:i w:val="0"/>
                <w:iCs w:val="0"/>
                <w:snapToGrid w:val="0"/>
                <w:color w:val="000000"/>
                <w:kern w:val="0"/>
                <w:sz w:val="22"/>
                <w:szCs w:val="22"/>
                <w:u w:val="none"/>
                <w:lang w:val="en-US" w:eastAsia="zh-CN" w:bidi="ar"/>
              </w:rPr>
              <w:t>项</w:t>
            </w:r>
          </w:p>
        </w:tc>
      </w:tr>
      <w:tr w14:paraId="47875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87" w:hRule="atLeast"/>
        </w:trPr>
        <w:tc>
          <w:tcPr>
            <w:tcW w:w="1196" w:type="dxa"/>
            <w:shd w:val="clear" w:color="auto" w:fill="auto"/>
            <w:noWrap/>
            <w:vAlign w:val="center"/>
          </w:tcPr>
          <w:p w14:paraId="51313B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4</w:t>
            </w:r>
          </w:p>
        </w:tc>
        <w:tc>
          <w:tcPr>
            <w:tcW w:w="2012" w:type="dxa"/>
            <w:shd w:val="clear" w:color="auto" w:fill="auto"/>
            <w:noWrap/>
            <w:vAlign w:val="center"/>
          </w:tcPr>
          <w:p w14:paraId="4D9F23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平台运维</w:t>
            </w:r>
          </w:p>
        </w:tc>
        <w:tc>
          <w:tcPr>
            <w:tcW w:w="4759" w:type="dxa"/>
            <w:shd w:val="clear" w:color="auto" w:fill="auto"/>
            <w:vAlign w:val="center"/>
          </w:tcPr>
          <w:p w14:paraId="199A3917">
            <w:pPr>
              <w:keepNext w:val="0"/>
              <w:keepLines w:val="0"/>
              <w:widowControl/>
              <w:suppressLineNumbers w:val="0"/>
              <w:jc w:val="center"/>
              <w:textAlignment w:val="center"/>
              <w:rPr>
                <w:rFonts w:hint="eastAsia" w:ascii="宋体" w:hAnsi="宋体" w:eastAsia="宋体" w:cs="宋体"/>
                <w:i w:val="0"/>
                <w:iCs w:val="0"/>
                <w:color w:val="auto"/>
                <w:sz w:val="22"/>
                <w:szCs w:val="22"/>
                <w:u w:val="none"/>
                <w:lang w:eastAsia="zh-CN"/>
              </w:rPr>
            </w:pPr>
            <w:r>
              <w:rPr>
                <w:rFonts w:hint="eastAsia" w:ascii="宋体" w:hAnsi="宋体" w:eastAsia="宋体" w:cs="宋体"/>
                <w:i w:val="0"/>
                <w:iCs w:val="0"/>
                <w:snapToGrid w:val="0"/>
                <w:color w:val="auto"/>
                <w:kern w:val="0"/>
                <w:sz w:val="22"/>
                <w:szCs w:val="22"/>
                <w:highlight w:val="none"/>
                <w:u w:val="none"/>
                <w:lang w:val="en-US" w:eastAsia="zh-CN" w:bidi="ar"/>
              </w:rPr>
              <w:t>5G长效管护平台软件维护</w:t>
            </w:r>
            <w:r>
              <w:rPr>
                <w:color w:val="auto"/>
                <w:highlight w:val="none"/>
              </w:rPr>
              <w:commentReference w:id="1"/>
            </w:r>
            <w:r>
              <w:rPr>
                <w:rFonts w:hint="eastAsia" w:eastAsia="宋体"/>
                <w:color w:val="auto"/>
                <w:highlight w:val="none"/>
                <w:lang w:eastAsia="zh-CN"/>
              </w:rPr>
              <w:t>（系统软件巡查、在线技术咨询及故障相应、远程补丁升级服务、重大活动平台保障服务、平台培训等）</w:t>
            </w:r>
          </w:p>
        </w:tc>
        <w:tc>
          <w:tcPr>
            <w:tcW w:w="818" w:type="dxa"/>
            <w:shd w:val="clear" w:color="auto" w:fill="auto"/>
            <w:noWrap/>
            <w:vAlign w:val="center"/>
          </w:tcPr>
          <w:p w14:paraId="10091B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c>
          <w:tcPr>
            <w:tcW w:w="851" w:type="dxa"/>
            <w:shd w:val="clear" w:color="auto" w:fill="auto"/>
            <w:noWrap/>
            <w:vAlign w:val="center"/>
          </w:tcPr>
          <w:p w14:paraId="02FB31E4">
            <w:pPr>
              <w:keepNext w:val="0"/>
              <w:keepLines w:val="0"/>
              <w:widowControl/>
              <w:suppressLineNumbers w:val="0"/>
              <w:jc w:val="center"/>
              <w:textAlignment w:val="center"/>
              <w:rPr>
                <w:rFonts w:hint="eastAsia" w:ascii="宋体" w:hAnsi="宋体" w:eastAsia="宋体" w:cs="宋体"/>
                <w:i w:val="0"/>
                <w:iCs w:val="0"/>
                <w:snapToGrid w:val="0"/>
                <w:color w:val="000000"/>
                <w:kern w:val="0"/>
                <w:sz w:val="22"/>
                <w:szCs w:val="22"/>
                <w:u w:val="none"/>
                <w:lang w:val="en-US" w:eastAsia="zh-CN" w:bidi="ar"/>
              </w:rPr>
            </w:pPr>
            <w:r>
              <w:rPr>
                <w:rFonts w:hint="eastAsia" w:ascii="宋体" w:hAnsi="宋体" w:eastAsia="宋体" w:cs="宋体"/>
                <w:i w:val="0"/>
                <w:iCs w:val="0"/>
                <w:snapToGrid w:val="0"/>
                <w:color w:val="000000"/>
                <w:kern w:val="0"/>
                <w:sz w:val="22"/>
                <w:szCs w:val="22"/>
                <w:u w:val="none"/>
                <w:lang w:val="en-US" w:eastAsia="zh-CN" w:bidi="ar"/>
              </w:rPr>
              <w:t>项</w:t>
            </w:r>
          </w:p>
        </w:tc>
      </w:tr>
      <w:tr w14:paraId="17452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18" w:hRule="atLeast"/>
        </w:trPr>
        <w:tc>
          <w:tcPr>
            <w:tcW w:w="3208" w:type="dxa"/>
            <w:gridSpan w:val="2"/>
            <w:shd w:val="clear" w:color="auto" w:fill="auto"/>
            <w:vAlign w:val="center"/>
          </w:tcPr>
          <w:p w14:paraId="58D602FA">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snapToGrid w:val="0"/>
                <w:color w:val="000000"/>
                <w:kern w:val="0"/>
                <w:sz w:val="21"/>
                <w:szCs w:val="21"/>
                <w:u w:val="none"/>
                <w:lang w:val="en-US" w:eastAsia="zh-CN" w:bidi="ar"/>
              </w:rPr>
              <w:t>二、视频监控服务　</w:t>
            </w:r>
          </w:p>
        </w:tc>
        <w:tc>
          <w:tcPr>
            <w:tcW w:w="4759" w:type="dxa"/>
            <w:shd w:val="clear" w:color="auto" w:fill="auto"/>
            <w:vAlign w:val="center"/>
          </w:tcPr>
          <w:p w14:paraId="14074365">
            <w:pPr>
              <w:jc w:val="center"/>
              <w:rPr>
                <w:rFonts w:hint="eastAsia" w:ascii="宋体" w:hAnsi="宋体" w:eastAsia="宋体" w:cs="宋体"/>
                <w:i w:val="0"/>
                <w:iCs w:val="0"/>
                <w:color w:val="000000"/>
                <w:sz w:val="22"/>
                <w:szCs w:val="22"/>
                <w:u w:val="none"/>
              </w:rPr>
            </w:pPr>
          </w:p>
        </w:tc>
        <w:tc>
          <w:tcPr>
            <w:tcW w:w="818" w:type="dxa"/>
            <w:shd w:val="clear" w:color="auto" w:fill="auto"/>
            <w:noWrap/>
            <w:vAlign w:val="center"/>
          </w:tcPr>
          <w:p w14:paraId="545DDB27">
            <w:pPr>
              <w:jc w:val="center"/>
              <w:rPr>
                <w:rFonts w:hint="eastAsia" w:ascii="宋体" w:hAnsi="宋体" w:eastAsia="宋体" w:cs="宋体"/>
                <w:i w:val="0"/>
                <w:iCs w:val="0"/>
                <w:color w:val="000000"/>
                <w:sz w:val="22"/>
                <w:szCs w:val="22"/>
                <w:u w:val="none"/>
              </w:rPr>
            </w:pPr>
          </w:p>
        </w:tc>
        <w:tc>
          <w:tcPr>
            <w:tcW w:w="851" w:type="dxa"/>
            <w:shd w:val="clear" w:color="auto" w:fill="auto"/>
            <w:noWrap/>
            <w:vAlign w:val="center"/>
          </w:tcPr>
          <w:p w14:paraId="2B1647D4">
            <w:pPr>
              <w:jc w:val="center"/>
              <w:rPr>
                <w:rFonts w:hint="eastAsia" w:ascii="宋体" w:hAnsi="宋体" w:eastAsia="宋体" w:cs="宋体"/>
                <w:i w:val="0"/>
                <w:iCs w:val="0"/>
                <w:color w:val="000000"/>
                <w:sz w:val="22"/>
                <w:szCs w:val="22"/>
                <w:u w:val="none"/>
              </w:rPr>
            </w:pPr>
          </w:p>
        </w:tc>
      </w:tr>
      <w:tr w14:paraId="7D893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18" w:hRule="atLeast"/>
        </w:trPr>
        <w:tc>
          <w:tcPr>
            <w:tcW w:w="1196" w:type="dxa"/>
            <w:shd w:val="clear" w:color="auto" w:fill="auto"/>
            <w:noWrap/>
            <w:vAlign w:val="center"/>
          </w:tcPr>
          <w:p w14:paraId="2D32CC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c>
          <w:tcPr>
            <w:tcW w:w="2012" w:type="dxa"/>
            <w:shd w:val="clear" w:color="auto" w:fill="auto"/>
            <w:noWrap/>
            <w:vAlign w:val="center"/>
          </w:tcPr>
          <w:p w14:paraId="7D13C3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网络接入</w:t>
            </w:r>
          </w:p>
        </w:tc>
        <w:tc>
          <w:tcPr>
            <w:tcW w:w="4759" w:type="dxa"/>
            <w:shd w:val="clear" w:color="auto" w:fill="auto"/>
            <w:vAlign w:val="center"/>
          </w:tcPr>
          <w:p w14:paraId="7C9F6D0D">
            <w:pPr>
              <w:keepNext w:val="0"/>
              <w:keepLines w:val="0"/>
              <w:widowControl/>
              <w:suppressLineNumbers w:val="0"/>
              <w:jc w:val="center"/>
              <w:textAlignment w:val="center"/>
              <w:rPr>
                <w:rFonts w:hint="eastAsia" w:ascii="宋体" w:hAnsi="宋体" w:eastAsia="宋体" w:cs="宋体"/>
                <w:i w:val="0"/>
                <w:iCs w:val="0"/>
                <w:color w:val="FF0000"/>
                <w:sz w:val="22"/>
                <w:szCs w:val="22"/>
                <w:highlight w:val="none"/>
                <w:u w:val="none"/>
                <w:lang w:eastAsia="zh-CN"/>
              </w:rPr>
            </w:pPr>
            <w:r>
              <w:rPr>
                <w:rFonts w:hint="eastAsia" w:ascii="宋体" w:hAnsi="宋体" w:eastAsia="宋体" w:cs="宋体"/>
                <w:i w:val="0"/>
                <w:iCs w:val="0"/>
                <w:snapToGrid w:val="0"/>
                <w:color w:val="auto"/>
                <w:kern w:val="0"/>
                <w:sz w:val="22"/>
                <w:szCs w:val="22"/>
                <w:highlight w:val="none"/>
                <w:u w:val="none"/>
                <w:lang w:val="en-US" w:eastAsia="zh-CN" w:bidi="ar"/>
              </w:rPr>
              <w:t>≧100M宽带</w:t>
            </w:r>
          </w:p>
        </w:tc>
        <w:tc>
          <w:tcPr>
            <w:tcW w:w="818" w:type="dxa"/>
            <w:shd w:val="clear" w:color="auto" w:fill="auto"/>
            <w:noWrap/>
            <w:vAlign w:val="center"/>
          </w:tcPr>
          <w:p w14:paraId="1BA20004">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snapToGrid w:val="0"/>
                <w:color w:val="000000"/>
                <w:kern w:val="0"/>
                <w:sz w:val="22"/>
                <w:szCs w:val="22"/>
                <w:highlight w:val="none"/>
                <w:u w:val="none"/>
                <w:lang w:val="en-US" w:eastAsia="zh-CN" w:bidi="ar"/>
              </w:rPr>
              <w:t>276</w:t>
            </w:r>
          </w:p>
        </w:tc>
        <w:tc>
          <w:tcPr>
            <w:tcW w:w="851" w:type="dxa"/>
            <w:shd w:val="clear" w:color="auto" w:fill="auto"/>
            <w:noWrap/>
            <w:vAlign w:val="center"/>
          </w:tcPr>
          <w:p w14:paraId="01F33C68">
            <w:pPr>
              <w:keepNext w:val="0"/>
              <w:keepLines w:val="0"/>
              <w:widowControl/>
              <w:suppressLineNumbers w:val="0"/>
              <w:jc w:val="center"/>
              <w:textAlignment w:val="center"/>
              <w:rPr>
                <w:rFonts w:hint="default" w:ascii="宋体" w:hAnsi="宋体" w:eastAsia="宋体" w:cs="宋体"/>
                <w:i w:val="0"/>
                <w:iCs w:val="0"/>
                <w:snapToGrid w:val="0"/>
                <w:color w:val="000000"/>
                <w:kern w:val="0"/>
                <w:sz w:val="22"/>
                <w:szCs w:val="22"/>
                <w:highlight w:val="none"/>
                <w:u w:val="none"/>
                <w:lang w:val="en-US" w:eastAsia="zh-CN" w:bidi="ar"/>
              </w:rPr>
            </w:pPr>
            <w:r>
              <w:rPr>
                <w:rFonts w:hint="eastAsia" w:ascii="宋体" w:hAnsi="宋体" w:eastAsia="宋体" w:cs="宋体"/>
                <w:i w:val="0"/>
                <w:iCs w:val="0"/>
                <w:snapToGrid w:val="0"/>
                <w:color w:val="000000"/>
                <w:kern w:val="0"/>
                <w:sz w:val="22"/>
                <w:szCs w:val="22"/>
                <w:highlight w:val="none"/>
                <w:u w:val="none"/>
                <w:lang w:val="en-US" w:eastAsia="zh-CN" w:bidi="ar"/>
              </w:rPr>
              <w:t>个</w:t>
            </w:r>
          </w:p>
        </w:tc>
      </w:tr>
      <w:tr w14:paraId="3C244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18" w:hRule="atLeast"/>
        </w:trPr>
        <w:tc>
          <w:tcPr>
            <w:tcW w:w="1196" w:type="dxa"/>
            <w:shd w:val="clear" w:color="auto" w:fill="auto"/>
            <w:noWrap/>
            <w:vAlign w:val="center"/>
          </w:tcPr>
          <w:p w14:paraId="1BE192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2</w:t>
            </w:r>
          </w:p>
        </w:tc>
        <w:tc>
          <w:tcPr>
            <w:tcW w:w="2012" w:type="dxa"/>
            <w:shd w:val="clear" w:color="auto" w:fill="auto"/>
            <w:noWrap/>
            <w:vAlign w:val="center"/>
          </w:tcPr>
          <w:p w14:paraId="66811E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云存储</w:t>
            </w:r>
          </w:p>
        </w:tc>
        <w:tc>
          <w:tcPr>
            <w:tcW w:w="4759" w:type="dxa"/>
            <w:shd w:val="clear" w:color="auto" w:fill="auto"/>
            <w:vAlign w:val="center"/>
          </w:tcPr>
          <w:p w14:paraId="303598CF">
            <w:pPr>
              <w:keepNext w:val="0"/>
              <w:keepLines w:val="0"/>
              <w:widowControl/>
              <w:suppressLineNumbers w:val="0"/>
              <w:jc w:val="center"/>
              <w:textAlignment w:val="center"/>
              <w:rPr>
                <w:rFonts w:hint="eastAsia" w:ascii="宋体" w:hAnsi="宋体" w:eastAsia="宋体" w:cs="宋体"/>
                <w:i w:val="0"/>
                <w:iCs w:val="0"/>
                <w:color w:val="FF0000"/>
                <w:sz w:val="22"/>
                <w:szCs w:val="22"/>
                <w:highlight w:val="none"/>
                <w:u w:val="none"/>
                <w:lang w:eastAsia="zh-CN"/>
              </w:rPr>
            </w:pPr>
            <w:r>
              <w:rPr>
                <w:rFonts w:hint="eastAsia" w:ascii="宋体" w:hAnsi="宋体" w:eastAsia="宋体" w:cs="宋体"/>
                <w:i w:val="0"/>
                <w:iCs w:val="0"/>
                <w:snapToGrid w:val="0"/>
                <w:color w:val="auto"/>
                <w:kern w:val="0"/>
                <w:sz w:val="22"/>
                <w:szCs w:val="22"/>
                <w:highlight w:val="none"/>
                <w:u w:val="none"/>
                <w:lang w:val="en-US" w:eastAsia="zh-CN" w:bidi="ar"/>
              </w:rPr>
              <w:t>30天云回看</w:t>
            </w:r>
            <w:r>
              <w:rPr>
                <w:rFonts w:hint="eastAsia" w:eastAsia="宋体"/>
                <w:color w:val="auto"/>
                <w:highlight w:val="none"/>
                <w:lang w:eastAsia="zh-CN"/>
              </w:rPr>
              <w:t>（存储摄像头</w:t>
            </w:r>
            <w:r>
              <w:rPr>
                <w:rFonts w:hint="eastAsia" w:eastAsia="宋体"/>
                <w:color w:val="auto"/>
                <w:highlight w:val="none"/>
                <w:lang w:val="en-US" w:eastAsia="zh-CN"/>
              </w:rPr>
              <w:t>30天视频，循环覆盖</w:t>
            </w:r>
            <w:r>
              <w:rPr>
                <w:rFonts w:hint="eastAsia" w:eastAsia="宋体"/>
                <w:color w:val="auto"/>
                <w:highlight w:val="none"/>
                <w:lang w:eastAsia="zh-CN"/>
              </w:rPr>
              <w:t>）</w:t>
            </w:r>
          </w:p>
        </w:tc>
        <w:tc>
          <w:tcPr>
            <w:tcW w:w="818" w:type="dxa"/>
            <w:shd w:val="clear" w:color="auto" w:fill="auto"/>
            <w:noWrap/>
            <w:vAlign w:val="center"/>
          </w:tcPr>
          <w:p w14:paraId="276C886A">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snapToGrid w:val="0"/>
                <w:color w:val="000000"/>
                <w:kern w:val="0"/>
                <w:sz w:val="22"/>
                <w:szCs w:val="22"/>
                <w:highlight w:val="none"/>
                <w:u w:val="none"/>
                <w:lang w:val="en-US" w:eastAsia="zh-CN" w:bidi="ar"/>
              </w:rPr>
              <w:t>276</w:t>
            </w:r>
          </w:p>
        </w:tc>
        <w:tc>
          <w:tcPr>
            <w:tcW w:w="851" w:type="dxa"/>
            <w:shd w:val="clear" w:color="auto" w:fill="auto"/>
            <w:noWrap/>
            <w:vAlign w:val="center"/>
          </w:tcPr>
          <w:p w14:paraId="43A5969C">
            <w:pPr>
              <w:keepNext w:val="0"/>
              <w:keepLines w:val="0"/>
              <w:widowControl/>
              <w:suppressLineNumbers w:val="0"/>
              <w:jc w:val="center"/>
              <w:textAlignment w:val="center"/>
              <w:rPr>
                <w:rFonts w:hint="eastAsia" w:ascii="宋体" w:hAnsi="宋体" w:eastAsia="宋体" w:cs="宋体"/>
                <w:i w:val="0"/>
                <w:iCs w:val="0"/>
                <w:snapToGrid w:val="0"/>
                <w:color w:val="000000"/>
                <w:kern w:val="0"/>
                <w:sz w:val="22"/>
                <w:szCs w:val="22"/>
                <w:highlight w:val="none"/>
                <w:u w:val="none"/>
                <w:lang w:val="en-US" w:eastAsia="zh-CN" w:bidi="ar"/>
              </w:rPr>
            </w:pPr>
            <w:r>
              <w:rPr>
                <w:rFonts w:hint="eastAsia" w:ascii="宋体" w:hAnsi="宋体" w:eastAsia="宋体" w:cs="宋体"/>
                <w:i w:val="0"/>
                <w:iCs w:val="0"/>
                <w:snapToGrid w:val="0"/>
                <w:color w:val="000000"/>
                <w:kern w:val="0"/>
                <w:sz w:val="22"/>
                <w:szCs w:val="22"/>
                <w:highlight w:val="none"/>
                <w:u w:val="none"/>
                <w:lang w:val="en-US" w:eastAsia="zh-CN" w:bidi="ar"/>
              </w:rPr>
              <w:t>个</w:t>
            </w:r>
          </w:p>
        </w:tc>
      </w:tr>
      <w:tr w14:paraId="28A39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085" w:hRule="atLeast"/>
        </w:trPr>
        <w:tc>
          <w:tcPr>
            <w:tcW w:w="1196" w:type="dxa"/>
            <w:shd w:val="clear" w:color="auto" w:fill="auto"/>
            <w:noWrap/>
            <w:vAlign w:val="center"/>
          </w:tcPr>
          <w:p w14:paraId="2AB12A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3</w:t>
            </w:r>
          </w:p>
        </w:tc>
        <w:tc>
          <w:tcPr>
            <w:tcW w:w="2012" w:type="dxa"/>
            <w:shd w:val="clear" w:color="auto" w:fill="auto"/>
            <w:noWrap/>
            <w:vAlign w:val="center"/>
          </w:tcPr>
          <w:p w14:paraId="799297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维保服务</w:t>
            </w:r>
          </w:p>
        </w:tc>
        <w:tc>
          <w:tcPr>
            <w:tcW w:w="4759" w:type="dxa"/>
            <w:shd w:val="clear" w:color="auto" w:fill="auto"/>
            <w:vAlign w:val="center"/>
          </w:tcPr>
          <w:p w14:paraId="1DEA8A4C">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snapToGrid w:val="0"/>
                <w:color w:val="000000"/>
                <w:kern w:val="0"/>
                <w:sz w:val="22"/>
                <w:szCs w:val="22"/>
                <w:highlight w:val="none"/>
                <w:u w:val="none"/>
                <w:lang w:val="en-US" w:eastAsia="zh-CN" w:bidi="ar"/>
              </w:rPr>
              <w:t>服务期内摄像头维修及更换、网络维护及移机、施工辅材</w:t>
            </w:r>
          </w:p>
        </w:tc>
        <w:tc>
          <w:tcPr>
            <w:tcW w:w="818" w:type="dxa"/>
            <w:shd w:val="clear" w:color="auto" w:fill="auto"/>
            <w:noWrap/>
            <w:vAlign w:val="center"/>
          </w:tcPr>
          <w:p w14:paraId="2AB38DDD">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snapToGrid w:val="0"/>
                <w:color w:val="000000"/>
                <w:kern w:val="0"/>
                <w:sz w:val="22"/>
                <w:szCs w:val="22"/>
                <w:highlight w:val="none"/>
                <w:u w:val="none"/>
                <w:lang w:val="en-US" w:eastAsia="zh-CN" w:bidi="ar"/>
              </w:rPr>
              <w:t>276</w:t>
            </w:r>
          </w:p>
        </w:tc>
        <w:tc>
          <w:tcPr>
            <w:tcW w:w="851" w:type="dxa"/>
            <w:shd w:val="clear" w:color="auto" w:fill="auto"/>
            <w:noWrap/>
            <w:vAlign w:val="center"/>
          </w:tcPr>
          <w:p w14:paraId="7EE8C3AA">
            <w:pPr>
              <w:keepNext w:val="0"/>
              <w:keepLines w:val="0"/>
              <w:widowControl/>
              <w:suppressLineNumbers w:val="0"/>
              <w:jc w:val="center"/>
              <w:textAlignment w:val="center"/>
              <w:rPr>
                <w:rFonts w:hint="eastAsia" w:ascii="宋体" w:hAnsi="宋体" w:eastAsia="宋体" w:cs="宋体"/>
                <w:i w:val="0"/>
                <w:iCs w:val="0"/>
                <w:snapToGrid w:val="0"/>
                <w:color w:val="000000"/>
                <w:kern w:val="0"/>
                <w:sz w:val="22"/>
                <w:szCs w:val="22"/>
                <w:highlight w:val="none"/>
                <w:u w:val="none"/>
                <w:lang w:val="en-US" w:eastAsia="zh-CN" w:bidi="ar"/>
              </w:rPr>
            </w:pPr>
            <w:r>
              <w:rPr>
                <w:rFonts w:hint="eastAsia" w:ascii="宋体" w:hAnsi="宋体" w:eastAsia="宋体" w:cs="宋体"/>
                <w:i w:val="0"/>
                <w:iCs w:val="0"/>
                <w:snapToGrid w:val="0"/>
                <w:color w:val="000000"/>
                <w:kern w:val="0"/>
                <w:sz w:val="22"/>
                <w:szCs w:val="22"/>
                <w:highlight w:val="none"/>
                <w:u w:val="none"/>
                <w:lang w:val="en-US" w:eastAsia="zh-CN" w:bidi="ar"/>
              </w:rPr>
              <w:t>个</w:t>
            </w:r>
          </w:p>
        </w:tc>
      </w:tr>
      <w:tr w14:paraId="1FBA4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18" w:hRule="atLeast"/>
        </w:trPr>
        <w:tc>
          <w:tcPr>
            <w:tcW w:w="3208" w:type="dxa"/>
            <w:gridSpan w:val="2"/>
            <w:shd w:val="clear" w:color="auto" w:fill="auto"/>
            <w:vAlign w:val="center"/>
          </w:tcPr>
          <w:p w14:paraId="38D18D18">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snapToGrid w:val="0"/>
                <w:color w:val="000000"/>
                <w:kern w:val="0"/>
                <w:sz w:val="21"/>
                <w:szCs w:val="21"/>
                <w:u w:val="none"/>
                <w:lang w:val="en-US" w:eastAsia="zh-CN" w:bidi="ar"/>
              </w:rPr>
              <w:t>三、智慧厕所环境监测系统服务</w:t>
            </w:r>
          </w:p>
        </w:tc>
        <w:tc>
          <w:tcPr>
            <w:tcW w:w="4759" w:type="dxa"/>
            <w:shd w:val="clear" w:color="auto" w:fill="auto"/>
            <w:vAlign w:val="center"/>
          </w:tcPr>
          <w:p w14:paraId="142CC592">
            <w:pPr>
              <w:jc w:val="center"/>
              <w:rPr>
                <w:rFonts w:hint="eastAsia" w:ascii="宋体" w:hAnsi="宋体" w:eastAsia="宋体" w:cs="宋体"/>
                <w:i w:val="0"/>
                <w:iCs w:val="0"/>
                <w:color w:val="000000"/>
                <w:sz w:val="22"/>
                <w:szCs w:val="22"/>
                <w:highlight w:val="none"/>
                <w:u w:val="none"/>
              </w:rPr>
            </w:pPr>
          </w:p>
        </w:tc>
        <w:tc>
          <w:tcPr>
            <w:tcW w:w="818" w:type="dxa"/>
            <w:shd w:val="clear" w:color="auto" w:fill="auto"/>
            <w:noWrap/>
            <w:vAlign w:val="center"/>
          </w:tcPr>
          <w:p w14:paraId="595F1F64">
            <w:pPr>
              <w:jc w:val="center"/>
              <w:rPr>
                <w:rFonts w:hint="eastAsia" w:ascii="宋体" w:hAnsi="宋体" w:eastAsia="宋体" w:cs="宋体"/>
                <w:i w:val="0"/>
                <w:iCs w:val="0"/>
                <w:color w:val="000000"/>
                <w:sz w:val="22"/>
                <w:szCs w:val="22"/>
                <w:highlight w:val="none"/>
                <w:u w:val="none"/>
              </w:rPr>
            </w:pPr>
          </w:p>
        </w:tc>
        <w:tc>
          <w:tcPr>
            <w:tcW w:w="851" w:type="dxa"/>
            <w:shd w:val="clear" w:color="auto" w:fill="auto"/>
            <w:noWrap/>
            <w:vAlign w:val="center"/>
          </w:tcPr>
          <w:p w14:paraId="5EBCC6C5">
            <w:pPr>
              <w:jc w:val="center"/>
              <w:rPr>
                <w:rFonts w:hint="eastAsia" w:ascii="宋体" w:hAnsi="宋体" w:eastAsia="宋体" w:cs="宋体"/>
                <w:i w:val="0"/>
                <w:iCs w:val="0"/>
                <w:color w:val="000000"/>
                <w:sz w:val="22"/>
                <w:szCs w:val="22"/>
                <w:highlight w:val="none"/>
                <w:u w:val="none"/>
              </w:rPr>
            </w:pPr>
          </w:p>
        </w:tc>
      </w:tr>
      <w:tr w14:paraId="62697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56" w:hRule="atLeast"/>
        </w:trPr>
        <w:tc>
          <w:tcPr>
            <w:tcW w:w="1196" w:type="dxa"/>
            <w:shd w:val="clear" w:color="auto" w:fill="auto"/>
            <w:noWrap/>
            <w:vAlign w:val="center"/>
          </w:tcPr>
          <w:p w14:paraId="121859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c>
          <w:tcPr>
            <w:tcW w:w="2012" w:type="dxa"/>
            <w:shd w:val="clear" w:color="auto" w:fill="auto"/>
            <w:noWrap/>
            <w:vAlign w:val="center"/>
          </w:tcPr>
          <w:p w14:paraId="412223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环境监测流量卡</w:t>
            </w:r>
          </w:p>
        </w:tc>
        <w:tc>
          <w:tcPr>
            <w:tcW w:w="4759" w:type="dxa"/>
            <w:shd w:val="clear" w:color="auto" w:fill="auto"/>
            <w:vAlign w:val="center"/>
          </w:tcPr>
          <w:p w14:paraId="46521061">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lang w:eastAsia="zh-CN"/>
              </w:rPr>
            </w:pPr>
            <w:r>
              <w:rPr>
                <w:rFonts w:hint="eastAsia" w:ascii="宋体" w:hAnsi="宋体" w:eastAsia="宋体" w:cs="宋体"/>
                <w:i w:val="0"/>
                <w:iCs w:val="0"/>
                <w:snapToGrid w:val="0"/>
                <w:color w:val="auto"/>
                <w:kern w:val="0"/>
                <w:sz w:val="22"/>
                <w:szCs w:val="22"/>
                <w:highlight w:val="none"/>
                <w:u w:val="none"/>
                <w:lang w:val="en-US" w:eastAsia="zh-CN" w:bidi="ar"/>
              </w:rPr>
              <w:t>智慧厕所气味监测设备物联网卡</w:t>
            </w:r>
            <w:r>
              <w:rPr>
                <w:rFonts w:hint="eastAsia" w:eastAsia="宋体"/>
                <w:color w:val="auto"/>
                <w:highlight w:val="none"/>
                <w:lang w:eastAsia="zh-CN"/>
              </w:rPr>
              <w:t>（满足监测数据上传所需的流量，不会溢出）</w:t>
            </w:r>
          </w:p>
        </w:tc>
        <w:tc>
          <w:tcPr>
            <w:tcW w:w="818" w:type="dxa"/>
            <w:shd w:val="clear" w:color="auto" w:fill="auto"/>
            <w:noWrap/>
            <w:vAlign w:val="center"/>
          </w:tcPr>
          <w:p w14:paraId="6F42DF45">
            <w:pPr>
              <w:keepNext w:val="0"/>
              <w:keepLines w:val="0"/>
              <w:widowControl/>
              <w:suppressLineNumbers w:val="0"/>
              <w:jc w:val="center"/>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snapToGrid w:val="0"/>
                <w:color w:val="000000"/>
                <w:kern w:val="0"/>
                <w:sz w:val="22"/>
                <w:szCs w:val="22"/>
                <w:highlight w:val="none"/>
                <w:u w:val="none"/>
                <w:lang w:val="en-US" w:eastAsia="zh-CN" w:bidi="ar"/>
              </w:rPr>
              <w:t>20</w:t>
            </w:r>
          </w:p>
        </w:tc>
        <w:tc>
          <w:tcPr>
            <w:tcW w:w="851" w:type="dxa"/>
            <w:shd w:val="clear" w:color="auto" w:fill="auto"/>
            <w:noWrap/>
            <w:vAlign w:val="center"/>
          </w:tcPr>
          <w:p w14:paraId="3549D291">
            <w:pPr>
              <w:keepNext w:val="0"/>
              <w:keepLines w:val="0"/>
              <w:widowControl/>
              <w:suppressLineNumbers w:val="0"/>
              <w:jc w:val="center"/>
              <w:textAlignment w:val="center"/>
              <w:rPr>
                <w:rFonts w:hint="eastAsia" w:ascii="宋体" w:hAnsi="宋体" w:eastAsia="宋体" w:cs="宋体"/>
                <w:i w:val="0"/>
                <w:iCs w:val="0"/>
                <w:snapToGrid w:val="0"/>
                <w:color w:val="000000"/>
                <w:kern w:val="0"/>
                <w:sz w:val="22"/>
                <w:szCs w:val="22"/>
                <w:highlight w:val="none"/>
                <w:u w:val="none"/>
                <w:lang w:val="en-US" w:eastAsia="zh-CN" w:bidi="ar"/>
              </w:rPr>
            </w:pPr>
            <w:r>
              <w:rPr>
                <w:rFonts w:hint="eastAsia" w:ascii="宋体" w:hAnsi="宋体" w:eastAsia="宋体" w:cs="宋体"/>
                <w:i w:val="0"/>
                <w:iCs w:val="0"/>
                <w:snapToGrid w:val="0"/>
                <w:color w:val="000000"/>
                <w:kern w:val="0"/>
                <w:sz w:val="22"/>
                <w:szCs w:val="22"/>
                <w:highlight w:val="none"/>
                <w:u w:val="none"/>
                <w:lang w:val="en-US" w:eastAsia="zh-CN" w:bidi="ar"/>
              </w:rPr>
              <w:t>个</w:t>
            </w:r>
          </w:p>
        </w:tc>
      </w:tr>
    </w:tbl>
    <w:p w14:paraId="545CE8CC">
      <w:pPr>
        <w:pStyle w:val="3"/>
        <w:spacing w:line="320" w:lineRule="auto"/>
      </w:pPr>
    </w:p>
    <w:p w14:paraId="0748ACA1">
      <w:pPr>
        <w:keepNext w:val="0"/>
        <w:keepLines w:val="0"/>
        <w:pageBreakBefore w:val="0"/>
        <w:widowControl/>
        <w:kinsoku w:val="0"/>
        <w:wordWrap/>
        <w:overflowPunct/>
        <w:topLinePunct w:val="0"/>
        <w:autoSpaceDE w:val="0"/>
        <w:autoSpaceDN w:val="0"/>
        <w:bidi w:val="0"/>
        <w:adjustRightInd w:val="0"/>
        <w:snapToGrid w:val="0"/>
        <w:spacing w:before="155" w:line="360" w:lineRule="auto"/>
        <w:ind w:left="482"/>
        <w:textAlignment w:val="baseline"/>
        <w:rPr>
          <w:rFonts w:hint="eastAsia" w:ascii="宋体" w:hAnsi="宋体" w:eastAsia="宋体" w:cs="宋体"/>
          <w:b/>
          <w:bCs/>
          <w:spacing w:val="-6"/>
          <w:sz w:val="24"/>
          <w:szCs w:val="24"/>
          <w:lang w:val="en-US" w:eastAsia="zh-CN"/>
        </w:rPr>
      </w:pPr>
      <w:r>
        <w:rPr>
          <w:rFonts w:hint="eastAsia" w:ascii="宋体" w:hAnsi="宋体" w:eastAsia="宋体" w:cs="宋体"/>
          <w:b/>
          <w:bCs/>
          <w:spacing w:val="-6"/>
          <w:sz w:val="24"/>
          <w:szCs w:val="24"/>
          <w:lang w:val="en-US" w:eastAsia="zh-CN"/>
        </w:rPr>
        <w:t>注：招标文件中所涉及技术参数要求为基本需求，如有和市场同类品牌或产品雷同处仅为参考，不具有指向性和限制性。供应商所投产品可替代整体上满足或优于招标文件技术参数要求（附：技术参数响应说明材料）。</w:t>
      </w:r>
    </w:p>
    <w:p w14:paraId="5C1DA2A3">
      <w:pPr>
        <w:spacing w:before="94" w:line="230" w:lineRule="exact"/>
        <w:ind w:left="415"/>
        <w:outlineLvl w:val="1"/>
        <w:rPr>
          <w:rFonts w:ascii="微软雅黑" w:hAnsi="微软雅黑" w:eastAsia="微软雅黑" w:cs="微软雅黑"/>
          <w:sz w:val="22"/>
          <w:szCs w:val="22"/>
        </w:rPr>
      </w:pPr>
      <w:r>
        <w:rPr>
          <w:rFonts w:hint="eastAsia" w:ascii="微软雅黑" w:hAnsi="微软雅黑" w:eastAsia="微软雅黑" w:cs="微软雅黑"/>
          <w:spacing w:val="10"/>
          <w:position w:val="-1"/>
          <w:sz w:val="22"/>
          <w:szCs w:val="22"/>
          <w:lang w:eastAsia="zh-CN"/>
        </w:rPr>
        <w:t>四</w:t>
      </w:r>
      <w:r>
        <w:rPr>
          <w:rFonts w:ascii="微软雅黑" w:hAnsi="微软雅黑" w:eastAsia="微软雅黑" w:cs="微软雅黑"/>
          <w:spacing w:val="10"/>
          <w:position w:val="-1"/>
          <w:sz w:val="22"/>
          <w:szCs w:val="22"/>
        </w:rPr>
        <w:t>、</w:t>
      </w:r>
      <w:r>
        <w:rPr>
          <w:rFonts w:ascii="微软雅黑" w:hAnsi="微软雅黑" w:eastAsia="微软雅黑" w:cs="微软雅黑"/>
          <w:spacing w:val="11"/>
          <w:position w:val="-1"/>
          <w:sz w:val="22"/>
          <w:szCs w:val="22"/>
        </w:rPr>
        <w:t xml:space="preserve">  </w:t>
      </w:r>
      <w:r>
        <w:rPr>
          <w:rFonts w:ascii="微软雅黑" w:hAnsi="微软雅黑" w:eastAsia="微软雅黑" w:cs="微软雅黑"/>
          <w:spacing w:val="10"/>
          <w:position w:val="-1"/>
          <w:sz w:val="22"/>
          <w:szCs w:val="22"/>
        </w:rPr>
        <w:t>商务条件</w:t>
      </w:r>
    </w:p>
    <w:p w14:paraId="48037F45">
      <w:pPr>
        <w:spacing w:before="155" w:line="219" w:lineRule="auto"/>
        <w:ind w:left="481"/>
        <w:rPr>
          <w:rFonts w:ascii="宋体" w:hAnsi="宋体" w:eastAsia="宋体" w:cs="宋体"/>
          <w:spacing w:val="-6"/>
          <w:sz w:val="24"/>
          <w:szCs w:val="24"/>
        </w:rPr>
      </w:pPr>
      <w:r>
        <w:rPr>
          <w:rFonts w:hint="eastAsia" w:ascii="宋体" w:hAnsi="宋体" w:eastAsia="宋体" w:cs="宋体"/>
          <w:spacing w:val="-6"/>
          <w:sz w:val="24"/>
          <w:szCs w:val="24"/>
          <w:lang w:val="en-US" w:eastAsia="zh-CN"/>
        </w:rPr>
        <w:t xml:space="preserve">1、服务地点：采购人指定地点。 </w:t>
      </w:r>
    </w:p>
    <w:p w14:paraId="6FDB2533">
      <w:pPr>
        <w:spacing w:before="155" w:line="219" w:lineRule="auto"/>
        <w:ind w:left="481"/>
        <w:rPr>
          <w:rFonts w:hint="eastAsia" w:ascii="宋体" w:hAnsi="宋体" w:eastAsia="宋体" w:cs="宋体"/>
          <w:spacing w:val="-6"/>
          <w:sz w:val="24"/>
          <w:szCs w:val="24"/>
          <w:lang w:val="en-US" w:eastAsia="zh-CN"/>
        </w:rPr>
      </w:pPr>
      <w:r>
        <w:rPr>
          <w:rFonts w:hint="eastAsia" w:ascii="宋体" w:hAnsi="宋体" w:eastAsia="宋体" w:cs="宋体"/>
          <w:spacing w:val="-6"/>
          <w:sz w:val="24"/>
          <w:szCs w:val="24"/>
          <w:lang w:val="en-US" w:eastAsia="zh-CN"/>
        </w:rPr>
        <w:t>2、服务期限：供应商应在《中标通知书》发出之日起10日内签订合同，</w:t>
      </w:r>
    </w:p>
    <w:p w14:paraId="7BD18F4A">
      <w:pPr>
        <w:spacing w:before="155" w:line="219" w:lineRule="auto"/>
        <w:ind w:left="481"/>
        <w:rPr>
          <w:rFonts w:ascii="宋体" w:hAnsi="宋体" w:eastAsia="宋体" w:cs="宋体"/>
          <w:color w:val="auto"/>
          <w:spacing w:val="-6"/>
          <w:sz w:val="24"/>
          <w:szCs w:val="24"/>
          <w:highlight w:val="none"/>
        </w:rPr>
      </w:pPr>
      <w:r>
        <w:rPr>
          <w:rFonts w:hint="eastAsia" w:ascii="宋体" w:hAnsi="宋体" w:eastAsia="宋体" w:cs="宋体"/>
          <w:color w:val="auto"/>
          <w:spacing w:val="-6"/>
          <w:sz w:val="24"/>
          <w:szCs w:val="24"/>
          <w:highlight w:val="none"/>
          <w:lang w:val="en-US" w:eastAsia="zh-CN"/>
        </w:rPr>
        <w:t xml:space="preserve">自合同签订之日起一年服务期。 </w:t>
      </w:r>
    </w:p>
    <w:p w14:paraId="5485676A">
      <w:pPr>
        <w:spacing w:before="155" w:line="219" w:lineRule="auto"/>
        <w:ind w:left="481"/>
        <w:rPr>
          <w:rFonts w:hint="default" w:ascii="宋体" w:hAnsi="宋体" w:eastAsia="宋体" w:cs="宋体"/>
          <w:color w:val="auto"/>
          <w:spacing w:val="-6"/>
          <w:sz w:val="24"/>
          <w:szCs w:val="24"/>
          <w:highlight w:val="none"/>
          <w:lang w:val="en-US" w:eastAsia="zh-CN"/>
        </w:rPr>
      </w:pPr>
      <w:r>
        <w:rPr>
          <w:rFonts w:hint="eastAsia" w:ascii="宋体" w:hAnsi="宋体" w:eastAsia="宋体" w:cs="宋体"/>
          <w:color w:val="auto"/>
          <w:spacing w:val="-6"/>
          <w:sz w:val="24"/>
          <w:szCs w:val="24"/>
          <w:highlight w:val="none"/>
          <w:lang w:val="en-US" w:eastAsia="zh-CN"/>
        </w:rPr>
        <w:t>3、付款方式：服务到期后，一次性支付全部款项。</w:t>
      </w:r>
    </w:p>
    <w:p w14:paraId="5757499C">
      <w:pPr>
        <w:keepNext w:val="0"/>
        <w:keepLines w:val="0"/>
        <w:pageBreakBefore w:val="0"/>
        <w:widowControl/>
        <w:kinsoku w:val="0"/>
        <w:wordWrap/>
        <w:overflowPunct/>
        <w:topLinePunct w:val="0"/>
        <w:autoSpaceDE w:val="0"/>
        <w:autoSpaceDN w:val="0"/>
        <w:bidi w:val="0"/>
        <w:adjustRightInd w:val="0"/>
        <w:snapToGrid w:val="0"/>
        <w:spacing w:before="155" w:line="360" w:lineRule="auto"/>
        <w:ind w:left="482"/>
        <w:textAlignment w:val="baseline"/>
        <w:rPr>
          <w:rFonts w:hint="eastAsia" w:ascii="宋体" w:hAnsi="宋体" w:eastAsia="宋体" w:cs="宋体"/>
          <w:color w:val="auto"/>
          <w:spacing w:val="-6"/>
          <w:sz w:val="24"/>
          <w:szCs w:val="24"/>
          <w:highlight w:val="none"/>
          <w:lang w:val="en-US" w:eastAsia="zh-CN"/>
        </w:rPr>
      </w:pPr>
      <w:r>
        <w:rPr>
          <w:rFonts w:hint="eastAsia" w:ascii="宋体" w:hAnsi="宋体" w:eastAsia="宋体" w:cs="宋体"/>
          <w:color w:val="auto"/>
          <w:spacing w:val="-6"/>
          <w:sz w:val="24"/>
          <w:szCs w:val="24"/>
          <w:highlight w:val="none"/>
          <w:lang w:val="en-US" w:eastAsia="zh-CN"/>
        </w:rPr>
        <w:t>4、人员要求：供应商拟派本项目团队含项目经理1人、技术负责人1人。</w:t>
      </w:r>
    </w:p>
    <w:p w14:paraId="5DD679B1">
      <w:pPr>
        <w:spacing w:before="155" w:line="219" w:lineRule="auto"/>
        <w:ind w:left="481"/>
        <w:rPr>
          <w:rFonts w:ascii="宋体" w:hAnsi="宋体" w:eastAsia="宋体" w:cs="宋体"/>
          <w:b w:val="0"/>
          <w:bCs w:val="0"/>
          <w:color w:val="auto"/>
          <w:spacing w:val="-6"/>
          <w:sz w:val="24"/>
          <w:szCs w:val="24"/>
          <w:highlight w:val="none"/>
        </w:rPr>
      </w:pPr>
      <w:r>
        <w:rPr>
          <w:rFonts w:hint="eastAsia" w:ascii="宋体" w:hAnsi="宋体" w:eastAsia="宋体" w:cs="宋体"/>
          <w:b w:val="0"/>
          <w:bCs w:val="0"/>
          <w:color w:val="auto"/>
          <w:spacing w:val="-6"/>
          <w:sz w:val="24"/>
          <w:szCs w:val="24"/>
          <w:highlight w:val="none"/>
          <w:lang w:val="en-US" w:eastAsia="zh-CN"/>
        </w:rPr>
        <w:t xml:space="preserve">5、售后服务 </w:t>
      </w:r>
    </w:p>
    <w:p w14:paraId="4B8943DE">
      <w:pPr>
        <w:spacing w:before="155" w:line="219" w:lineRule="auto"/>
        <w:ind w:left="481"/>
        <w:rPr>
          <w:rFonts w:ascii="宋体" w:hAnsi="宋体" w:eastAsia="宋体" w:cs="宋体"/>
          <w:color w:val="auto"/>
          <w:spacing w:val="-6"/>
          <w:sz w:val="24"/>
          <w:szCs w:val="24"/>
          <w:highlight w:val="none"/>
        </w:rPr>
      </w:pPr>
      <w:r>
        <w:rPr>
          <w:rFonts w:hint="eastAsia" w:ascii="宋体" w:hAnsi="宋体" w:eastAsia="宋体" w:cs="宋体"/>
          <w:color w:val="auto"/>
          <w:spacing w:val="-6"/>
          <w:sz w:val="24"/>
          <w:szCs w:val="24"/>
          <w:highlight w:val="none"/>
          <w:lang w:val="en-US" w:eastAsia="zh-CN"/>
        </w:rPr>
        <w:t xml:space="preserve">（1）供应商须保证在服务期内所使用的辅材或更新的设备必须为原厂原装、全新的。 </w:t>
      </w:r>
    </w:p>
    <w:p w14:paraId="308A82AE">
      <w:pPr>
        <w:keepNext w:val="0"/>
        <w:keepLines w:val="0"/>
        <w:pageBreakBefore w:val="0"/>
        <w:widowControl/>
        <w:kinsoku w:val="0"/>
        <w:wordWrap/>
        <w:overflowPunct/>
        <w:topLinePunct w:val="0"/>
        <w:autoSpaceDE w:val="0"/>
        <w:autoSpaceDN w:val="0"/>
        <w:bidi w:val="0"/>
        <w:adjustRightInd w:val="0"/>
        <w:snapToGrid w:val="0"/>
        <w:spacing w:before="155" w:line="360" w:lineRule="auto"/>
        <w:ind w:left="482"/>
        <w:textAlignment w:val="baseline"/>
        <w:rPr>
          <w:rFonts w:hint="eastAsia" w:ascii="宋体" w:hAnsi="宋体" w:eastAsia="宋体" w:cs="宋体"/>
          <w:color w:val="auto"/>
          <w:spacing w:val="-6"/>
          <w:sz w:val="24"/>
          <w:szCs w:val="24"/>
          <w:highlight w:val="none"/>
          <w:lang w:val="en-US" w:eastAsia="zh-CN"/>
        </w:rPr>
      </w:pPr>
      <w:r>
        <w:rPr>
          <w:rFonts w:hint="eastAsia" w:ascii="宋体" w:hAnsi="宋体" w:eastAsia="宋体" w:cs="宋体"/>
          <w:color w:val="auto"/>
          <w:spacing w:val="-6"/>
          <w:sz w:val="24"/>
          <w:szCs w:val="24"/>
          <w:highlight w:val="none"/>
          <w:lang w:val="en-US" w:eastAsia="zh-CN"/>
        </w:rPr>
        <w:t xml:space="preserve">（2）投标单位须提供技术服务热线，负责解答采购人在使用中遇到的问题，并及时提出解决问题的建议和方法。供应商提供7×24 小时的故障服务受理，且接采购人维修通知（含电话）后售后服务人员 24 小时（含）内到达现场并提出解决方案。在接到采购人的报修电话后，如电话指导不能解决问题，投标单位应派遣专业维修人员按照响应时间要求按时到场，如不能按时到场，采购人有权请有资质的维保单位进行维修，所需费用由投标单位承担。 </w:t>
      </w:r>
    </w:p>
    <w:p w14:paraId="13B9ECA6">
      <w:pPr>
        <w:keepNext w:val="0"/>
        <w:keepLines w:val="0"/>
        <w:pageBreakBefore w:val="0"/>
        <w:widowControl/>
        <w:kinsoku w:val="0"/>
        <w:wordWrap/>
        <w:overflowPunct/>
        <w:topLinePunct w:val="0"/>
        <w:autoSpaceDE w:val="0"/>
        <w:autoSpaceDN w:val="0"/>
        <w:bidi w:val="0"/>
        <w:adjustRightInd w:val="0"/>
        <w:snapToGrid w:val="0"/>
        <w:spacing w:before="155" w:line="360" w:lineRule="auto"/>
        <w:ind w:left="482"/>
        <w:textAlignment w:val="baseline"/>
        <w:rPr>
          <w:rFonts w:hint="eastAsia" w:ascii="宋体" w:hAnsi="宋体" w:eastAsia="宋体" w:cs="宋体"/>
          <w:color w:val="auto"/>
          <w:spacing w:val="-6"/>
          <w:sz w:val="24"/>
          <w:szCs w:val="24"/>
          <w:highlight w:val="none"/>
          <w:lang w:val="en-US" w:eastAsia="zh-CN"/>
        </w:rPr>
      </w:pPr>
      <w:r>
        <w:rPr>
          <w:rFonts w:hint="eastAsia" w:ascii="宋体" w:hAnsi="宋体" w:eastAsia="宋体" w:cs="宋体"/>
          <w:color w:val="auto"/>
          <w:spacing w:val="-6"/>
          <w:sz w:val="24"/>
          <w:szCs w:val="24"/>
          <w:highlight w:val="none"/>
          <w:lang w:val="en-US" w:eastAsia="zh-CN"/>
        </w:rPr>
        <w:t xml:space="preserve">（3）设备更换：在现场不能修复的设备立即更换备用设备。 </w:t>
      </w:r>
    </w:p>
    <w:p w14:paraId="78F8B9BA">
      <w:pPr>
        <w:keepNext w:val="0"/>
        <w:keepLines w:val="0"/>
        <w:pageBreakBefore w:val="0"/>
        <w:widowControl/>
        <w:kinsoku w:val="0"/>
        <w:wordWrap/>
        <w:overflowPunct/>
        <w:topLinePunct w:val="0"/>
        <w:autoSpaceDE w:val="0"/>
        <w:autoSpaceDN w:val="0"/>
        <w:bidi w:val="0"/>
        <w:adjustRightInd w:val="0"/>
        <w:snapToGrid w:val="0"/>
        <w:spacing w:before="155" w:line="360" w:lineRule="auto"/>
        <w:ind w:left="482"/>
        <w:textAlignment w:val="baseline"/>
        <w:rPr>
          <w:rFonts w:hint="eastAsia" w:ascii="宋体" w:hAnsi="宋体" w:eastAsia="宋体" w:cs="宋体"/>
          <w:color w:val="auto"/>
          <w:spacing w:val="-6"/>
          <w:sz w:val="24"/>
          <w:szCs w:val="24"/>
          <w:highlight w:val="none"/>
          <w:lang w:val="en-US" w:eastAsia="zh-CN"/>
        </w:rPr>
      </w:pPr>
      <w:r>
        <w:rPr>
          <w:rFonts w:hint="eastAsia" w:ascii="宋体" w:hAnsi="宋体" w:eastAsia="宋体" w:cs="宋体"/>
          <w:color w:val="auto"/>
          <w:spacing w:val="-6"/>
          <w:sz w:val="24"/>
          <w:szCs w:val="24"/>
          <w:highlight w:val="none"/>
          <w:lang w:val="en-US" w:eastAsia="zh-CN"/>
        </w:rPr>
        <w:t xml:space="preserve">（4）质量保证期内所有货物保修服务方式均为上门保修，即由成交人派技术人员到用户设备使用现场维修。由此产生的一切费用均由成交人承担。 </w:t>
      </w:r>
    </w:p>
    <w:p w14:paraId="62E51413">
      <w:pPr>
        <w:spacing w:before="155" w:line="219" w:lineRule="auto"/>
        <w:ind w:left="481"/>
        <w:rPr>
          <w:rFonts w:hint="eastAsia" w:ascii="宋体" w:hAnsi="宋体" w:eastAsia="宋体" w:cs="宋体"/>
          <w:b w:val="0"/>
          <w:bCs w:val="0"/>
          <w:color w:val="auto"/>
          <w:spacing w:val="-6"/>
          <w:sz w:val="24"/>
          <w:szCs w:val="24"/>
          <w:highlight w:val="none"/>
          <w:lang w:val="en-US" w:eastAsia="zh-CN"/>
        </w:rPr>
      </w:pPr>
      <w:r>
        <w:rPr>
          <w:rFonts w:hint="eastAsia" w:ascii="宋体" w:hAnsi="宋体" w:eastAsia="宋体" w:cs="宋体"/>
          <w:b w:val="0"/>
          <w:bCs w:val="0"/>
          <w:color w:val="auto"/>
          <w:spacing w:val="-6"/>
          <w:sz w:val="24"/>
          <w:szCs w:val="24"/>
          <w:highlight w:val="none"/>
          <w:lang w:val="en-US" w:eastAsia="zh-CN"/>
        </w:rPr>
        <w:t>6、验收方法及方案：</w:t>
      </w:r>
    </w:p>
    <w:p w14:paraId="1CB1A5A4">
      <w:pPr>
        <w:keepNext w:val="0"/>
        <w:keepLines w:val="0"/>
        <w:pageBreakBefore w:val="0"/>
        <w:widowControl/>
        <w:kinsoku w:val="0"/>
        <w:wordWrap/>
        <w:overflowPunct/>
        <w:topLinePunct w:val="0"/>
        <w:autoSpaceDE w:val="0"/>
        <w:autoSpaceDN w:val="0"/>
        <w:bidi w:val="0"/>
        <w:adjustRightInd w:val="0"/>
        <w:snapToGrid w:val="0"/>
        <w:spacing w:before="155" w:line="360" w:lineRule="auto"/>
        <w:ind w:left="482"/>
        <w:textAlignment w:val="baseline"/>
        <w:rPr>
          <w:rFonts w:hint="default" w:ascii="宋体" w:hAnsi="宋体" w:eastAsia="宋体" w:cs="宋体"/>
          <w:color w:val="auto"/>
          <w:spacing w:val="-6"/>
          <w:sz w:val="24"/>
          <w:szCs w:val="24"/>
          <w:highlight w:val="none"/>
          <w:lang w:val="en-US" w:eastAsia="zh-CN"/>
        </w:rPr>
      </w:pPr>
      <w:r>
        <w:rPr>
          <w:rFonts w:hint="eastAsia" w:ascii="宋体" w:hAnsi="宋体" w:eastAsia="宋体" w:cs="宋体"/>
          <w:color w:val="auto"/>
          <w:spacing w:val="-6"/>
          <w:sz w:val="24"/>
          <w:szCs w:val="24"/>
          <w:highlight w:val="none"/>
          <w:lang w:val="en-US" w:eastAsia="zh-CN"/>
        </w:rPr>
        <w:t>相关服务完成后，聘请相关专业专家进行验收，验收过程中所产生的费用由成交供应商承担。</w:t>
      </w:r>
    </w:p>
    <w:p w14:paraId="7017AE51">
      <w:pPr>
        <w:keepNext w:val="0"/>
        <w:keepLines w:val="0"/>
        <w:pageBreakBefore w:val="0"/>
        <w:widowControl/>
        <w:kinsoku w:val="0"/>
        <w:wordWrap/>
        <w:overflowPunct/>
        <w:topLinePunct w:val="0"/>
        <w:autoSpaceDE w:val="0"/>
        <w:autoSpaceDN w:val="0"/>
        <w:bidi w:val="0"/>
        <w:adjustRightInd w:val="0"/>
        <w:snapToGrid w:val="0"/>
        <w:spacing w:before="155" w:line="360" w:lineRule="auto"/>
        <w:ind w:left="482"/>
        <w:textAlignment w:val="baseline"/>
      </w:pPr>
      <w:r>
        <w:rPr>
          <w:rFonts w:hint="eastAsia" w:ascii="宋体" w:hAnsi="宋体" w:eastAsia="宋体" w:cs="宋体"/>
          <w:color w:val="auto"/>
          <w:spacing w:val="-6"/>
          <w:sz w:val="24"/>
          <w:szCs w:val="24"/>
          <w:highlight w:val="none"/>
          <w:lang w:val="en-US" w:eastAsia="zh-CN"/>
        </w:rPr>
        <w:t>7、其他未尽事宜，以与采购人签订合同为准。</w:t>
      </w:r>
    </w:p>
    <w:p w14:paraId="1AB78B25">
      <w:bookmarkStart w:id="6" w:name="_GoBack"/>
      <w:bookmarkEnd w:id="6"/>
    </w:p>
    <w:sectPr>
      <w:pgSz w:w="11906" w:h="16838"/>
      <w:pgMar w:top="1440" w:right="1800" w:bottom="1440" w:left="1800" w:header="851" w:footer="992" w:gutter="0"/>
      <w:cols w:space="425" w:num="1"/>
      <w:docGrid w:type="lines"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Unicorn" w:date="2026-06-09T08:54:32Z" w:initials="">
    <w:p w14:paraId="73836A8F">
      <w:pPr>
        <w:pStyle w:val="2"/>
        <w:rPr>
          <w:rFonts w:hint="default" w:eastAsia="宋体"/>
          <w:lang w:val="en-US" w:eastAsia="zh-CN"/>
        </w:rPr>
      </w:pPr>
      <w:r>
        <w:rPr>
          <w:rFonts w:hint="eastAsia" w:eastAsia="宋体"/>
          <w:lang w:val="en-US" w:eastAsia="zh-CN"/>
        </w:rPr>
        <w:t>至少要明确一个基本数量，大概多少个摄像头</w:t>
      </w:r>
    </w:p>
  </w:comment>
  <w:comment w:id="1" w:author="Unicorn" w:date="2026-06-09T08:55:15Z" w:initials="">
    <w:p w14:paraId="23C76D2F">
      <w:pPr>
        <w:pStyle w:val="2"/>
        <w:rPr>
          <w:rFonts w:hint="default" w:eastAsia="宋体"/>
          <w:lang w:val="en-US" w:eastAsia="zh-CN"/>
        </w:rPr>
      </w:pPr>
      <w:r>
        <w:rPr>
          <w:rFonts w:hint="eastAsia" w:eastAsia="宋体"/>
          <w:lang w:val="en-US" w:eastAsia="zh-CN"/>
        </w:rPr>
        <w:t>软件维护的服务基本内容应注明清楚，大概是做些什么工作（包括但不限于）</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3836A8F" w15:done="1"/>
  <w15:commentEx w15:paraId="23C76D2F" w15:done="1"/>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7B0550">
    <w:pPr>
      <w:pStyle w:val="3"/>
      <w:spacing w:line="235" w:lineRule="exact"/>
      <w:ind w:left="4382"/>
      <w:rPr>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159540">
                          <w:pPr>
                            <w:pStyle w:val="4"/>
                          </w:pPr>
                          <w:r>
                            <w:fldChar w:fldCharType="begin"/>
                          </w:r>
                          <w:r>
                            <w:instrText xml:space="preserve"> PAGE  \* MERGEFORMAT </w:instrText>
                          </w:r>
                          <w:r>
                            <w:fldChar w:fldCharType="separate"/>
                          </w:r>
                          <w:r>
                            <w:t>63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p+ypgwAgAAYw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Dp+ypgwAgAAYwQAAA4AAAAAAAAAAQAgAAAAHwEAAGRycy9lMm9Eb2MueG1sUEsFBgAA&#10;AAAGAAYAWQEAAMEFAAAAAA==&#10;">
              <v:fill on="f" focussize="0,0"/>
              <v:stroke on="f" weight="0.5pt"/>
              <v:imagedata o:title=""/>
              <o:lock v:ext="edit" aspectratio="f"/>
              <v:textbox inset="0mm,0mm,0mm,0mm" style="mso-fit-shape-to-text:t;">
                <w:txbxContent>
                  <w:p w14:paraId="36159540">
                    <w:pPr>
                      <w:pStyle w:val="4"/>
                    </w:pPr>
                    <w:r>
                      <w:fldChar w:fldCharType="begin"/>
                    </w:r>
                    <w:r>
                      <w:instrText xml:space="preserve"> PAGE  \* MERGEFORMAT </w:instrText>
                    </w:r>
                    <w:r>
                      <w:fldChar w:fldCharType="separate"/>
                    </w:r>
                    <w:r>
                      <w:t>63</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ED78D4">
    <w:pPr>
      <w:pStyle w:val="3"/>
      <w:spacing w:line="14" w:lineRule="auto"/>
      <w:rPr>
        <w:sz w:val="2"/>
      </w:rPr>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Unicorn">
    <w15:presenceInfo w15:providerId="WPS Office" w15:userId="108169122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revisionView w:markup="0"/>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5B2C14"/>
    <w:rsid w:val="145B2C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ody Text"/>
    <w:basedOn w:val="1"/>
    <w:semiHidden/>
    <w:qFormat/>
    <w:uiPriority w:val="0"/>
    <w:rPr>
      <w:rFonts w:ascii="Arial" w:hAnsi="Arial" w:eastAsia="Arial" w:cs="Arial"/>
      <w:sz w:val="21"/>
      <w:szCs w:val="21"/>
      <w:lang w:val="en-US" w:eastAsia="en-US" w:bidi="ar-SA"/>
    </w:rPr>
  </w:style>
  <w:style w:type="paragraph" w:styleId="4">
    <w:name w:val="footer"/>
    <w:basedOn w:val="1"/>
    <w:qFormat/>
    <w:uiPriority w:val="0"/>
    <w:pPr>
      <w:tabs>
        <w:tab w:val="center" w:pos="4153"/>
        <w:tab w:val="right" w:pos="8306"/>
      </w:tabs>
      <w:snapToGrid w:val="0"/>
      <w:jc w:val="left"/>
    </w:pPr>
    <w:rPr>
      <w:sz w:val="18"/>
    </w:rPr>
  </w:style>
  <w:style w:type="paragraph" w:customStyle="1" w:styleId="7">
    <w:name w:val="Table Text"/>
    <w:basedOn w:val="1"/>
    <w:semiHidden/>
    <w:qFormat/>
    <w:uiPriority w:val="0"/>
    <w:rPr>
      <w:rFonts w:ascii="宋体" w:hAnsi="宋体" w:eastAsia="宋体" w:cs="宋体"/>
      <w:sz w:val="24"/>
      <w:szCs w:val="24"/>
      <w:lang w:val="en-US" w:eastAsia="en-US" w:bidi="ar-SA"/>
    </w:rPr>
  </w:style>
  <w:style w:type="table" w:customStyle="1" w:styleId="8">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1.xml"/><Relationship Id="rId7" Type="http://schemas.openxmlformats.org/officeDocument/2006/relationships/header" Target="header1.xml"/><Relationship Id="rId6" Type="http://schemas.openxmlformats.org/officeDocument/2006/relationships/endnotes" Target="endnotes.xml"/><Relationship Id="rId5" Type="http://schemas.openxmlformats.org/officeDocument/2006/relationships/footnotes" Target="footnotes.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2" Type="http://schemas.microsoft.com/office/2011/relationships/people" Target="people.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2026-06-18T08:58:00Z</dcterms:created>
  <dc:creator>Unicorn</dc:creator>
  <cp:lastModifiedBy>Unicorn</cp:lastModifiedBy>
  <dcterms:modified xsi:type="dcterms:W3CDTF">2026-06-18T08:59:15Z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19AB13E54CBA4167B3B5E63846A8B93A_11</vt:lpwstr>
  </property>
  <property fmtid="{D5CDD505-2E9C-101B-9397-08002B2CF9AE}" pid="4" name="KSOTemplateDocerSaveRecord">
    <vt:lpwstr>eyJoZGlkIjoiN2YxMjlhODQ0NzE4YTQxM2ZlOTg1ZGRhMDI4MWQwZGIiLCJ1c2VySWQiOiI0NjI2NDc4MDUifQ==</vt:lpwstr>
  </property>
</Properties>
</file>