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059650">
      <w:pPr>
        <w:pStyle w:val="2"/>
        <w:shd w:val="clear" w:color="auto" w:fill="auto"/>
        <w:outlineLvl w:val="1"/>
        <w:rPr>
          <w:rFonts w:hint="eastAsia" w:ascii="仿宋" w:hAnsi="仿宋" w:eastAsia="仿宋"/>
        </w:rPr>
      </w:pPr>
      <w:bookmarkStart w:id="0" w:name="_Toc92813809"/>
      <w:bookmarkStart w:id="1" w:name="_Toc20196"/>
      <w:r>
        <w:rPr>
          <w:rFonts w:hint="eastAsia" w:ascii="仿宋" w:hAnsi="仿宋" w:eastAsia="仿宋"/>
          <w:highlight w:val="none"/>
        </w:rPr>
        <w:t>二、</w:t>
      </w:r>
      <w:r>
        <w:rPr>
          <w:rFonts w:hint="eastAsia" w:ascii="仿宋" w:hAnsi="仿宋"/>
          <w:highlight w:val="none"/>
          <w:lang w:val="en-US" w:eastAsia="zh-CN"/>
        </w:rPr>
        <w:t>服务内容</w:t>
      </w:r>
      <w:r>
        <w:rPr>
          <w:rFonts w:hint="eastAsia" w:ascii="仿宋" w:hAnsi="仿宋" w:eastAsia="仿宋"/>
          <w:highlight w:val="none"/>
        </w:rPr>
        <w:t>及要</w:t>
      </w:r>
      <w:r>
        <w:rPr>
          <w:rFonts w:hint="eastAsia" w:ascii="仿宋" w:hAnsi="仿宋" w:eastAsia="仿宋"/>
        </w:rPr>
        <w:t>求</w:t>
      </w:r>
      <w:bookmarkEnd w:id="0"/>
      <w:bookmarkEnd w:id="1"/>
    </w:p>
    <w:p w14:paraId="53DB84F5">
      <w:pPr>
        <w:bidi w:val="0"/>
        <w:adjustRightInd w:val="0"/>
        <w:snapToGrid w:val="0"/>
        <w:spacing w:line="500" w:lineRule="exact"/>
        <w:ind w:firstLine="562" w:firstLineChars="200"/>
        <w:rPr>
          <w:rFonts w:hint="eastAsia" w:ascii="仿宋_GB2312" w:eastAsia="仿宋_GB2312" w:hAnsiTheme="minorHAnsi" w:cstheme="minorBidi"/>
          <w:b/>
          <w:bCs/>
          <w:kern w:val="2"/>
          <w:sz w:val="28"/>
          <w:szCs w:val="28"/>
          <w:highlight w:val="none"/>
        </w:rPr>
      </w:pPr>
      <w:r>
        <w:rPr>
          <w:rFonts w:hint="eastAsia" w:ascii="仿宋_GB2312" w:eastAsia="仿宋_GB2312" w:hAnsiTheme="minorHAnsi" w:cstheme="minorBidi"/>
          <w:b/>
          <w:bCs/>
          <w:kern w:val="2"/>
          <w:sz w:val="28"/>
          <w:szCs w:val="28"/>
          <w:highlight w:val="none"/>
        </w:rPr>
        <w:t>1.</w:t>
      </w:r>
      <w:r>
        <w:rPr>
          <w:rFonts w:hint="eastAsia" w:ascii="仿宋_GB2312" w:eastAsia="仿宋_GB2312" w:hAnsiTheme="minorHAnsi" w:cstheme="minorBidi"/>
          <w:b/>
          <w:bCs/>
          <w:kern w:val="2"/>
          <w:sz w:val="28"/>
          <w:szCs w:val="28"/>
          <w:highlight w:val="none"/>
          <w:lang w:val="en-US" w:eastAsia="zh-CN"/>
        </w:rPr>
        <w:t>工作</w:t>
      </w:r>
      <w:r>
        <w:rPr>
          <w:rFonts w:hint="eastAsia" w:ascii="仿宋_GB2312" w:eastAsia="仿宋_GB2312" w:hAnsiTheme="minorHAnsi" w:cstheme="minorBidi"/>
          <w:b/>
          <w:bCs/>
          <w:kern w:val="2"/>
          <w:sz w:val="28"/>
          <w:szCs w:val="28"/>
          <w:highlight w:val="none"/>
        </w:rPr>
        <w:t>背景</w:t>
      </w:r>
    </w:p>
    <w:p w14:paraId="57F128D2">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为贯彻落实党中央、国务院关于建立国土空间规划体系并监督实施的决策部署，依据《自然资源部 国家林草局关于进一步做好自然资源要素保障的通知》（自然资发〔2026〕38号）、《江西省自然资源厅办公室关于组织开展市县国土空间总体规划动态调整完善工作的通知》（赣自然资办发〔2026〕7号）</w:t>
      </w:r>
      <w:r>
        <w:rPr>
          <w:rFonts w:hint="eastAsia" w:ascii="仿宋_GB2312" w:eastAsia="仿宋_GB2312" w:hAnsiTheme="minorHAnsi" w:cstheme="minorBidi"/>
          <w:b w:val="0"/>
          <w:bCs w:val="0"/>
          <w:kern w:val="2"/>
          <w:sz w:val="28"/>
          <w:szCs w:val="28"/>
          <w:highlight w:val="none"/>
          <w:lang w:eastAsia="zh-CN"/>
        </w:rPr>
        <w:t>、</w:t>
      </w:r>
      <w:r>
        <w:rPr>
          <w:rFonts w:hint="eastAsia" w:ascii="仿宋_GB2312" w:hAnsi="黑体" w:eastAsia="仿宋_GB2312"/>
          <w:sz w:val="28"/>
          <w:szCs w:val="28"/>
          <w:highlight w:val="none"/>
          <w:lang w:eastAsia="zh-CN"/>
        </w:rPr>
        <w:t>《江西省自然资源厅办公室关于开展2024年度国土空间规划体检工作的通知》</w:t>
      </w:r>
      <w:r>
        <w:rPr>
          <w:rFonts w:hint="eastAsia" w:ascii="仿宋_GB2312" w:eastAsia="仿宋_GB2312" w:hAnsiTheme="minorHAnsi" w:cstheme="minorBidi"/>
          <w:b w:val="0"/>
          <w:bCs w:val="0"/>
          <w:kern w:val="2"/>
          <w:sz w:val="28"/>
          <w:szCs w:val="28"/>
          <w:highlight w:val="none"/>
        </w:rPr>
        <w:t>等文件要求，推动南昌县精准落实国家、省、市发展战略，主动对接“十五五”重点项目空间需求，破解规划实施堵点，严守生态与粮食安全底线，统筹重大项目落地与资源要素配置，</w:t>
      </w:r>
      <w:r>
        <w:rPr>
          <w:rFonts w:hint="eastAsia" w:ascii="仿宋_GB2312" w:hAnsi="黑体" w:eastAsia="仿宋_GB2312"/>
          <w:sz w:val="28"/>
          <w:szCs w:val="28"/>
          <w:highlight w:val="none"/>
          <w:lang w:val="en-US" w:eastAsia="zh-CN"/>
        </w:rPr>
        <w:t>在编制</w:t>
      </w:r>
      <w:r>
        <w:rPr>
          <w:rFonts w:hint="eastAsia" w:ascii="仿宋_GB2312" w:hAnsi="黑体" w:eastAsia="仿宋_GB2312"/>
          <w:sz w:val="28"/>
          <w:szCs w:val="28"/>
          <w:highlight w:val="none"/>
        </w:rPr>
        <w:t>《南昌县2024年度国土空间规划城市体检</w:t>
      </w:r>
      <w:r>
        <w:rPr>
          <w:rFonts w:hint="eastAsia" w:ascii="仿宋_GB2312" w:hAnsi="黑体" w:eastAsia="仿宋_GB2312"/>
          <w:sz w:val="28"/>
          <w:szCs w:val="28"/>
          <w:highlight w:val="none"/>
          <w:lang w:val="en-US" w:eastAsia="zh-CN"/>
        </w:rPr>
        <w:t>报告</w:t>
      </w:r>
      <w:r>
        <w:rPr>
          <w:rFonts w:hint="eastAsia" w:ascii="仿宋_GB2312" w:hAnsi="黑体" w:eastAsia="仿宋_GB2312"/>
          <w:sz w:val="28"/>
          <w:szCs w:val="28"/>
          <w:highlight w:val="none"/>
        </w:rPr>
        <w:t>》</w:t>
      </w:r>
      <w:r>
        <w:rPr>
          <w:rFonts w:hint="eastAsia" w:ascii="仿宋_GB2312" w:hAnsi="黑体" w:eastAsia="仿宋_GB2312"/>
          <w:sz w:val="28"/>
          <w:szCs w:val="28"/>
          <w:highlight w:val="none"/>
          <w:lang w:val="en-US" w:eastAsia="zh-CN"/>
        </w:rPr>
        <w:t>的基础上</w:t>
      </w:r>
      <w:r>
        <w:rPr>
          <w:rFonts w:hint="eastAsia" w:ascii="仿宋_GB2312" w:eastAsia="仿宋_GB2312" w:hAnsiTheme="minorHAnsi" w:cstheme="minorBidi"/>
          <w:b w:val="0"/>
          <w:bCs w:val="0"/>
          <w:kern w:val="2"/>
          <w:sz w:val="28"/>
          <w:szCs w:val="28"/>
          <w:highlight w:val="none"/>
        </w:rPr>
        <w:t>，</w:t>
      </w:r>
      <w:r>
        <w:rPr>
          <w:rFonts w:hint="eastAsia" w:ascii="仿宋_GB2312" w:eastAsia="仿宋_GB2312" w:hAnsiTheme="minorHAnsi" w:cstheme="minorBidi"/>
          <w:b w:val="0"/>
          <w:bCs w:val="0"/>
          <w:kern w:val="2"/>
          <w:sz w:val="28"/>
          <w:szCs w:val="28"/>
          <w:highlight w:val="none"/>
          <w:lang w:val="en-US" w:eastAsia="zh-CN"/>
        </w:rPr>
        <w:t>同时</w:t>
      </w:r>
      <w:r>
        <w:rPr>
          <w:rFonts w:hint="eastAsia" w:ascii="仿宋_GB2312" w:eastAsia="仿宋_GB2312" w:hAnsiTheme="minorHAnsi" w:cstheme="minorBidi"/>
          <w:b w:val="0"/>
          <w:bCs w:val="0"/>
          <w:kern w:val="2"/>
          <w:sz w:val="28"/>
          <w:szCs w:val="28"/>
          <w:highlight w:val="none"/>
        </w:rPr>
        <w:t>不突破总体规划确定的保护目标任务、不改变总体规划确定的空间结构和格局的前提下，开展本次国土空间总体规划动态维护（以下简称“规划动态维护”）工作。</w:t>
      </w:r>
    </w:p>
    <w:p w14:paraId="2EB3A5FD">
      <w:pPr>
        <w:bidi w:val="0"/>
        <w:adjustRightInd w:val="0"/>
        <w:snapToGrid w:val="0"/>
        <w:spacing w:line="500" w:lineRule="exact"/>
        <w:ind w:firstLine="562" w:firstLineChars="200"/>
        <w:rPr>
          <w:rFonts w:hint="eastAsia" w:ascii="仿宋_GB2312" w:eastAsia="仿宋_GB2312" w:hAnsiTheme="minorHAnsi" w:cstheme="minorBidi"/>
          <w:b/>
          <w:bCs/>
          <w:kern w:val="2"/>
          <w:sz w:val="28"/>
          <w:szCs w:val="28"/>
          <w:highlight w:val="none"/>
        </w:rPr>
      </w:pPr>
      <w:r>
        <w:rPr>
          <w:rFonts w:hint="eastAsia" w:ascii="仿宋_GB2312" w:eastAsia="仿宋_GB2312" w:hAnsiTheme="minorHAnsi" w:cstheme="minorBidi"/>
          <w:b/>
          <w:bCs/>
          <w:kern w:val="2"/>
          <w:sz w:val="28"/>
          <w:szCs w:val="28"/>
          <w:highlight w:val="none"/>
        </w:rPr>
        <w:t>2.</w:t>
      </w:r>
      <w:r>
        <w:rPr>
          <w:rFonts w:hint="eastAsia" w:ascii="仿宋_GB2312" w:eastAsia="仿宋_GB2312" w:hAnsiTheme="minorHAnsi" w:cstheme="minorBidi"/>
          <w:b/>
          <w:bCs/>
          <w:kern w:val="2"/>
          <w:sz w:val="28"/>
          <w:szCs w:val="28"/>
          <w:highlight w:val="none"/>
          <w:lang w:val="en-US" w:eastAsia="zh-CN"/>
        </w:rPr>
        <w:t>规划</w:t>
      </w:r>
      <w:r>
        <w:rPr>
          <w:rFonts w:hint="eastAsia" w:ascii="仿宋_GB2312" w:eastAsia="仿宋_GB2312" w:hAnsiTheme="minorHAnsi" w:cstheme="minorBidi"/>
          <w:b/>
          <w:bCs/>
          <w:kern w:val="2"/>
          <w:sz w:val="28"/>
          <w:szCs w:val="28"/>
          <w:highlight w:val="none"/>
        </w:rPr>
        <w:t>范围</w:t>
      </w:r>
    </w:p>
    <w:p w14:paraId="37542294">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本次</w:t>
      </w:r>
      <w:r>
        <w:rPr>
          <w:rFonts w:hint="eastAsia" w:ascii="仿宋_GB2312" w:eastAsia="仿宋_GB2312" w:hAnsiTheme="minorHAnsi" w:cstheme="minorBidi"/>
          <w:b w:val="0"/>
          <w:bCs w:val="0"/>
          <w:kern w:val="2"/>
          <w:sz w:val="28"/>
          <w:szCs w:val="28"/>
          <w:highlight w:val="none"/>
          <w:lang w:val="en-US" w:eastAsia="zh-CN"/>
        </w:rPr>
        <w:t>规划</w:t>
      </w:r>
      <w:r>
        <w:rPr>
          <w:rFonts w:hint="eastAsia" w:ascii="仿宋_GB2312" w:eastAsia="仿宋_GB2312" w:hAnsiTheme="minorHAnsi" w:cstheme="minorBidi"/>
          <w:b w:val="0"/>
          <w:bCs w:val="0"/>
          <w:kern w:val="2"/>
          <w:sz w:val="28"/>
          <w:szCs w:val="28"/>
          <w:highlight w:val="none"/>
        </w:rPr>
        <w:t>动态维护范围为南昌县域实际管理范围，面积约1563平方公里。南昌高新区管辖范围内相关动态维护工作以南昌市本级动态维护方案为准，最后成果纳入南昌县动态维护成果中。</w:t>
      </w:r>
    </w:p>
    <w:p w14:paraId="7880E403">
      <w:pPr>
        <w:bidi w:val="0"/>
        <w:adjustRightInd w:val="0"/>
        <w:snapToGrid w:val="0"/>
        <w:spacing w:line="500" w:lineRule="exact"/>
        <w:ind w:firstLine="562" w:firstLineChars="200"/>
        <w:rPr>
          <w:rFonts w:hint="eastAsia" w:ascii="仿宋_GB2312" w:eastAsia="仿宋_GB2312" w:hAnsiTheme="minorHAnsi" w:cstheme="minorBidi"/>
          <w:b/>
          <w:bCs/>
          <w:kern w:val="2"/>
          <w:sz w:val="28"/>
          <w:szCs w:val="28"/>
          <w:highlight w:val="none"/>
        </w:rPr>
      </w:pPr>
      <w:r>
        <w:rPr>
          <w:rFonts w:hint="eastAsia" w:ascii="仿宋_GB2312" w:eastAsia="仿宋_GB2312" w:hAnsiTheme="minorHAnsi" w:cstheme="minorBidi"/>
          <w:b/>
          <w:bCs/>
          <w:kern w:val="2"/>
          <w:sz w:val="28"/>
          <w:szCs w:val="28"/>
          <w:highlight w:val="none"/>
        </w:rPr>
        <w:t>3.</w:t>
      </w:r>
      <w:r>
        <w:rPr>
          <w:rFonts w:hint="eastAsia" w:ascii="仿宋_GB2312" w:eastAsia="仿宋_GB2312" w:hAnsiTheme="minorHAnsi" w:cstheme="minorBidi"/>
          <w:b/>
          <w:bCs/>
          <w:kern w:val="2"/>
          <w:sz w:val="28"/>
          <w:szCs w:val="28"/>
          <w:highlight w:val="none"/>
          <w:lang w:val="en-US" w:eastAsia="zh-CN"/>
        </w:rPr>
        <w:t>工作</w:t>
      </w:r>
      <w:r>
        <w:rPr>
          <w:rFonts w:hint="eastAsia" w:ascii="仿宋_GB2312" w:eastAsia="仿宋_GB2312" w:hAnsiTheme="minorHAnsi" w:cstheme="minorBidi"/>
          <w:b/>
          <w:bCs/>
          <w:kern w:val="2"/>
          <w:sz w:val="28"/>
          <w:szCs w:val="28"/>
          <w:highlight w:val="none"/>
        </w:rPr>
        <w:t>主要内容</w:t>
      </w:r>
    </w:p>
    <w:p w14:paraId="4757FD08">
      <w:pPr>
        <w:keepNext w:val="0"/>
        <w:keepLines w:val="0"/>
        <w:widowControl/>
        <w:suppressLineNumbers w:val="0"/>
        <w:ind w:firstLine="560" w:firstLineChars="200"/>
        <w:jc w:val="left"/>
        <w:rPr>
          <w:rFonts w:hint="eastAsia" w:ascii="仿宋_GB2312" w:eastAsia="仿宋_GB2312" w:hAnsiTheme="minorHAnsi" w:cstheme="minorBidi"/>
          <w:b w:val="0"/>
          <w:bCs w:val="0"/>
          <w:kern w:val="2"/>
          <w:sz w:val="28"/>
          <w:szCs w:val="28"/>
          <w:highlight w:val="none"/>
          <w:lang w:eastAsia="zh-CN"/>
        </w:rPr>
      </w:pPr>
      <w:r>
        <w:rPr>
          <w:rFonts w:hint="eastAsia" w:ascii="仿宋_GB2312" w:eastAsia="仿宋_GB2312" w:hAnsiTheme="minorHAnsi" w:cstheme="minorBidi"/>
          <w:b w:val="0"/>
          <w:bCs w:val="0"/>
          <w:kern w:val="2"/>
          <w:sz w:val="28"/>
          <w:szCs w:val="28"/>
          <w:highlight w:val="none"/>
        </w:rPr>
        <w:t>本次</w:t>
      </w:r>
      <w:r>
        <w:rPr>
          <w:rFonts w:hint="eastAsia" w:ascii="仿宋_GB2312" w:eastAsia="仿宋_GB2312" w:hAnsiTheme="minorHAnsi" w:cstheme="minorBidi"/>
          <w:b w:val="0"/>
          <w:bCs w:val="0"/>
          <w:kern w:val="2"/>
          <w:sz w:val="28"/>
          <w:szCs w:val="28"/>
          <w:highlight w:val="none"/>
          <w:lang w:val="en-US" w:eastAsia="zh-CN"/>
        </w:rPr>
        <w:t>工作主要内容包括2024年度南昌县国土空间总体规划体检评估和</w:t>
      </w:r>
      <w:r>
        <w:rPr>
          <w:rFonts w:hint="eastAsia" w:ascii="仿宋_GB2312" w:eastAsia="仿宋_GB2312" w:hAnsiTheme="minorHAnsi" w:cstheme="minorBidi"/>
          <w:b w:val="0"/>
          <w:bCs w:val="0"/>
          <w:kern w:val="2"/>
          <w:sz w:val="28"/>
          <w:szCs w:val="28"/>
          <w:highlight w:val="none"/>
        </w:rPr>
        <w:t>南昌县国土空间总体规划动态维护</w:t>
      </w:r>
      <w:r>
        <w:rPr>
          <w:rFonts w:hint="eastAsia" w:ascii="仿宋_GB2312" w:eastAsia="仿宋_GB2312" w:hAnsiTheme="minorHAnsi" w:cstheme="minorBidi"/>
          <w:b w:val="0"/>
          <w:bCs w:val="0"/>
          <w:kern w:val="2"/>
          <w:sz w:val="28"/>
          <w:szCs w:val="28"/>
          <w:highlight w:val="none"/>
          <w:lang w:eastAsia="zh-CN"/>
        </w:rPr>
        <w:t>。</w:t>
      </w:r>
    </w:p>
    <w:p w14:paraId="64924CEF">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lang w:val="en-US" w:eastAsia="zh-CN"/>
        </w:rPr>
      </w:pPr>
      <w:r>
        <w:rPr>
          <w:rFonts w:hint="eastAsia" w:ascii="仿宋_GB2312" w:eastAsia="仿宋_GB2312" w:hAnsiTheme="minorHAnsi" w:cstheme="minorBidi"/>
          <w:b w:val="0"/>
          <w:bCs w:val="0"/>
          <w:kern w:val="2"/>
          <w:sz w:val="28"/>
          <w:szCs w:val="28"/>
          <w:highlight w:val="none"/>
          <w:lang w:val="en-US" w:eastAsia="zh-CN"/>
        </w:rPr>
        <w:t>2024年度南昌县国土空间总体规划体检评估主要工作内容是通过国土空间规划“一张图”系统规范开展体检，并严格落实国家下发的各类体检指标，总结实施成效，发现存在的问题，提出优化意见建议，并及时反馈至规划，切实发挥体检评估对规划实施考量、监测、修正、完善的积极作用。</w:t>
      </w:r>
    </w:p>
    <w:p w14:paraId="2CC09A1F">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lang w:val="en-US" w:eastAsia="zh-CN"/>
        </w:rPr>
        <w:t>规划动态维护</w:t>
      </w:r>
      <w:r>
        <w:rPr>
          <w:rFonts w:hint="eastAsia" w:ascii="仿宋_GB2312" w:eastAsia="仿宋_GB2312" w:hAnsiTheme="minorHAnsi" w:cstheme="minorBidi"/>
          <w:b w:val="0"/>
          <w:bCs w:val="0"/>
          <w:kern w:val="2"/>
          <w:sz w:val="28"/>
          <w:szCs w:val="28"/>
          <w:highlight w:val="none"/>
        </w:rPr>
        <w:t>工作主要内容包括以下几点：</w:t>
      </w:r>
    </w:p>
    <w:p w14:paraId="419CA47F">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1）耕地和永久基本农田保护红线动态维护</w:t>
      </w:r>
    </w:p>
    <w:p w14:paraId="1D93A3E0">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2）生态保护红线动态维护；</w:t>
      </w:r>
    </w:p>
    <w:p w14:paraId="1F5FCDA3">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3）城镇开发边界动态维护；</w:t>
      </w:r>
    </w:p>
    <w:p w14:paraId="3A93EC78">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4）国土空间规划分区动态维护；</w:t>
      </w:r>
    </w:p>
    <w:p w14:paraId="2F663698">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5）中心城区用地规划布局动态维护；</w:t>
      </w:r>
    </w:p>
    <w:p w14:paraId="2971C092">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6）城市重要控制线动态维护；</w:t>
      </w:r>
    </w:p>
    <w:p w14:paraId="2618F23E">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7）重点建设项目清单动态维护；</w:t>
      </w:r>
    </w:p>
    <w:p w14:paraId="5EFD0812">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8）</w:t>
      </w:r>
      <w:r>
        <w:rPr>
          <w:rFonts w:hint="eastAsia" w:ascii="仿宋_GB2312" w:eastAsia="仿宋_GB2312" w:hAnsiTheme="minorHAnsi" w:cstheme="minorBidi"/>
          <w:b w:val="0"/>
          <w:bCs w:val="0"/>
          <w:kern w:val="2"/>
          <w:sz w:val="28"/>
          <w:szCs w:val="28"/>
          <w:highlight w:val="none"/>
          <w:lang w:val="en-US" w:eastAsia="zh-CN"/>
        </w:rPr>
        <w:t>其他动态维护情形</w:t>
      </w:r>
      <w:r>
        <w:rPr>
          <w:rFonts w:hint="eastAsia" w:ascii="仿宋_GB2312" w:eastAsia="仿宋_GB2312" w:hAnsiTheme="minorHAnsi" w:cstheme="minorBidi"/>
          <w:b w:val="0"/>
          <w:bCs w:val="0"/>
          <w:kern w:val="2"/>
          <w:sz w:val="28"/>
          <w:szCs w:val="28"/>
          <w:highlight w:val="none"/>
        </w:rPr>
        <w:t>。</w:t>
      </w:r>
    </w:p>
    <w:p w14:paraId="6FA5CE8F">
      <w:pPr>
        <w:bidi w:val="0"/>
        <w:adjustRightInd w:val="0"/>
        <w:snapToGrid w:val="0"/>
        <w:spacing w:line="500" w:lineRule="exact"/>
        <w:ind w:firstLine="562" w:firstLineChars="200"/>
        <w:rPr>
          <w:rFonts w:hint="eastAsia" w:ascii="仿宋_GB2312" w:eastAsia="仿宋_GB2312" w:hAnsiTheme="minorHAnsi" w:cstheme="minorBidi"/>
          <w:b/>
          <w:bCs/>
          <w:kern w:val="2"/>
          <w:sz w:val="28"/>
          <w:szCs w:val="28"/>
          <w:highlight w:val="none"/>
        </w:rPr>
      </w:pPr>
      <w:r>
        <w:rPr>
          <w:rFonts w:hint="eastAsia" w:ascii="仿宋_GB2312" w:eastAsia="仿宋_GB2312" w:hAnsiTheme="minorHAnsi" w:cstheme="minorBidi"/>
          <w:b/>
          <w:bCs/>
          <w:kern w:val="2"/>
          <w:sz w:val="28"/>
          <w:szCs w:val="28"/>
          <w:highlight w:val="none"/>
        </w:rPr>
        <w:t>4.规划编制成果</w:t>
      </w:r>
    </w:p>
    <w:p w14:paraId="26D01802">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成果包括报告、图件、数据库、附件。</w:t>
      </w:r>
    </w:p>
    <w:p w14:paraId="107790C5">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（1）报告：包括国土空间规划城市体检评估主要结论，规划动态维护主要内容、动态维护方案可行性分析、规划衔接与协调以及相应的实施保障措施等必要的内容和附表，文字表述应准确规范，简明扼要。</w:t>
      </w:r>
    </w:p>
    <w:p w14:paraId="622EDEC1">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（2）图件：包括标明调入调出的三条控制线图、其他重要控制线图、国土空间规划分区图、中心城区土地使用规划图、中心城区控制线规划图、重要控制线图等及其他符合动态维护要求确需更新的图件。</w:t>
      </w:r>
    </w:p>
    <w:p w14:paraId="5011A390">
      <w:pPr>
        <w:bidi w:val="0"/>
        <w:adjustRightInd w:val="0"/>
        <w:snapToGrid w:val="0"/>
        <w:spacing w:line="500" w:lineRule="exact"/>
        <w:ind w:firstLine="560" w:firstLineChars="200"/>
        <w:rPr>
          <w:rFonts w:hint="eastAsia" w:ascii="仿宋_GB2312" w:eastAsia="仿宋_GB2312" w:hAnsiTheme="minorHAnsi" w:cstheme="minorBidi"/>
          <w:b w:val="0"/>
          <w:bCs w:val="0"/>
          <w:kern w:val="2"/>
          <w:sz w:val="28"/>
          <w:szCs w:val="28"/>
          <w:highlight w:val="none"/>
        </w:rPr>
      </w:pPr>
      <w:r>
        <w:rPr>
          <w:rFonts w:hint="eastAsia" w:ascii="仿宋_GB2312" w:eastAsia="仿宋_GB2312" w:hAnsiTheme="minorHAnsi" w:cstheme="minorBidi"/>
          <w:b w:val="0"/>
          <w:bCs w:val="0"/>
          <w:kern w:val="2"/>
          <w:sz w:val="28"/>
          <w:szCs w:val="28"/>
          <w:highlight w:val="none"/>
        </w:rPr>
        <w:t>（3）数据库：包括维护后的耕地保护红线、永久基本农田保护红线、生态保护红线、城镇开发边界、规划分区、中心城区规划用地用海、城市重要控制线、重点建设项目安排表和其他符合动态维护要求确需更新的矢量图层。</w:t>
      </w:r>
    </w:p>
    <w:p w14:paraId="20C342DD">
      <w:pPr>
        <w:bidi w:val="0"/>
        <w:adjustRightInd w:val="0"/>
        <w:snapToGrid w:val="0"/>
        <w:spacing w:line="500" w:lineRule="exact"/>
        <w:ind w:firstLine="560" w:firstLineChars="200"/>
        <w:rPr>
          <w:rFonts w:hint="eastAsia" w:ascii="仿宋" w:hAnsi="仿宋" w:eastAsia="仿宋" w:cs="仿宋"/>
          <w:b w:val="0"/>
          <w:bCs w:val="0"/>
          <w:kern w:val="2"/>
          <w:sz w:val="28"/>
          <w:szCs w:val="28"/>
        </w:rPr>
      </w:pPr>
      <w:r>
        <w:rPr>
          <w:rFonts w:hint="eastAsia" w:ascii="仿宋_GB2312" w:eastAsia="仿宋_GB2312" w:hAnsiTheme="minorHAnsi" w:cstheme="minorBidi"/>
          <w:b w:val="0"/>
          <w:bCs w:val="0"/>
          <w:kern w:val="2"/>
          <w:sz w:val="28"/>
          <w:szCs w:val="28"/>
          <w:highlight w:val="none"/>
        </w:rPr>
        <w:t>（4）附件：应包含体检评估报告、各类论证审查意见、会议纪要等其他相关材料。</w:t>
      </w:r>
    </w:p>
    <w:p w14:paraId="2D3BD4BC">
      <w:pPr>
        <w:bidi w:val="0"/>
        <w:adjustRightInd w:val="0"/>
        <w:snapToGrid w:val="0"/>
        <w:spacing w:line="500" w:lineRule="exact"/>
        <w:ind w:firstLine="560" w:firstLineChars="200"/>
        <w:rPr>
          <w:rFonts w:hint="eastAsia" w:ascii="仿宋" w:hAnsi="仿宋" w:eastAsia="仿宋" w:cs="仿宋"/>
          <w:b w:val="0"/>
          <w:bCs w:val="0"/>
          <w:kern w:val="2"/>
          <w:sz w:val="28"/>
          <w:szCs w:val="28"/>
        </w:rPr>
      </w:pPr>
    </w:p>
    <w:p w14:paraId="31495404">
      <w:r>
        <w:rPr>
          <w:rFonts w:hint="eastAsia" w:ascii="仿宋" w:hAnsi="仿宋" w:eastAsia="仿宋"/>
          <w:b/>
          <w:sz w:val="28"/>
          <w:szCs w:val="28"/>
        </w:rPr>
        <w:t>注：以上所有</w:t>
      </w:r>
      <w:r>
        <w:rPr>
          <w:rFonts w:hint="eastAsia"/>
          <w:b/>
          <w:sz w:val="28"/>
          <w:szCs w:val="28"/>
          <w:lang w:val="en-US" w:eastAsia="zh-CN"/>
        </w:rPr>
        <w:t>服务内容</w:t>
      </w:r>
      <w:r>
        <w:rPr>
          <w:rFonts w:hint="eastAsia" w:ascii="仿宋" w:hAnsi="仿宋" w:eastAsia="仿宋"/>
          <w:b/>
          <w:sz w:val="28"/>
          <w:szCs w:val="28"/>
        </w:rPr>
        <w:t>及要求为实质性要求，须全部满足或优于，否则按无效响应文件处理。</w:t>
      </w:r>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560"/>
      </w:pPr>
      <w:r>
        <w:separator/>
      </w:r>
    </w:p>
  </w:endnote>
  <w:endnote w:type="continuationSeparator" w:id="1">
    <w:p>
      <w:pPr>
        <w:spacing w:line="240" w:lineRule="auto"/>
        <w:ind w:firstLine="56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560"/>
      </w:pPr>
      <w:r>
        <w:separator/>
      </w:r>
    </w:p>
  </w:footnote>
  <w:footnote w:type="continuationSeparator" w:id="1">
    <w:p>
      <w:pPr>
        <w:spacing w:line="240" w:lineRule="auto"/>
        <w:ind w:firstLine="56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4A227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500" w:lineRule="exact"/>
      <w:ind w:firstLine="1687" w:firstLineChars="200"/>
      <w:jc w:val="both"/>
    </w:pPr>
    <w:rPr>
      <w:rFonts w:ascii="仿宋" w:hAnsi="仿宋" w:eastAsia="仿宋" w:cs="仿宋"/>
      <w:kern w:val="2"/>
      <w:sz w:val="28"/>
      <w:szCs w:val="28"/>
      <w:lang w:val="en-US" w:eastAsia="zh-CN"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Subtitle"/>
    <w:basedOn w:val="1"/>
    <w:next w:val="1"/>
    <w:qFormat/>
    <w:uiPriority w:val="11"/>
    <w:pPr>
      <w:spacing w:line="312" w:lineRule="auto"/>
      <w:jc w:val="center"/>
      <w:outlineLvl w:val="1"/>
    </w:pPr>
    <w:rPr>
      <w:rFonts w:ascii="Cambria" w:hAnsi="Cambria"/>
      <w:b/>
      <w:bCs/>
      <w:kern w:val="28"/>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2026-06-18T08:48:35Z</dcterms:created>
  <dc:creator>Administrator</dc:creator>
  <cp:lastModifiedBy>WPS</cp:lastModifiedBy>
  <dcterms:modified xsi:type="dcterms:W3CDTF">2026-06-18T08:48:40Z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KSOTemplateDocerSaveRecord">
    <vt:lpwstr>eyJoZGlkIjoiYjc2YTQ5OTRmZmM4YzZlNzA3MWNmODRlMWYxMzhkODUiLCJ1c2VySWQiOiIyOTIzMjE5NTYifQ==</vt:lpwstr>
  </property>
  <property fmtid="{D5CDD505-2E9C-101B-9397-08002B2CF9AE}" pid="4" name="ICV">
    <vt:lpwstr>0E31B7CFA09947309518AD80A27BC6FC_12</vt:lpwstr>
  </property>
</Properties>
</file>