
<file path=[Content_Types].xml><?xml version="1.0" encoding="utf-8"?>
<Types xmlns="http://schemas.openxmlformats.org/package/2006/content-types">
  <Default Extension="jpeg" ContentType="image/jpeg"/>
  <Default Extension="JPG" ContentType="image/.jp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54F075B">
      <w:pPr>
        <w:keepNext/>
        <w:keepLines/>
        <w:widowControl w:val="0"/>
        <w:spacing w:after="120" w:line="460" w:lineRule="exact"/>
        <w:jc w:val="center"/>
        <w:outlineLvl w:val="1"/>
        <w:rPr>
          <w:rFonts w:ascii="宋体" w:hAnsi="宋体" w:eastAsia="宋体" w:cs="Times New Roman"/>
          <w:b/>
          <w:bCs/>
          <w:color w:val="0D0D0D"/>
          <w:kern w:val="2"/>
          <w:sz w:val="24"/>
          <w:szCs w:val="24"/>
          <w:lang w:val="en-US" w:eastAsia="zh-CN" w:bidi="ar-SA"/>
        </w:rPr>
      </w:pPr>
      <w:bookmarkStart w:id="0" w:name="_Toc31340"/>
      <w:bookmarkStart w:id="1" w:name="_Toc24552"/>
      <w:bookmarkStart w:id="2" w:name="_Toc7344"/>
      <w:bookmarkStart w:id="3" w:name="_Toc3511"/>
      <w:bookmarkStart w:id="4" w:name="_Toc11397"/>
      <w:bookmarkStart w:id="5" w:name="_Toc12588"/>
      <w:r>
        <w:rPr>
          <w:rFonts w:hint="eastAsia" w:ascii="宋体" w:hAnsi="宋体" w:eastAsia="宋体" w:cs="Times New Roman"/>
          <w:b/>
          <w:bCs/>
          <w:color w:val="0D0D0D"/>
          <w:kern w:val="2"/>
          <w:sz w:val="24"/>
          <w:szCs w:val="24"/>
          <w:lang w:val="en-US" w:eastAsia="zh-CN" w:bidi="ar-SA"/>
        </w:rPr>
        <w:t>一、技术要求</w:t>
      </w:r>
      <w:bookmarkEnd w:id="0"/>
      <w:bookmarkEnd w:id="1"/>
      <w:bookmarkEnd w:id="2"/>
      <w:bookmarkEnd w:id="3"/>
      <w:bookmarkEnd w:id="4"/>
      <w:bookmarkEnd w:id="5"/>
    </w:p>
    <w:p w14:paraId="663C0CE1">
      <w:pPr>
        <w:keepNext/>
        <w:keepLines/>
        <w:widowControl w:val="0"/>
        <w:spacing w:after="120" w:line="460" w:lineRule="exact"/>
        <w:jc w:val="center"/>
        <w:outlineLvl w:val="1"/>
        <w:rPr>
          <w:rFonts w:hint="eastAsia" w:ascii="宋体" w:hAnsi="宋体" w:eastAsia="宋体" w:cs="Times New Roman"/>
          <w:b/>
          <w:bCs/>
          <w:color w:val="0D0D0D"/>
          <w:kern w:val="2"/>
          <w:sz w:val="24"/>
          <w:szCs w:val="24"/>
          <w:lang w:val="en-US" w:eastAsia="zh-CN" w:bidi="ar-SA"/>
        </w:rPr>
      </w:pPr>
      <w:bookmarkStart w:id="6" w:name="_Toc2627"/>
      <w:r>
        <w:rPr>
          <w:rFonts w:hint="eastAsia" w:ascii="宋体" w:hAnsi="宋体" w:eastAsia="宋体" w:cs="Times New Roman"/>
          <w:b/>
          <w:bCs/>
          <w:color w:val="0D0D0D"/>
          <w:kern w:val="2"/>
          <w:sz w:val="24"/>
          <w:szCs w:val="24"/>
          <w:lang w:val="en-US" w:eastAsia="zh-CN" w:bidi="ar-SA"/>
        </w:rPr>
        <w:t>（一）技术规格（工程需求）</w:t>
      </w:r>
      <w:bookmarkEnd w:id="6"/>
    </w:p>
    <w:p w14:paraId="34B6292A">
      <w:pPr>
        <w:spacing w:line="460" w:lineRule="exact"/>
        <w:ind w:firstLine="211" w:firstLineChars="100"/>
        <w:jc w:val="left"/>
        <w:rPr>
          <w:rFonts w:hint="eastAsia" w:ascii="宋体" w:hAnsi="宋体" w:eastAsia="宋体" w:cs="Times New Roman"/>
          <w:b/>
          <w:sz w:val="21"/>
          <w:szCs w:val="21"/>
          <w:lang w:eastAsia="zh-CN"/>
        </w:rPr>
      </w:pPr>
      <w:r>
        <w:rPr>
          <w:rFonts w:hint="eastAsia" w:ascii="宋体" w:hAnsi="宋体" w:eastAsia="宋体" w:cs="Times New Roman"/>
          <w:b/>
          <w:sz w:val="21"/>
          <w:szCs w:val="21"/>
        </w:rPr>
        <w:t>1</w:t>
      </w:r>
      <w:r>
        <w:rPr>
          <w:rFonts w:hint="eastAsia" w:ascii="宋体" w:hAnsi="宋体" w:eastAsia="宋体" w:cs="Times New Roman"/>
          <w:b/>
          <w:sz w:val="21"/>
          <w:szCs w:val="21"/>
          <w:lang w:eastAsia="zh-CN"/>
        </w:rPr>
        <w:t>、采购标的及采购标的所属行业</w:t>
      </w:r>
    </w:p>
    <w:tbl>
      <w:tblPr>
        <w:tblStyle w:val="2"/>
        <w:tblW w:w="4996"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96"/>
        <w:gridCol w:w="4090"/>
        <w:gridCol w:w="881"/>
        <w:gridCol w:w="900"/>
        <w:gridCol w:w="2468"/>
      </w:tblGrid>
      <w:tr w14:paraId="6A2C11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85" w:type="pct"/>
            <w:noWrap w:val="0"/>
            <w:vAlign w:val="center"/>
          </w:tcPr>
          <w:p w14:paraId="7AA8E370">
            <w:pPr>
              <w:widowControl/>
              <w:spacing w:line="460" w:lineRule="exact"/>
              <w:jc w:val="center"/>
              <w:rPr>
                <w:rFonts w:ascii="宋体" w:hAnsi="宋体" w:eastAsia="宋体" w:cs="Times New Roman"/>
                <w:b/>
                <w:bCs/>
                <w:color w:val="000000"/>
                <w:sz w:val="21"/>
                <w:szCs w:val="21"/>
              </w:rPr>
            </w:pPr>
            <w:r>
              <w:rPr>
                <w:rFonts w:hint="eastAsia" w:ascii="宋体" w:hAnsi="宋体" w:eastAsia="宋体" w:cs="Times New Roman"/>
                <w:b/>
                <w:bCs/>
                <w:color w:val="000000"/>
                <w:sz w:val="21"/>
                <w:szCs w:val="21"/>
              </w:rPr>
              <w:t>序号</w:t>
            </w:r>
          </w:p>
        </w:tc>
        <w:tc>
          <w:tcPr>
            <w:tcW w:w="2214" w:type="pct"/>
            <w:noWrap w:val="0"/>
            <w:vAlign w:val="center"/>
          </w:tcPr>
          <w:p w14:paraId="36CEC6A5">
            <w:pPr>
              <w:widowControl/>
              <w:spacing w:line="460" w:lineRule="exact"/>
              <w:jc w:val="center"/>
              <w:rPr>
                <w:rFonts w:hint="default" w:ascii="宋体" w:hAnsi="宋体" w:eastAsia="宋体" w:cs="Times New Roman"/>
                <w:b/>
                <w:bCs/>
                <w:color w:val="000000"/>
                <w:sz w:val="21"/>
                <w:szCs w:val="21"/>
                <w:lang w:val="en-US" w:eastAsia="zh-CN"/>
              </w:rPr>
            </w:pPr>
            <w:r>
              <w:rPr>
                <w:rFonts w:hint="eastAsia" w:ascii="宋体" w:hAnsi="宋体" w:eastAsia="宋体" w:cs="Times New Roman"/>
                <w:b/>
                <w:bCs/>
                <w:color w:val="000000"/>
                <w:sz w:val="21"/>
                <w:szCs w:val="21"/>
                <w:lang w:val="en-US" w:eastAsia="zh-CN"/>
              </w:rPr>
              <w:t>采购标的</w:t>
            </w:r>
          </w:p>
        </w:tc>
        <w:tc>
          <w:tcPr>
            <w:tcW w:w="477" w:type="pct"/>
            <w:noWrap w:val="0"/>
            <w:vAlign w:val="center"/>
          </w:tcPr>
          <w:p w14:paraId="39431D32">
            <w:pPr>
              <w:widowControl/>
              <w:spacing w:line="460" w:lineRule="exact"/>
              <w:jc w:val="center"/>
              <w:rPr>
                <w:rFonts w:hint="default" w:ascii="宋体" w:hAnsi="宋体" w:eastAsia="宋体" w:cs="Times New Roman"/>
                <w:b/>
                <w:bCs/>
                <w:color w:val="000000"/>
                <w:sz w:val="21"/>
                <w:szCs w:val="21"/>
                <w:lang w:val="en-US" w:eastAsia="zh-CN"/>
              </w:rPr>
            </w:pPr>
            <w:r>
              <w:rPr>
                <w:rFonts w:hint="eastAsia" w:ascii="宋体" w:hAnsi="宋体" w:eastAsia="宋体" w:cs="Times New Roman"/>
                <w:b/>
                <w:bCs/>
                <w:color w:val="000000"/>
                <w:sz w:val="21"/>
                <w:szCs w:val="21"/>
                <w:lang w:val="en-US" w:eastAsia="zh-CN"/>
              </w:rPr>
              <w:t>数量</w:t>
            </w:r>
          </w:p>
        </w:tc>
        <w:tc>
          <w:tcPr>
            <w:tcW w:w="487" w:type="pct"/>
            <w:noWrap w:val="0"/>
            <w:vAlign w:val="center"/>
          </w:tcPr>
          <w:p w14:paraId="3E679D05">
            <w:pPr>
              <w:widowControl/>
              <w:spacing w:line="460" w:lineRule="exact"/>
              <w:jc w:val="center"/>
              <w:rPr>
                <w:rFonts w:hint="default" w:ascii="宋体" w:hAnsi="宋体" w:eastAsia="宋体" w:cs="Times New Roman"/>
                <w:b/>
                <w:bCs/>
                <w:color w:val="000000"/>
                <w:sz w:val="21"/>
                <w:szCs w:val="21"/>
                <w:lang w:val="en-US" w:eastAsia="zh-CN"/>
              </w:rPr>
            </w:pPr>
            <w:r>
              <w:rPr>
                <w:rFonts w:hint="eastAsia" w:ascii="宋体" w:hAnsi="宋体" w:eastAsia="宋体" w:cs="Times New Roman"/>
                <w:b/>
                <w:bCs/>
                <w:color w:val="000000"/>
                <w:sz w:val="21"/>
                <w:szCs w:val="21"/>
                <w:lang w:val="en-US" w:eastAsia="zh-CN"/>
              </w:rPr>
              <w:t>单位</w:t>
            </w:r>
          </w:p>
        </w:tc>
        <w:tc>
          <w:tcPr>
            <w:tcW w:w="1336" w:type="pct"/>
            <w:noWrap w:val="0"/>
            <w:vAlign w:val="center"/>
          </w:tcPr>
          <w:p w14:paraId="1D7CE4A0">
            <w:pPr>
              <w:widowControl/>
              <w:spacing w:line="460" w:lineRule="exact"/>
              <w:jc w:val="center"/>
              <w:rPr>
                <w:rFonts w:hint="eastAsia" w:ascii="宋体" w:hAnsi="宋体" w:eastAsia="宋体" w:cs="Times New Roman"/>
                <w:b/>
                <w:bCs/>
                <w:color w:val="000000"/>
                <w:sz w:val="21"/>
                <w:szCs w:val="21"/>
                <w:lang w:val="en-US" w:eastAsia="zh-CN"/>
              </w:rPr>
            </w:pPr>
            <w:r>
              <w:rPr>
                <w:rFonts w:hint="eastAsia" w:ascii="宋体" w:hAnsi="宋体" w:eastAsia="宋体" w:cs="Times New Roman"/>
                <w:b/>
                <w:bCs/>
                <w:color w:val="000000"/>
                <w:sz w:val="21"/>
                <w:szCs w:val="21"/>
                <w:lang w:val="en-US" w:eastAsia="zh-CN"/>
              </w:rPr>
              <w:t>采购标的所属行业</w:t>
            </w:r>
          </w:p>
        </w:tc>
      </w:tr>
      <w:tr w14:paraId="4CF87D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85" w:type="pct"/>
            <w:noWrap w:val="0"/>
            <w:vAlign w:val="center"/>
          </w:tcPr>
          <w:p w14:paraId="4B02F10E">
            <w:pPr>
              <w:widowControl/>
              <w:spacing w:line="460" w:lineRule="exact"/>
              <w:jc w:val="center"/>
              <w:rPr>
                <w:rFonts w:ascii="宋体" w:hAnsi="宋体" w:eastAsia="宋体" w:cs="Times New Roman"/>
                <w:color w:val="000000"/>
                <w:sz w:val="21"/>
                <w:szCs w:val="21"/>
              </w:rPr>
            </w:pPr>
            <w:r>
              <w:rPr>
                <w:rFonts w:hint="eastAsia" w:ascii="宋体" w:hAnsi="宋体" w:eastAsia="宋体" w:cs="Times New Roman"/>
                <w:color w:val="000000"/>
                <w:sz w:val="21"/>
                <w:szCs w:val="21"/>
              </w:rPr>
              <w:t>1</w:t>
            </w:r>
          </w:p>
        </w:tc>
        <w:tc>
          <w:tcPr>
            <w:tcW w:w="2214" w:type="pct"/>
            <w:noWrap w:val="0"/>
            <w:vAlign w:val="center"/>
          </w:tcPr>
          <w:p w14:paraId="11A0F3E5">
            <w:pPr>
              <w:widowControl/>
              <w:spacing w:line="460" w:lineRule="exact"/>
              <w:jc w:val="center"/>
              <w:rPr>
                <w:rFonts w:hint="eastAsia" w:ascii="宋体" w:hAnsi="宋体" w:eastAsia="宋体" w:cs="Times New Roman"/>
                <w:color w:val="000000"/>
                <w:sz w:val="21"/>
                <w:szCs w:val="21"/>
                <w:lang w:eastAsia="zh-CN"/>
              </w:rPr>
            </w:pPr>
            <w:r>
              <w:rPr>
                <w:rFonts w:hint="eastAsia" w:ascii="宋体" w:hAnsi="宋体" w:eastAsia="宋体" w:cs="Times New Roman"/>
                <w:bCs/>
                <w:color w:val="0D0D0D"/>
                <w:sz w:val="21"/>
                <w:szCs w:val="21"/>
                <w:lang w:eastAsia="zh-CN"/>
              </w:rPr>
              <w:t>江西省女子强制隔离戒毒所2026年外窗更换及屋顶维修项目</w:t>
            </w:r>
          </w:p>
        </w:tc>
        <w:tc>
          <w:tcPr>
            <w:tcW w:w="477" w:type="pct"/>
            <w:noWrap w:val="0"/>
            <w:vAlign w:val="center"/>
          </w:tcPr>
          <w:p w14:paraId="0F1A5880">
            <w:pPr>
              <w:widowControl/>
              <w:spacing w:line="460" w:lineRule="exact"/>
              <w:jc w:val="center"/>
              <w:rPr>
                <w:rFonts w:hint="eastAsia" w:ascii="宋体" w:hAnsi="宋体" w:eastAsia="宋体" w:cs="Times New Roman"/>
                <w:color w:val="000000"/>
                <w:sz w:val="21"/>
                <w:szCs w:val="21"/>
                <w:lang w:val="en-US" w:eastAsia="zh-CN"/>
              </w:rPr>
            </w:pPr>
            <w:r>
              <w:rPr>
                <w:rFonts w:hint="eastAsia" w:ascii="宋体" w:hAnsi="宋体" w:eastAsia="宋体" w:cs="Times New Roman"/>
                <w:color w:val="000000"/>
                <w:sz w:val="21"/>
                <w:szCs w:val="21"/>
                <w:lang w:val="en-US" w:eastAsia="zh-CN"/>
              </w:rPr>
              <w:t>1</w:t>
            </w:r>
          </w:p>
        </w:tc>
        <w:tc>
          <w:tcPr>
            <w:tcW w:w="487" w:type="pct"/>
            <w:noWrap w:val="0"/>
            <w:vAlign w:val="center"/>
          </w:tcPr>
          <w:p w14:paraId="2696FD30">
            <w:pPr>
              <w:widowControl/>
              <w:spacing w:line="460" w:lineRule="exact"/>
              <w:jc w:val="center"/>
              <w:rPr>
                <w:rFonts w:hint="eastAsia" w:ascii="宋体" w:hAnsi="宋体" w:eastAsia="宋体" w:cs="Times New Roman"/>
                <w:color w:val="000000"/>
                <w:sz w:val="21"/>
                <w:szCs w:val="21"/>
                <w:lang w:eastAsia="zh-CN"/>
              </w:rPr>
            </w:pPr>
            <w:r>
              <w:rPr>
                <w:rFonts w:hint="eastAsia" w:ascii="宋体" w:hAnsi="宋体" w:eastAsia="宋体" w:cs="Times New Roman"/>
                <w:color w:val="000000"/>
                <w:sz w:val="21"/>
                <w:szCs w:val="21"/>
                <w:lang w:eastAsia="zh-CN"/>
              </w:rPr>
              <w:t>项</w:t>
            </w:r>
          </w:p>
        </w:tc>
        <w:tc>
          <w:tcPr>
            <w:tcW w:w="1336" w:type="pct"/>
            <w:noWrap w:val="0"/>
            <w:vAlign w:val="center"/>
          </w:tcPr>
          <w:p w14:paraId="4014B211">
            <w:pPr>
              <w:widowControl/>
              <w:spacing w:line="460" w:lineRule="exact"/>
              <w:jc w:val="center"/>
              <w:rPr>
                <w:rFonts w:hint="eastAsia" w:ascii="宋体" w:hAnsi="宋体" w:eastAsia="宋体" w:cs="Times New Roman"/>
                <w:color w:val="000000"/>
                <w:sz w:val="21"/>
                <w:szCs w:val="21"/>
                <w:lang w:eastAsia="zh-CN"/>
              </w:rPr>
            </w:pPr>
            <w:r>
              <w:rPr>
                <w:rFonts w:hint="eastAsia" w:ascii="宋体" w:hAnsi="宋体" w:eastAsia="宋体" w:cs="Times New Roman"/>
                <w:color w:val="000000"/>
                <w:sz w:val="21"/>
                <w:szCs w:val="21"/>
                <w:lang w:eastAsia="zh-CN"/>
              </w:rPr>
              <w:t>建筑业</w:t>
            </w:r>
          </w:p>
        </w:tc>
      </w:tr>
    </w:tbl>
    <w:p w14:paraId="59DE9384">
      <w:pPr>
        <w:spacing w:line="460" w:lineRule="exact"/>
        <w:ind w:firstLine="283"/>
        <w:jc w:val="left"/>
        <w:rPr>
          <w:rFonts w:hint="eastAsia" w:ascii="宋体" w:hAnsi="宋体" w:eastAsia="宋体" w:cs="宋体"/>
          <w:b/>
          <w:bCs/>
          <w:color w:val="auto"/>
          <w:sz w:val="21"/>
          <w:szCs w:val="21"/>
        </w:rPr>
      </w:pPr>
      <w:r>
        <w:rPr>
          <w:rFonts w:hint="eastAsia" w:ascii="宋体" w:hAnsi="宋体" w:eastAsia="宋体" w:cs="宋体"/>
          <w:b/>
          <w:bCs/>
          <w:color w:val="auto"/>
          <w:sz w:val="21"/>
          <w:szCs w:val="21"/>
          <w:lang w:val="en-US" w:eastAsia="zh-CN"/>
        </w:rPr>
        <w:t>2</w:t>
      </w:r>
      <w:r>
        <w:rPr>
          <w:rFonts w:hint="eastAsia" w:ascii="宋体" w:hAnsi="宋体" w:eastAsia="宋体" w:cs="宋体"/>
          <w:b/>
          <w:bCs/>
          <w:color w:val="auto"/>
          <w:sz w:val="21"/>
          <w:szCs w:val="21"/>
        </w:rPr>
        <w:t>、工程要求</w:t>
      </w:r>
    </w:p>
    <w:p w14:paraId="1D7F9B5E">
      <w:pPr>
        <w:widowControl/>
        <w:spacing w:line="460" w:lineRule="exact"/>
        <w:ind w:firstLine="283"/>
        <w:jc w:val="left"/>
        <w:rPr>
          <w:rFonts w:hint="eastAsia" w:ascii="宋体" w:hAnsi="宋体" w:eastAsia="宋体" w:cs="宋体"/>
          <w:color w:val="auto"/>
          <w:sz w:val="21"/>
          <w:szCs w:val="21"/>
          <w:lang w:eastAsia="zh-CN"/>
        </w:rPr>
      </w:pPr>
      <w:r>
        <w:rPr>
          <w:rFonts w:hint="eastAsia" w:ascii="宋体" w:hAnsi="宋体" w:eastAsia="宋体" w:cs="宋体"/>
          <w:b/>
          <w:bCs/>
          <w:color w:val="auto"/>
          <w:sz w:val="21"/>
          <w:szCs w:val="21"/>
          <w:lang w:val="en-US" w:eastAsia="zh-CN"/>
        </w:rPr>
        <w:t>2</w:t>
      </w:r>
      <w:r>
        <w:rPr>
          <w:rFonts w:hint="eastAsia" w:ascii="宋体" w:hAnsi="宋体" w:eastAsia="宋体" w:cs="宋体"/>
          <w:b/>
          <w:bCs/>
          <w:color w:val="auto"/>
          <w:sz w:val="21"/>
          <w:szCs w:val="21"/>
        </w:rPr>
        <w:t>.1项目要求及内容</w:t>
      </w:r>
      <w:r>
        <w:rPr>
          <w:rFonts w:hint="eastAsia" w:ascii="宋体" w:hAnsi="宋体" w:eastAsia="宋体" w:cs="宋体"/>
          <w:b/>
          <w:bCs/>
          <w:color w:val="auto"/>
          <w:sz w:val="21"/>
          <w:szCs w:val="21"/>
          <w:lang w:eastAsia="zh-CN"/>
        </w:rPr>
        <w:t>：</w:t>
      </w:r>
      <w:r>
        <w:rPr>
          <w:rFonts w:hint="eastAsia" w:ascii="宋体" w:hAnsi="宋体" w:eastAsia="宋体" w:cs="宋体"/>
          <w:color w:val="auto"/>
          <w:sz w:val="21"/>
          <w:szCs w:val="21"/>
          <w:lang w:eastAsia="zh-CN"/>
        </w:rPr>
        <w:t>具体工程量详见工程量清单、图纸及采购需求。注：图纸和工程量清单中产品型号规格不存在指向性，仅作参考，供应商可提供不低于同等技术标准的产品进行替代。</w:t>
      </w:r>
    </w:p>
    <w:p w14:paraId="6961F983">
      <w:pPr>
        <w:widowControl/>
        <w:spacing w:line="460" w:lineRule="exact"/>
        <w:ind w:firstLine="283"/>
        <w:jc w:val="left"/>
        <w:rPr>
          <w:rFonts w:hint="eastAsia" w:ascii="宋体" w:hAnsi="宋体" w:eastAsia="宋体" w:cs="宋体"/>
          <w:b/>
          <w:bCs/>
          <w:color w:val="auto"/>
          <w:sz w:val="21"/>
          <w:szCs w:val="21"/>
          <w:lang w:val="en-US" w:eastAsia="zh-CN"/>
        </w:rPr>
      </w:pPr>
      <w:r>
        <w:rPr>
          <w:rFonts w:hint="eastAsia" w:ascii="宋体" w:hAnsi="宋体" w:eastAsia="宋体" w:cs="宋体"/>
          <w:b/>
          <w:bCs/>
          <w:color w:val="auto"/>
          <w:sz w:val="21"/>
          <w:szCs w:val="21"/>
          <w:lang w:val="en-US" w:eastAsia="zh-CN"/>
        </w:rPr>
        <w:t>2.2 承包范围：</w:t>
      </w:r>
    </w:p>
    <w:p w14:paraId="08AF717C">
      <w:pPr>
        <w:widowControl/>
        <w:spacing w:line="460" w:lineRule="exact"/>
        <w:ind w:firstLine="283"/>
        <w:jc w:val="left"/>
        <w:rPr>
          <w:rFonts w:hint="default" w:ascii="宋体" w:hAnsi="宋体" w:eastAsia="宋体" w:cs="宋体"/>
          <w:color w:val="auto"/>
          <w:sz w:val="21"/>
          <w:szCs w:val="21"/>
          <w:lang w:val="en-US" w:eastAsia="zh-CN"/>
        </w:rPr>
      </w:pPr>
      <w:r>
        <w:rPr>
          <w:rFonts w:hint="eastAsia" w:ascii="宋体" w:hAnsi="宋体" w:eastAsia="宋体" w:cs="宋体"/>
          <w:b w:val="0"/>
          <w:bCs w:val="0"/>
          <w:color w:val="auto"/>
          <w:sz w:val="21"/>
          <w:szCs w:val="21"/>
          <w:lang w:val="en-US" w:eastAsia="zh-CN"/>
        </w:rPr>
        <w:t>2.2.1</w:t>
      </w:r>
      <w:r>
        <w:rPr>
          <w:rFonts w:hint="eastAsia" w:ascii="宋体" w:hAnsi="宋体" w:eastAsia="宋体" w:cs="宋体"/>
          <w:color w:val="auto"/>
          <w:sz w:val="21"/>
          <w:szCs w:val="21"/>
          <w:lang w:val="en-US" w:eastAsia="zh-CN"/>
        </w:rPr>
        <w:t>主要内容包括：本项目图纸及</w:t>
      </w:r>
      <w:r>
        <w:rPr>
          <w:rFonts w:hint="eastAsia" w:ascii="宋体" w:hAnsi="宋体" w:eastAsia="宋体" w:cs="宋体"/>
          <w:color w:val="auto"/>
          <w:sz w:val="21"/>
          <w:szCs w:val="21"/>
          <w:lang w:eastAsia="zh-CN"/>
        </w:rPr>
        <w:t>工程量清单</w:t>
      </w:r>
      <w:r>
        <w:rPr>
          <w:rFonts w:hint="eastAsia" w:ascii="宋体" w:hAnsi="宋体" w:eastAsia="宋体" w:cs="宋体"/>
          <w:color w:val="auto"/>
          <w:sz w:val="21"/>
          <w:szCs w:val="21"/>
          <w:lang w:val="en-US" w:eastAsia="zh-CN"/>
        </w:rPr>
        <w:t>的全部工程内容，详见图纸和工程量清单。</w:t>
      </w:r>
    </w:p>
    <w:p w14:paraId="71DD4AEC">
      <w:pPr>
        <w:widowControl/>
        <w:spacing w:line="460" w:lineRule="exact"/>
        <w:ind w:firstLine="283"/>
        <w:jc w:val="left"/>
        <w:rPr>
          <w:rFonts w:hint="eastAsia" w:ascii="宋体" w:hAnsi="宋体" w:eastAsia="宋体" w:cs="宋体"/>
          <w:color w:val="auto"/>
          <w:sz w:val="21"/>
          <w:szCs w:val="21"/>
        </w:rPr>
      </w:pPr>
      <w:r>
        <w:rPr>
          <w:rFonts w:hint="eastAsia" w:ascii="宋体" w:hAnsi="宋体" w:eastAsia="宋体" w:cs="宋体"/>
          <w:color w:val="auto"/>
          <w:sz w:val="21"/>
          <w:szCs w:val="21"/>
          <w:lang w:val="en-US" w:eastAsia="zh-CN"/>
        </w:rPr>
        <w:t xml:space="preserve">2.2.2现场安装调试、成品保护、现场协调、检测、办理通过相关主管部门验收手续并取证、因质量问题引起的维修和更换等。 </w:t>
      </w:r>
    </w:p>
    <w:p w14:paraId="4693079F">
      <w:pPr>
        <w:widowControl/>
        <w:spacing w:line="460" w:lineRule="exact"/>
        <w:ind w:firstLine="283"/>
        <w:jc w:val="left"/>
        <w:rPr>
          <w:rFonts w:hint="eastAsia" w:ascii="宋体" w:hAnsi="宋体" w:eastAsia="宋体" w:cs="宋体"/>
          <w:color w:val="auto"/>
          <w:sz w:val="21"/>
          <w:szCs w:val="21"/>
        </w:rPr>
      </w:pPr>
      <w:r>
        <w:rPr>
          <w:rFonts w:hint="eastAsia" w:ascii="宋体" w:hAnsi="宋体" w:eastAsia="宋体" w:cs="宋体"/>
          <w:color w:val="auto"/>
          <w:sz w:val="21"/>
          <w:szCs w:val="21"/>
          <w:lang w:val="en-US" w:eastAsia="zh-CN"/>
        </w:rPr>
        <w:t xml:space="preserve">2.2.3采购人有权对区段施工工期进行适当调整。当采购人要求成交供应商加快进度时，成交供应商应无条件配合，不得要求采购人支付赶工费或其他费用；当采购人要求成交供应商暂缓施工进度或停工时，成交供应商应及时调整人员、物料、机械配备，且不得以此为由向采购人索赔窝工、怠工或其他任何损失。 </w:t>
      </w:r>
    </w:p>
    <w:p w14:paraId="42F0A35F">
      <w:pPr>
        <w:widowControl/>
        <w:spacing w:line="460" w:lineRule="exact"/>
        <w:ind w:firstLine="283"/>
        <w:jc w:val="left"/>
        <w:rPr>
          <w:rFonts w:hint="eastAsia" w:ascii="宋体" w:hAnsi="宋体" w:eastAsia="宋体" w:cs="宋体"/>
          <w:color w:val="auto"/>
          <w:sz w:val="21"/>
          <w:szCs w:val="21"/>
        </w:rPr>
      </w:pPr>
      <w:r>
        <w:rPr>
          <w:rFonts w:hint="eastAsia" w:ascii="宋体" w:hAnsi="宋体" w:eastAsia="宋体" w:cs="宋体"/>
          <w:b/>
          <w:bCs/>
          <w:color w:val="auto"/>
          <w:sz w:val="21"/>
          <w:szCs w:val="21"/>
          <w:lang w:val="en-US" w:eastAsia="zh-CN"/>
        </w:rPr>
        <w:t>2.3承包方式:</w:t>
      </w:r>
      <w:r>
        <w:rPr>
          <w:rFonts w:hint="eastAsia" w:ascii="宋体" w:hAnsi="宋体" w:eastAsia="宋体" w:cs="宋体"/>
          <w:color w:val="auto"/>
          <w:sz w:val="21"/>
          <w:szCs w:val="21"/>
          <w:lang w:val="en-US" w:eastAsia="zh-CN"/>
        </w:rPr>
        <w:t>固定总价，以确定的技术方案及施工图纸、报价清单内容为准，施工过程中经采购人认可的设计变更、工程签证或新增项目结算。固定总价包括但不限于成交供应商为完成本工程而发生的所有人工费、材料/设备费、机械费、管理费、利润、风险、规费、税金、保险费、安全文明施工费、临时设施费、材料运输费、材料搬运费（含二次搬运费）、赶工措施费、施工操作平台搭设费、施工垃圾清理费、甲供材料搬运费、甲供材料保管费、材料检测费、工程试验费、安装调试费、试运行费、自行解决食宿费、竣工验收费、成品保护费、垂直运输费、吊装费、施工措施费、赶工措施费、人员加班工资等费用及为赶工而增加的额外费用、建筑工地扬尘治理费及雾炮机、二次深化设计、喷淋系统等各类专业设备和运行所需的费用；政府要求的市容市貌、环保等费用；场地周边砖砌围墙等费用。施工水电费、技术措施费、停水、停电不能施工造成的费用增加和工期延误、组织措施费等和完成本工程不可或缺的所有工作及责任的一切费用。</w:t>
      </w:r>
    </w:p>
    <w:p w14:paraId="2F4A9D3A">
      <w:pPr>
        <w:widowControl/>
        <w:spacing w:line="460" w:lineRule="exact"/>
        <w:ind w:firstLine="283"/>
        <w:jc w:val="left"/>
        <w:rPr>
          <w:rFonts w:hint="eastAsia" w:ascii="宋体" w:hAnsi="宋体" w:eastAsia="宋体" w:cs="宋体"/>
          <w:color w:val="auto"/>
          <w:sz w:val="21"/>
          <w:szCs w:val="21"/>
        </w:rPr>
      </w:pPr>
      <w:r>
        <w:rPr>
          <w:rFonts w:hint="eastAsia" w:ascii="宋体" w:hAnsi="宋体" w:eastAsia="宋体" w:cs="宋体"/>
          <w:b/>
          <w:bCs/>
          <w:color w:val="auto"/>
          <w:sz w:val="21"/>
          <w:szCs w:val="21"/>
          <w:lang w:val="en-US" w:eastAsia="zh-CN"/>
        </w:rPr>
        <w:t>2.</w:t>
      </w:r>
      <w:r>
        <w:rPr>
          <w:rFonts w:hint="eastAsia" w:ascii="宋体" w:hAnsi="宋体" w:eastAsia="宋体" w:cs="宋体"/>
          <w:b/>
          <w:bCs/>
          <w:color w:val="auto"/>
          <w:sz w:val="21"/>
          <w:szCs w:val="21"/>
        </w:rPr>
        <w:t>4其他主要要求：</w:t>
      </w:r>
    </w:p>
    <w:p w14:paraId="3382F804">
      <w:pPr>
        <w:widowControl/>
        <w:spacing w:line="460" w:lineRule="exact"/>
        <w:ind w:firstLine="283"/>
        <w:jc w:val="left"/>
        <w:rPr>
          <w:rFonts w:hint="eastAsia" w:ascii="宋体" w:hAnsi="宋体" w:eastAsia="宋体" w:cs="宋体"/>
          <w:color w:val="auto"/>
          <w:sz w:val="21"/>
          <w:szCs w:val="21"/>
        </w:rPr>
      </w:pPr>
      <w:r>
        <w:rPr>
          <w:rFonts w:hint="eastAsia" w:ascii="宋体" w:hAnsi="宋体" w:eastAsia="宋体" w:cs="宋体"/>
          <w:color w:val="auto"/>
          <w:sz w:val="21"/>
          <w:szCs w:val="21"/>
          <w:lang w:val="en-US" w:eastAsia="zh-CN"/>
        </w:rPr>
        <w:t>2.</w:t>
      </w:r>
      <w:r>
        <w:rPr>
          <w:rFonts w:hint="eastAsia" w:ascii="宋体" w:hAnsi="宋体" w:eastAsia="宋体" w:cs="宋体"/>
          <w:color w:val="auto"/>
          <w:sz w:val="21"/>
          <w:szCs w:val="21"/>
        </w:rPr>
        <w:t>4.1项目施工时需根据采购人要求进行分段施工，服从采购人管理要求。</w:t>
      </w:r>
      <w:r>
        <w:rPr>
          <w:rFonts w:hint="eastAsia" w:ascii="宋体" w:hAnsi="宋体" w:eastAsia="宋体" w:cs="宋体"/>
          <w:color w:val="auto"/>
          <w:sz w:val="21"/>
          <w:szCs w:val="21"/>
          <w:lang w:eastAsia="zh-CN"/>
        </w:rPr>
        <w:t>成交供应商</w:t>
      </w:r>
      <w:r>
        <w:rPr>
          <w:rFonts w:hint="eastAsia" w:ascii="宋体" w:hAnsi="宋体" w:eastAsia="宋体" w:cs="宋体"/>
          <w:color w:val="auto"/>
          <w:sz w:val="21"/>
          <w:szCs w:val="21"/>
        </w:rPr>
        <w:t>采购的主要材料，必须提供出厂合格证书及试验资料原件给采购人、监理（如有）查验，否则，采购人有权制止使用并追究</w:t>
      </w:r>
      <w:r>
        <w:rPr>
          <w:rFonts w:hint="eastAsia" w:ascii="宋体" w:hAnsi="宋体" w:eastAsia="宋体" w:cs="宋体"/>
          <w:color w:val="auto"/>
          <w:sz w:val="21"/>
          <w:szCs w:val="21"/>
          <w:lang w:eastAsia="zh-CN"/>
        </w:rPr>
        <w:t>供应商</w:t>
      </w:r>
      <w:r>
        <w:rPr>
          <w:rFonts w:hint="eastAsia" w:ascii="宋体" w:hAnsi="宋体" w:eastAsia="宋体" w:cs="宋体"/>
          <w:color w:val="auto"/>
          <w:sz w:val="21"/>
          <w:szCs w:val="21"/>
        </w:rPr>
        <w:t>的违约责任。</w:t>
      </w:r>
    </w:p>
    <w:p w14:paraId="53A35EEA">
      <w:pPr>
        <w:widowControl/>
        <w:spacing w:line="460" w:lineRule="exact"/>
        <w:ind w:firstLine="283"/>
        <w:jc w:val="left"/>
        <w:rPr>
          <w:rFonts w:hint="eastAsia" w:ascii="宋体" w:hAnsi="宋体" w:eastAsia="宋体" w:cs="宋体"/>
          <w:color w:val="auto"/>
          <w:sz w:val="21"/>
          <w:szCs w:val="21"/>
        </w:rPr>
      </w:pPr>
      <w:r>
        <w:rPr>
          <w:rFonts w:hint="eastAsia" w:ascii="宋体" w:hAnsi="宋体" w:eastAsia="宋体" w:cs="宋体"/>
          <w:color w:val="auto"/>
          <w:sz w:val="21"/>
          <w:szCs w:val="21"/>
          <w:lang w:val="en-US" w:eastAsia="zh-CN"/>
        </w:rPr>
        <w:t>2.</w:t>
      </w:r>
      <w:r>
        <w:rPr>
          <w:rFonts w:hint="eastAsia" w:ascii="宋体" w:hAnsi="宋体" w:eastAsia="宋体" w:cs="宋体"/>
          <w:color w:val="auto"/>
          <w:sz w:val="21"/>
          <w:szCs w:val="21"/>
        </w:rPr>
        <w:t>4.2在项目施工过程中，项目负责人每天须在工地现场，如有特殊情况无法到达工地现场，须提前向采购人申请，获采购人同意后方可；</w:t>
      </w:r>
    </w:p>
    <w:p w14:paraId="52E24EE7">
      <w:pPr>
        <w:widowControl/>
        <w:spacing w:line="460" w:lineRule="exact"/>
        <w:ind w:firstLine="283"/>
        <w:jc w:val="left"/>
        <w:rPr>
          <w:rFonts w:hint="eastAsia" w:ascii="宋体" w:hAnsi="宋体" w:eastAsia="宋体" w:cs="宋体"/>
          <w:color w:val="auto"/>
          <w:sz w:val="21"/>
          <w:szCs w:val="21"/>
        </w:rPr>
      </w:pPr>
      <w:r>
        <w:rPr>
          <w:rFonts w:hint="eastAsia" w:ascii="宋体" w:hAnsi="宋体" w:eastAsia="宋体" w:cs="宋体"/>
          <w:color w:val="auto"/>
          <w:sz w:val="21"/>
          <w:szCs w:val="21"/>
          <w:lang w:val="en-US" w:eastAsia="zh-CN"/>
        </w:rPr>
        <w:t>2.</w:t>
      </w:r>
      <w:r>
        <w:rPr>
          <w:rFonts w:hint="eastAsia" w:ascii="宋体" w:hAnsi="宋体" w:eastAsia="宋体" w:cs="宋体"/>
          <w:color w:val="auto"/>
          <w:sz w:val="21"/>
          <w:szCs w:val="21"/>
        </w:rPr>
        <w:t>4.3工期每逾期一天，成交供应商须向采购人缴纳合同总价的1%的违约金，以此类推，该违约金采购人有权从成交供应商的合同款中扣除。如果成交供应商逾期20天仍不能完工，采购人有权扣除履约保证金并单方终止合同，已发生的工作量不予认定。</w:t>
      </w:r>
    </w:p>
    <w:p w14:paraId="2D0D9F2D">
      <w:pPr>
        <w:widowControl/>
        <w:spacing w:line="460" w:lineRule="exact"/>
        <w:ind w:firstLine="283"/>
        <w:jc w:val="left"/>
        <w:rPr>
          <w:rFonts w:hint="eastAsia" w:ascii="宋体" w:hAnsi="宋体" w:eastAsia="宋体" w:cs="宋体"/>
          <w:color w:val="auto"/>
          <w:sz w:val="24"/>
          <w:szCs w:val="24"/>
        </w:rPr>
      </w:pPr>
      <w:r>
        <w:rPr>
          <w:rFonts w:hint="eastAsia" w:ascii="宋体" w:hAnsi="宋体" w:eastAsia="宋体" w:cs="宋体"/>
          <w:color w:val="auto"/>
          <w:sz w:val="21"/>
          <w:szCs w:val="21"/>
          <w:lang w:val="en-US" w:eastAsia="zh-CN"/>
        </w:rPr>
        <w:t>2.4.4供应商施工时不得破坏采购人原有设施，确需在原有设施上进行施工的，应妥善处理，并恢复原貌，费用由供应商承担，不得暴力施工。</w:t>
      </w:r>
      <w:r>
        <w:rPr>
          <w:rFonts w:hint="eastAsia" w:ascii="宋体" w:hAnsi="宋体" w:eastAsia="宋体" w:cs="宋体"/>
          <w:b w:val="0"/>
          <w:bCs w:val="0"/>
          <w:color w:val="auto"/>
          <w:sz w:val="21"/>
          <w:szCs w:val="21"/>
        </w:rPr>
        <w:br w:type="textWrapping"/>
      </w:r>
    </w:p>
    <w:p w14:paraId="18006125">
      <w:pPr>
        <w:widowControl/>
        <w:spacing w:line="240" w:lineRule="auto"/>
        <w:jc w:val="left"/>
        <w:rPr>
          <w:rFonts w:ascii="宋体" w:hAnsi="宋体" w:eastAsia="宋体" w:cs="Times New Roman"/>
          <w:color w:val="auto"/>
          <w:sz w:val="24"/>
          <w:szCs w:val="24"/>
        </w:rPr>
      </w:pPr>
      <w:r>
        <w:rPr>
          <w:rFonts w:ascii="宋体" w:hAnsi="宋体" w:eastAsia="宋体" w:cs="Times New Roman"/>
          <w:color w:val="auto"/>
          <w:sz w:val="24"/>
          <w:szCs w:val="24"/>
        </w:rPr>
        <w:br w:type="page"/>
      </w:r>
    </w:p>
    <w:p w14:paraId="4AF289F6">
      <w:pPr>
        <w:keepNext/>
        <w:keepLines/>
        <w:widowControl w:val="0"/>
        <w:spacing w:after="120" w:line="460" w:lineRule="exact"/>
        <w:jc w:val="center"/>
        <w:outlineLvl w:val="1"/>
        <w:rPr>
          <w:rFonts w:ascii="宋体" w:hAnsi="宋体" w:eastAsia="宋体" w:cs="Times New Roman"/>
          <w:b/>
          <w:bCs/>
          <w:color w:val="0D0D0D"/>
          <w:kern w:val="2"/>
          <w:sz w:val="24"/>
          <w:szCs w:val="24"/>
          <w:lang w:val="en-US" w:eastAsia="zh-CN" w:bidi="ar-SA"/>
        </w:rPr>
      </w:pPr>
      <w:bookmarkStart w:id="7" w:name="_Toc6244"/>
      <w:bookmarkStart w:id="8" w:name="_Toc29521"/>
      <w:bookmarkStart w:id="9" w:name="_Toc19314"/>
      <w:bookmarkStart w:id="10" w:name="_Toc9484"/>
      <w:bookmarkStart w:id="11" w:name="_Toc2986"/>
      <w:bookmarkStart w:id="12" w:name="_Toc22693"/>
      <w:bookmarkStart w:id="13" w:name="_Toc13175"/>
      <w:r>
        <w:rPr>
          <w:rFonts w:hint="eastAsia" w:ascii="宋体" w:hAnsi="宋体" w:eastAsia="宋体" w:cs="Times New Roman"/>
          <w:b/>
          <w:bCs/>
          <w:color w:val="0D0D0D"/>
          <w:kern w:val="2"/>
          <w:sz w:val="24"/>
          <w:szCs w:val="24"/>
          <w:lang w:val="en-US" w:eastAsia="zh-CN" w:bidi="ar-SA"/>
        </w:rPr>
        <w:t>（二）工程量清单</w:t>
      </w:r>
      <w:bookmarkEnd w:id="7"/>
      <w:bookmarkEnd w:id="8"/>
      <w:bookmarkEnd w:id="9"/>
      <w:bookmarkEnd w:id="10"/>
      <w:bookmarkEnd w:id="11"/>
      <w:bookmarkEnd w:id="12"/>
      <w:bookmarkEnd w:id="13"/>
    </w:p>
    <w:p w14:paraId="209A05A0">
      <w:pPr>
        <w:spacing w:line="460" w:lineRule="exact"/>
        <w:jc w:val="left"/>
        <w:rPr>
          <w:rFonts w:ascii="宋体" w:hAnsi="宋体" w:eastAsia="宋体" w:cs="Times New Roman"/>
          <w:b/>
          <w:sz w:val="21"/>
          <w:szCs w:val="21"/>
        </w:rPr>
      </w:pPr>
      <w:r>
        <w:rPr>
          <w:rFonts w:hint="eastAsia" w:ascii="宋体" w:hAnsi="宋体" w:eastAsia="宋体" w:cs="Times New Roman"/>
          <w:b/>
          <w:color w:val="000000"/>
          <w:sz w:val="21"/>
          <w:szCs w:val="21"/>
        </w:rPr>
        <w:t>1</w:t>
      </w:r>
      <w:bookmarkStart w:id="14" w:name="_Toc144974835"/>
      <w:bookmarkStart w:id="15" w:name="_Toc246997084"/>
      <w:bookmarkStart w:id="16" w:name="_Toc152045773"/>
      <w:bookmarkStart w:id="17" w:name="_Toc247085856"/>
      <w:bookmarkStart w:id="18" w:name="_Toc246996341"/>
      <w:bookmarkStart w:id="19" w:name="_Toc152042555"/>
      <w:bookmarkStart w:id="20" w:name="_Toc296602588"/>
      <w:bookmarkStart w:id="21" w:name="_Toc179632790"/>
      <w:r>
        <w:rPr>
          <w:rFonts w:hint="eastAsia" w:ascii="宋体" w:hAnsi="宋体" w:eastAsia="宋体" w:cs="Times New Roman"/>
          <w:b/>
          <w:sz w:val="21"/>
          <w:szCs w:val="21"/>
        </w:rPr>
        <w:t>.</w:t>
      </w:r>
      <w:bookmarkEnd w:id="14"/>
      <w:bookmarkEnd w:id="15"/>
      <w:bookmarkEnd w:id="16"/>
      <w:bookmarkEnd w:id="17"/>
      <w:bookmarkEnd w:id="18"/>
      <w:bookmarkEnd w:id="19"/>
      <w:bookmarkEnd w:id="20"/>
      <w:bookmarkEnd w:id="21"/>
      <w:r>
        <w:rPr>
          <w:rFonts w:hint="eastAsia" w:ascii="宋体" w:hAnsi="宋体" w:eastAsia="宋体" w:cs="Times New Roman"/>
          <w:b/>
          <w:sz w:val="21"/>
          <w:szCs w:val="21"/>
        </w:rPr>
        <w:t>工程量清单说明</w:t>
      </w:r>
    </w:p>
    <w:p w14:paraId="4DDC0782">
      <w:pPr>
        <w:spacing w:line="460" w:lineRule="exact"/>
        <w:ind w:left="480" w:hanging="420" w:hangingChars="200"/>
        <w:jc w:val="left"/>
        <w:rPr>
          <w:rFonts w:ascii="宋体" w:hAnsi="宋体" w:eastAsia="宋体" w:cs="Times New Roman"/>
          <w:sz w:val="21"/>
          <w:szCs w:val="21"/>
        </w:rPr>
      </w:pPr>
      <w:r>
        <w:rPr>
          <w:rFonts w:hint="eastAsia" w:ascii="宋体" w:hAnsi="宋体" w:eastAsia="宋体" w:cs="Times New Roman"/>
          <w:sz w:val="21"/>
          <w:szCs w:val="21"/>
        </w:rPr>
        <w:t>1.1 本工程量清单是根据竞争性磋商文件、有合同约束力的图纸以及有关工程量清单的国家标准、行业标准、合同条款中约定的工程量计算规则编制。约定计量规则中没有的子目，其工程量按照有合同约束力的图纸所标示尺寸的理论净量计算。计量采用中华人民共和国法定计量单位。</w:t>
      </w:r>
    </w:p>
    <w:p w14:paraId="536EA16E">
      <w:pPr>
        <w:spacing w:line="460" w:lineRule="exact"/>
        <w:ind w:left="480" w:hanging="420" w:hangingChars="200"/>
        <w:jc w:val="left"/>
        <w:rPr>
          <w:rFonts w:ascii="宋体" w:hAnsi="宋体" w:eastAsia="宋体" w:cs="Times New Roman"/>
          <w:sz w:val="21"/>
          <w:szCs w:val="21"/>
        </w:rPr>
      </w:pPr>
      <w:r>
        <w:rPr>
          <w:rFonts w:hint="eastAsia" w:ascii="宋体" w:hAnsi="宋体" w:eastAsia="宋体" w:cs="Times New Roman"/>
          <w:sz w:val="21"/>
          <w:szCs w:val="21"/>
        </w:rPr>
        <w:t>1.2 本工程量清单应与竞争性磋商文件中的供应商须知、通用合同条款、专用合同条款、技术标准和要求及图纸等一起阅读和理解。</w:t>
      </w:r>
    </w:p>
    <w:p w14:paraId="50BDE1DC">
      <w:pPr>
        <w:spacing w:line="460" w:lineRule="exact"/>
        <w:ind w:left="480" w:hanging="420" w:hangingChars="200"/>
        <w:jc w:val="left"/>
        <w:rPr>
          <w:rFonts w:ascii="宋体" w:hAnsi="宋体" w:eastAsia="宋体" w:cs="Times New Roman"/>
          <w:sz w:val="21"/>
          <w:szCs w:val="21"/>
        </w:rPr>
      </w:pPr>
      <w:r>
        <w:rPr>
          <w:rFonts w:hint="eastAsia" w:ascii="宋体" w:hAnsi="宋体" w:eastAsia="宋体" w:cs="Times New Roman"/>
          <w:sz w:val="21"/>
          <w:szCs w:val="21"/>
        </w:rPr>
        <w:t>1.3 本工程量清单仅是响应报价的共同基础，实际工程计量和工程价款的支付应遵循合同条款的约定。</w:t>
      </w:r>
    </w:p>
    <w:p w14:paraId="48BA4ABF">
      <w:pPr>
        <w:spacing w:line="460" w:lineRule="exact"/>
        <w:jc w:val="left"/>
        <w:rPr>
          <w:rFonts w:ascii="宋体" w:hAnsi="宋体" w:eastAsia="宋体" w:cs="Times New Roman"/>
          <w:b/>
          <w:sz w:val="21"/>
          <w:szCs w:val="21"/>
        </w:rPr>
      </w:pPr>
      <w:bookmarkStart w:id="22" w:name="_Toc179632791"/>
      <w:bookmarkStart w:id="23" w:name="_Toc152045774"/>
      <w:bookmarkStart w:id="24" w:name="_Toc246996342"/>
      <w:bookmarkStart w:id="25" w:name="_Toc247085857"/>
      <w:bookmarkStart w:id="26" w:name="_Toc152042556"/>
      <w:bookmarkStart w:id="27" w:name="_Toc246997085"/>
      <w:bookmarkStart w:id="28" w:name="_Toc144974836"/>
      <w:bookmarkStart w:id="29" w:name="_Toc296602589"/>
      <w:r>
        <w:rPr>
          <w:rFonts w:hint="eastAsia" w:ascii="宋体" w:hAnsi="宋体" w:eastAsia="宋体" w:cs="Times New Roman"/>
          <w:b/>
          <w:sz w:val="21"/>
          <w:szCs w:val="21"/>
        </w:rPr>
        <w:t>2. 响应报价编制说明</w:t>
      </w:r>
      <w:bookmarkEnd w:id="22"/>
      <w:bookmarkEnd w:id="23"/>
      <w:bookmarkEnd w:id="24"/>
      <w:bookmarkEnd w:id="25"/>
      <w:bookmarkEnd w:id="26"/>
      <w:bookmarkEnd w:id="27"/>
      <w:bookmarkEnd w:id="28"/>
      <w:bookmarkEnd w:id="29"/>
    </w:p>
    <w:p w14:paraId="702B487F">
      <w:pPr>
        <w:spacing w:line="460" w:lineRule="exact"/>
        <w:jc w:val="left"/>
        <w:rPr>
          <w:rFonts w:ascii="宋体" w:hAnsi="宋体" w:eastAsia="宋体" w:cs="Times New Roman"/>
          <w:sz w:val="21"/>
          <w:szCs w:val="21"/>
        </w:rPr>
      </w:pPr>
      <w:r>
        <w:rPr>
          <w:rFonts w:hint="eastAsia" w:ascii="宋体" w:hAnsi="宋体" w:eastAsia="宋体" w:cs="Times New Roman"/>
          <w:sz w:val="21"/>
          <w:szCs w:val="21"/>
        </w:rPr>
        <w:t>2.1 工程量清单中的每一子目须填入单价或价格，且只允许有一个报价。</w:t>
      </w:r>
    </w:p>
    <w:p w14:paraId="2BA70583">
      <w:pPr>
        <w:spacing w:line="460" w:lineRule="exact"/>
        <w:ind w:left="480" w:hanging="420" w:hangingChars="200"/>
        <w:jc w:val="left"/>
        <w:rPr>
          <w:rFonts w:ascii="宋体" w:hAnsi="宋体" w:eastAsia="宋体" w:cs="Times New Roman"/>
          <w:sz w:val="21"/>
          <w:szCs w:val="21"/>
        </w:rPr>
      </w:pPr>
      <w:r>
        <w:rPr>
          <w:rFonts w:hint="eastAsia" w:ascii="宋体" w:hAnsi="宋体" w:eastAsia="宋体" w:cs="Times New Roman"/>
          <w:sz w:val="21"/>
          <w:szCs w:val="21"/>
        </w:rPr>
        <w:t>2.2 工程量清单中标价的单价或总报价中应包含完成本项目所需的人工费、材料费、机械设备费、措施费、规费、管理费、风险费、利润、税金等一切可能缴纳的其他政策性费用。</w:t>
      </w:r>
    </w:p>
    <w:p w14:paraId="1B6E5402">
      <w:pPr>
        <w:spacing w:line="460" w:lineRule="exact"/>
        <w:ind w:left="480" w:hanging="420" w:hangingChars="200"/>
        <w:jc w:val="left"/>
        <w:rPr>
          <w:rFonts w:ascii="宋体" w:hAnsi="宋体" w:eastAsia="宋体" w:cs="Times New Roman"/>
          <w:sz w:val="21"/>
          <w:szCs w:val="21"/>
        </w:rPr>
      </w:pPr>
      <w:r>
        <w:rPr>
          <w:rFonts w:hint="eastAsia" w:ascii="宋体" w:hAnsi="宋体" w:eastAsia="宋体" w:cs="Times New Roman"/>
          <w:sz w:val="21"/>
          <w:szCs w:val="21"/>
        </w:rPr>
        <w:t>2.3 本项目报价采用工程量清单计价方式。供应商应根据采购人提供的工程量清单表</w:t>
      </w:r>
      <w:r>
        <w:rPr>
          <w:rFonts w:hint="eastAsia" w:ascii="宋体" w:hAnsi="宋体" w:eastAsia="宋体" w:cs="Times New Roman"/>
          <w:sz w:val="21"/>
          <w:szCs w:val="21"/>
          <w:highlight w:val="none"/>
        </w:rPr>
        <w:t>（</w:t>
      </w:r>
      <w:r>
        <w:rPr>
          <w:rFonts w:hint="eastAsia" w:ascii="宋体" w:hAnsi="宋体" w:eastAsia="宋体" w:cs="Times New Roman"/>
          <w:b w:val="0"/>
          <w:bCs/>
          <w:sz w:val="21"/>
          <w:szCs w:val="21"/>
          <w:highlight w:val="none"/>
        </w:rPr>
        <w:t>工程量清单表</w:t>
      </w:r>
      <w:r>
        <w:rPr>
          <w:rFonts w:hint="eastAsia" w:ascii="宋体" w:hAnsi="宋体" w:eastAsia="宋体" w:cs="Times New Roman"/>
          <w:b w:val="0"/>
          <w:bCs/>
          <w:sz w:val="21"/>
          <w:szCs w:val="21"/>
          <w:highlight w:val="none"/>
          <w:lang w:eastAsia="zh-CN"/>
        </w:rPr>
        <w:t>的“分部分项工程和单价措施项目清单与计价表”</w:t>
      </w:r>
      <w:r>
        <w:rPr>
          <w:rFonts w:hint="eastAsia" w:ascii="宋体" w:hAnsi="宋体" w:eastAsia="宋体" w:cs="Times New Roman"/>
          <w:b w:val="0"/>
          <w:bCs/>
          <w:sz w:val="21"/>
          <w:szCs w:val="21"/>
          <w:highlight w:val="none"/>
        </w:rPr>
        <w:t>中的项目名称、内容描述、计量单位和工程数量均不允许修改，否则按无效响应处理</w:t>
      </w:r>
      <w:r>
        <w:rPr>
          <w:rFonts w:hint="eastAsia" w:ascii="宋体" w:hAnsi="宋体" w:eastAsia="宋体" w:cs="Times New Roman"/>
          <w:sz w:val="21"/>
          <w:szCs w:val="21"/>
          <w:highlight w:val="none"/>
        </w:rPr>
        <w:t>）计算工程项目综合单价和合价。供应商没有填写综合单价和合价的项目将被认为此项费用已包含在工程量清单其它项目的综合单价和</w:t>
      </w:r>
      <w:r>
        <w:rPr>
          <w:rFonts w:hint="eastAsia" w:ascii="宋体" w:hAnsi="宋体" w:eastAsia="宋体" w:cs="Times New Roman"/>
          <w:sz w:val="21"/>
          <w:szCs w:val="21"/>
        </w:rPr>
        <w:t>合价中。工程量清单所列的子目和工程量同采购人所发的施工图纸不一致时，一律以工程量清单为准，但施工必须按照施工图施工。</w:t>
      </w:r>
    </w:p>
    <w:p w14:paraId="393FB13A">
      <w:pPr>
        <w:widowControl/>
        <w:spacing w:line="500" w:lineRule="exact"/>
        <w:jc w:val="left"/>
        <w:rPr>
          <w:rFonts w:ascii="宋体" w:hAnsi="宋体" w:eastAsia="宋体" w:cs="Times New Roman"/>
          <w:color w:val="000000"/>
          <w:sz w:val="24"/>
          <w:szCs w:val="24"/>
        </w:rPr>
      </w:pPr>
    </w:p>
    <w:p w14:paraId="7B49A056">
      <w:pPr>
        <w:widowControl/>
        <w:spacing w:line="500" w:lineRule="exact"/>
        <w:jc w:val="left"/>
        <w:rPr>
          <w:rFonts w:ascii="宋体" w:hAnsi="宋体" w:eastAsia="宋体" w:cs="Times New Roman"/>
          <w:color w:val="000000"/>
          <w:sz w:val="24"/>
          <w:szCs w:val="24"/>
        </w:rPr>
      </w:pPr>
    </w:p>
    <w:p w14:paraId="700ACC1F">
      <w:pPr>
        <w:widowControl/>
        <w:rPr>
          <w:rFonts w:ascii="宋体" w:hAnsi="宋体"/>
          <w:color w:val="000000"/>
          <w:szCs w:val="24"/>
        </w:rPr>
        <w:sectPr>
          <w:pgSz w:w="11906" w:h="16838"/>
          <w:pgMar w:top="1440" w:right="1440" w:bottom="1440" w:left="1440" w:header="851" w:footer="992" w:gutter="0"/>
          <w:pgNumType w:fmt="decimal"/>
          <w:cols w:space="720" w:num="1"/>
          <w:docGrid w:type="lines" w:linePitch="312" w:charSpace="0"/>
        </w:sectPr>
      </w:pPr>
    </w:p>
    <w:p w14:paraId="5CF211A5">
      <w:pPr>
        <w:spacing w:line="460" w:lineRule="exact"/>
        <w:jc w:val="center"/>
        <w:rPr>
          <w:rFonts w:hint="eastAsia" w:ascii="宋体" w:hAnsi="宋体" w:eastAsia="宋体" w:cs="Times New Roman"/>
          <w:b/>
          <w:bCs/>
          <w:color w:val="0D0D0D"/>
          <w:kern w:val="2"/>
          <w:sz w:val="24"/>
          <w:szCs w:val="24"/>
          <w:lang w:val="en-US" w:eastAsia="zh-CN" w:bidi="ar-SA"/>
        </w:rPr>
      </w:pPr>
      <w:r>
        <w:rPr>
          <w:rFonts w:hint="eastAsia" w:ascii="宋体" w:hAnsi="宋体" w:eastAsia="宋体" w:cs="Times New Roman"/>
          <w:b/>
          <w:bCs/>
          <w:color w:val="0D0D0D"/>
          <w:kern w:val="2"/>
          <w:sz w:val="24"/>
          <w:szCs w:val="24"/>
          <w:lang w:val="en-US" w:eastAsia="zh-CN" w:bidi="ar-SA"/>
        </w:rPr>
        <w:t>（三）工程量清单表</w:t>
      </w:r>
    </w:p>
    <w:p w14:paraId="6E22521C">
      <w:r>
        <w:rPr>
          <w:rFonts w:hint="eastAsia" w:ascii="Times New Roman" w:hAnsi="Times New Roman" w:eastAsia="宋体" w:cs="Times New Roman"/>
          <w:sz w:val="24"/>
          <w:szCs w:val="20"/>
          <w:lang w:eastAsia="zh-CN"/>
        </w:rPr>
        <w:drawing>
          <wp:inline distT="0" distB="0" distL="114300" distR="114300">
            <wp:extent cx="5717540" cy="8084820"/>
            <wp:effectExtent l="0" t="0" r="16510" b="11430"/>
            <wp:docPr id="35" name="图片 35" descr="（去除价格）2026年外窗更换及屋顶维修项目_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 name="图片 35" descr="（去除价格）2026年外窗更换及屋顶维修项目_01"/>
                    <pic:cNvPicPr>
                      <a:picLocks noChangeAspect="1"/>
                    </pic:cNvPicPr>
                  </pic:nvPicPr>
                  <pic:blipFill>
                    <a:blip r:embed="rId4"/>
                    <a:stretch>
                      <a:fillRect/>
                    </a:stretch>
                  </pic:blipFill>
                  <pic:spPr>
                    <a:xfrm>
                      <a:off x="0" y="0"/>
                      <a:ext cx="5717540" cy="8084820"/>
                    </a:xfrm>
                    <a:prstGeom prst="rect">
                      <a:avLst/>
                    </a:prstGeom>
                  </pic:spPr>
                </pic:pic>
              </a:graphicData>
            </a:graphic>
          </wp:inline>
        </w:drawing>
      </w:r>
      <w:r>
        <w:rPr>
          <w:rFonts w:hint="eastAsia" w:ascii="Times New Roman" w:hAnsi="Times New Roman" w:eastAsia="宋体" w:cs="Times New Roman"/>
          <w:sz w:val="24"/>
          <w:szCs w:val="20"/>
          <w:lang w:eastAsia="zh-CN"/>
        </w:rPr>
        <w:drawing>
          <wp:inline distT="0" distB="0" distL="114300" distR="114300">
            <wp:extent cx="5717540" cy="8084820"/>
            <wp:effectExtent l="0" t="0" r="16510" b="11430"/>
            <wp:docPr id="36" name="图片 36" descr="（去除价格）2026年外窗更换及屋顶维修项目_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 name="图片 36" descr="（去除价格）2026年外窗更换及屋顶维修项目_02"/>
                    <pic:cNvPicPr>
                      <a:picLocks noChangeAspect="1"/>
                    </pic:cNvPicPr>
                  </pic:nvPicPr>
                  <pic:blipFill>
                    <a:blip r:embed="rId5"/>
                    <a:stretch>
                      <a:fillRect/>
                    </a:stretch>
                  </pic:blipFill>
                  <pic:spPr>
                    <a:xfrm>
                      <a:off x="0" y="0"/>
                      <a:ext cx="5717540" cy="8084820"/>
                    </a:xfrm>
                    <a:prstGeom prst="rect">
                      <a:avLst/>
                    </a:prstGeom>
                  </pic:spPr>
                </pic:pic>
              </a:graphicData>
            </a:graphic>
          </wp:inline>
        </w:drawing>
      </w:r>
      <w:r>
        <w:rPr>
          <w:rFonts w:hint="eastAsia" w:ascii="Times New Roman" w:hAnsi="Times New Roman" w:eastAsia="宋体" w:cs="Times New Roman"/>
          <w:sz w:val="24"/>
          <w:szCs w:val="20"/>
          <w:lang w:eastAsia="zh-CN"/>
        </w:rPr>
        <w:drawing>
          <wp:inline distT="0" distB="0" distL="114300" distR="114300">
            <wp:extent cx="5711825" cy="8084820"/>
            <wp:effectExtent l="0" t="0" r="3175" b="11430"/>
            <wp:docPr id="37" name="图片 37" descr="（去除价格）2026年外窗更换及屋顶维修项目_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 name="图片 37" descr="（去除价格）2026年外窗更换及屋顶维修项目_03"/>
                    <pic:cNvPicPr>
                      <a:picLocks noChangeAspect="1"/>
                    </pic:cNvPicPr>
                  </pic:nvPicPr>
                  <pic:blipFill>
                    <a:blip r:embed="rId6"/>
                    <a:stretch>
                      <a:fillRect/>
                    </a:stretch>
                  </pic:blipFill>
                  <pic:spPr>
                    <a:xfrm>
                      <a:off x="0" y="0"/>
                      <a:ext cx="5711825" cy="8084820"/>
                    </a:xfrm>
                    <a:prstGeom prst="rect">
                      <a:avLst/>
                    </a:prstGeom>
                  </pic:spPr>
                </pic:pic>
              </a:graphicData>
            </a:graphic>
          </wp:inline>
        </w:drawing>
      </w:r>
      <w:r>
        <w:rPr>
          <w:rFonts w:hint="eastAsia" w:ascii="Times New Roman" w:hAnsi="Times New Roman" w:eastAsia="宋体" w:cs="Times New Roman"/>
          <w:sz w:val="24"/>
          <w:szCs w:val="20"/>
          <w:lang w:eastAsia="zh-CN"/>
        </w:rPr>
        <w:drawing>
          <wp:inline distT="0" distB="0" distL="114300" distR="114300">
            <wp:extent cx="5711825" cy="8084820"/>
            <wp:effectExtent l="0" t="0" r="3175" b="11430"/>
            <wp:docPr id="38" name="图片 38" descr="（去除价格）2026年外窗更换及屋顶维修项目_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 name="图片 38" descr="（去除价格）2026年外窗更换及屋顶维修项目_04"/>
                    <pic:cNvPicPr>
                      <a:picLocks noChangeAspect="1"/>
                    </pic:cNvPicPr>
                  </pic:nvPicPr>
                  <pic:blipFill>
                    <a:blip r:embed="rId7"/>
                    <a:stretch>
                      <a:fillRect/>
                    </a:stretch>
                  </pic:blipFill>
                  <pic:spPr>
                    <a:xfrm>
                      <a:off x="0" y="0"/>
                      <a:ext cx="5711825" cy="8084820"/>
                    </a:xfrm>
                    <a:prstGeom prst="rect">
                      <a:avLst/>
                    </a:prstGeom>
                  </pic:spPr>
                </pic:pic>
              </a:graphicData>
            </a:graphic>
          </wp:inline>
        </w:drawing>
      </w:r>
      <w:r>
        <w:rPr>
          <w:rFonts w:hint="eastAsia" w:ascii="Times New Roman" w:hAnsi="Times New Roman" w:eastAsia="宋体" w:cs="Times New Roman"/>
          <w:sz w:val="24"/>
          <w:szCs w:val="20"/>
          <w:lang w:eastAsia="zh-CN"/>
        </w:rPr>
        <w:drawing>
          <wp:inline distT="0" distB="0" distL="114300" distR="114300">
            <wp:extent cx="5711825" cy="8084820"/>
            <wp:effectExtent l="0" t="0" r="3175" b="11430"/>
            <wp:docPr id="39" name="图片 39" descr="（去除价格）2026年外窗更换及屋顶维修项目_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 name="图片 39" descr="（去除价格）2026年外窗更换及屋顶维修项目_05"/>
                    <pic:cNvPicPr>
                      <a:picLocks noChangeAspect="1"/>
                    </pic:cNvPicPr>
                  </pic:nvPicPr>
                  <pic:blipFill>
                    <a:blip r:embed="rId8"/>
                    <a:stretch>
                      <a:fillRect/>
                    </a:stretch>
                  </pic:blipFill>
                  <pic:spPr>
                    <a:xfrm>
                      <a:off x="0" y="0"/>
                      <a:ext cx="5711825" cy="8084820"/>
                    </a:xfrm>
                    <a:prstGeom prst="rect">
                      <a:avLst/>
                    </a:prstGeom>
                  </pic:spPr>
                </pic:pic>
              </a:graphicData>
            </a:graphic>
          </wp:inline>
        </w:drawing>
      </w:r>
      <w:r>
        <w:rPr>
          <w:rFonts w:hint="eastAsia" w:ascii="Times New Roman" w:hAnsi="Times New Roman" w:eastAsia="宋体" w:cs="Times New Roman"/>
          <w:sz w:val="24"/>
          <w:szCs w:val="20"/>
          <w:lang w:eastAsia="zh-CN"/>
        </w:rPr>
        <w:drawing>
          <wp:inline distT="0" distB="0" distL="114300" distR="114300">
            <wp:extent cx="5711825" cy="8084820"/>
            <wp:effectExtent l="0" t="0" r="3175" b="11430"/>
            <wp:docPr id="40" name="图片 40" descr="（去除价格）2026年外窗更换及屋顶维修项目_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 name="图片 40" descr="（去除价格）2026年外窗更换及屋顶维修项目_06"/>
                    <pic:cNvPicPr>
                      <a:picLocks noChangeAspect="1"/>
                    </pic:cNvPicPr>
                  </pic:nvPicPr>
                  <pic:blipFill>
                    <a:blip r:embed="rId9"/>
                    <a:stretch>
                      <a:fillRect/>
                    </a:stretch>
                  </pic:blipFill>
                  <pic:spPr>
                    <a:xfrm>
                      <a:off x="0" y="0"/>
                      <a:ext cx="5711825" cy="8084820"/>
                    </a:xfrm>
                    <a:prstGeom prst="rect">
                      <a:avLst/>
                    </a:prstGeom>
                  </pic:spPr>
                </pic:pic>
              </a:graphicData>
            </a:graphic>
          </wp:inline>
        </w:drawing>
      </w:r>
      <w:r>
        <w:rPr>
          <w:rFonts w:hint="eastAsia" w:ascii="Times New Roman" w:hAnsi="Times New Roman" w:eastAsia="宋体" w:cs="Times New Roman"/>
          <w:sz w:val="24"/>
          <w:szCs w:val="20"/>
          <w:lang w:eastAsia="zh-CN"/>
        </w:rPr>
        <w:drawing>
          <wp:inline distT="0" distB="0" distL="114300" distR="114300">
            <wp:extent cx="5711825" cy="8084820"/>
            <wp:effectExtent l="0" t="0" r="3175" b="11430"/>
            <wp:docPr id="41" name="图片 41" descr="（去除价格）2026年外窗更换及屋顶维修项目_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 name="图片 41" descr="（去除价格）2026年外窗更换及屋顶维修项目_07"/>
                    <pic:cNvPicPr>
                      <a:picLocks noChangeAspect="1"/>
                    </pic:cNvPicPr>
                  </pic:nvPicPr>
                  <pic:blipFill>
                    <a:blip r:embed="rId10"/>
                    <a:stretch>
                      <a:fillRect/>
                    </a:stretch>
                  </pic:blipFill>
                  <pic:spPr>
                    <a:xfrm>
                      <a:off x="0" y="0"/>
                      <a:ext cx="5711825" cy="8084820"/>
                    </a:xfrm>
                    <a:prstGeom prst="rect">
                      <a:avLst/>
                    </a:prstGeom>
                  </pic:spPr>
                </pic:pic>
              </a:graphicData>
            </a:graphic>
          </wp:inline>
        </w:drawing>
      </w:r>
      <w:r>
        <w:rPr>
          <w:rFonts w:hint="eastAsia" w:ascii="Times New Roman" w:hAnsi="Times New Roman" w:eastAsia="宋体" w:cs="Times New Roman"/>
          <w:sz w:val="24"/>
          <w:szCs w:val="20"/>
          <w:lang w:eastAsia="zh-CN"/>
        </w:rPr>
        <w:drawing>
          <wp:inline distT="0" distB="0" distL="114300" distR="114300">
            <wp:extent cx="5711825" cy="8084820"/>
            <wp:effectExtent l="0" t="0" r="3175" b="11430"/>
            <wp:docPr id="42" name="图片 42" descr="（去除价格）2026年外窗更换及屋顶维修项目_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 name="图片 42" descr="（去除价格）2026年外窗更换及屋顶维修项目_08"/>
                    <pic:cNvPicPr>
                      <a:picLocks noChangeAspect="1"/>
                    </pic:cNvPicPr>
                  </pic:nvPicPr>
                  <pic:blipFill>
                    <a:blip r:embed="rId11"/>
                    <a:stretch>
                      <a:fillRect/>
                    </a:stretch>
                  </pic:blipFill>
                  <pic:spPr>
                    <a:xfrm>
                      <a:off x="0" y="0"/>
                      <a:ext cx="5711825" cy="8084820"/>
                    </a:xfrm>
                    <a:prstGeom prst="rect">
                      <a:avLst/>
                    </a:prstGeom>
                  </pic:spPr>
                </pic:pic>
              </a:graphicData>
            </a:graphic>
          </wp:inline>
        </w:drawing>
      </w:r>
      <w:r>
        <w:rPr>
          <w:rFonts w:hint="eastAsia" w:ascii="Times New Roman" w:hAnsi="Times New Roman" w:eastAsia="宋体" w:cs="Times New Roman"/>
          <w:sz w:val="24"/>
          <w:szCs w:val="20"/>
          <w:lang w:eastAsia="zh-CN"/>
        </w:rPr>
        <w:drawing>
          <wp:inline distT="0" distB="0" distL="114300" distR="114300">
            <wp:extent cx="5711825" cy="8084820"/>
            <wp:effectExtent l="0" t="0" r="3175" b="11430"/>
            <wp:docPr id="43" name="图片 43" descr="（去除价格）2026年外窗更换及屋顶维修项目_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 name="图片 43" descr="（去除价格）2026年外窗更换及屋顶维修项目_09"/>
                    <pic:cNvPicPr>
                      <a:picLocks noChangeAspect="1"/>
                    </pic:cNvPicPr>
                  </pic:nvPicPr>
                  <pic:blipFill>
                    <a:blip r:embed="rId12"/>
                    <a:stretch>
                      <a:fillRect/>
                    </a:stretch>
                  </pic:blipFill>
                  <pic:spPr>
                    <a:xfrm>
                      <a:off x="0" y="0"/>
                      <a:ext cx="5711825" cy="8084820"/>
                    </a:xfrm>
                    <a:prstGeom prst="rect">
                      <a:avLst/>
                    </a:prstGeom>
                  </pic:spPr>
                </pic:pic>
              </a:graphicData>
            </a:graphic>
          </wp:inline>
        </w:drawing>
      </w:r>
      <w:r>
        <w:rPr>
          <w:rFonts w:hint="eastAsia" w:ascii="Times New Roman" w:hAnsi="Times New Roman" w:eastAsia="宋体" w:cs="Times New Roman"/>
          <w:sz w:val="24"/>
          <w:szCs w:val="20"/>
          <w:lang w:eastAsia="zh-CN"/>
        </w:rPr>
        <w:drawing>
          <wp:inline distT="0" distB="0" distL="114300" distR="114300">
            <wp:extent cx="5711825" cy="8084820"/>
            <wp:effectExtent l="0" t="0" r="3175" b="11430"/>
            <wp:docPr id="44" name="图片 44" descr="（去除价格）2026年外窗更换及屋顶维修项目_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 name="图片 44" descr="（去除价格）2026年外窗更换及屋顶维修项目_10"/>
                    <pic:cNvPicPr>
                      <a:picLocks noChangeAspect="1"/>
                    </pic:cNvPicPr>
                  </pic:nvPicPr>
                  <pic:blipFill>
                    <a:blip r:embed="rId13"/>
                    <a:stretch>
                      <a:fillRect/>
                    </a:stretch>
                  </pic:blipFill>
                  <pic:spPr>
                    <a:xfrm>
                      <a:off x="0" y="0"/>
                      <a:ext cx="5711825" cy="8084820"/>
                    </a:xfrm>
                    <a:prstGeom prst="rect">
                      <a:avLst/>
                    </a:prstGeom>
                  </pic:spPr>
                </pic:pic>
              </a:graphicData>
            </a:graphic>
          </wp:inline>
        </w:drawing>
      </w:r>
      <w:r>
        <w:rPr>
          <w:rFonts w:hint="eastAsia" w:ascii="Times New Roman" w:hAnsi="Times New Roman" w:eastAsia="宋体" w:cs="Times New Roman"/>
          <w:sz w:val="24"/>
          <w:szCs w:val="20"/>
          <w:lang w:eastAsia="zh-CN"/>
        </w:rPr>
        <w:drawing>
          <wp:inline distT="0" distB="0" distL="114300" distR="114300">
            <wp:extent cx="5711825" cy="8084820"/>
            <wp:effectExtent l="0" t="0" r="3175" b="11430"/>
            <wp:docPr id="45" name="图片 45" descr="（去除价格）2026年外窗更换及屋顶维修项目_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 name="图片 45" descr="（去除价格）2026年外窗更换及屋顶维修项目_11"/>
                    <pic:cNvPicPr>
                      <a:picLocks noChangeAspect="1"/>
                    </pic:cNvPicPr>
                  </pic:nvPicPr>
                  <pic:blipFill>
                    <a:blip r:embed="rId14"/>
                    <a:stretch>
                      <a:fillRect/>
                    </a:stretch>
                  </pic:blipFill>
                  <pic:spPr>
                    <a:xfrm>
                      <a:off x="0" y="0"/>
                      <a:ext cx="5711825" cy="8084820"/>
                    </a:xfrm>
                    <a:prstGeom prst="rect">
                      <a:avLst/>
                    </a:prstGeom>
                  </pic:spPr>
                </pic:pic>
              </a:graphicData>
            </a:graphic>
          </wp:inline>
        </w:drawing>
      </w:r>
      <w:r>
        <w:rPr>
          <w:rFonts w:hint="eastAsia" w:ascii="Times New Roman" w:hAnsi="Times New Roman" w:eastAsia="宋体" w:cs="Times New Roman"/>
          <w:sz w:val="24"/>
          <w:szCs w:val="20"/>
          <w:lang w:eastAsia="zh-CN"/>
        </w:rPr>
        <w:drawing>
          <wp:inline distT="0" distB="0" distL="114300" distR="114300">
            <wp:extent cx="5711825" cy="8084820"/>
            <wp:effectExtent l="0" t="0" r="3175" b="11430"/>
            <wp:docPr id="46" name="图片 46" descr="（去除价格）2026年外窗更换及屋顶维修项目_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 name="图片 46" descr="（去除价格）2026年外窗更换及屋顶维修项目_12"/>
                    <pic:cNvPicPr>
                      <a:picLocks noChangeAspect="1"/>
                    </pic:cNvPicPr>
                  </pic:nvPicPr>
                  <pic:blipFill>
                    <a:blip r:embed="rId15"/>
                    <a:stretch>
                      <a:fillRect/>
                    </a:stretch>
                  </pic:blipFill>
                  <pic:spPr>
                    <a:xfrm>
                      <a:off x="0" y="0"/>
                      <a:ext cx="5711825" cy="8084820"/>
                    </a:xfrm>
                    <a:prstGeom prst="rect">
                      <a:avLst/>
                    </a:prstGeom>
                  </pic:spPr>
                </pic:pic>
              </a:graphicData>
            </a:graphic>
          </wp:inline>
        </w:drawing>
      </w:r>
      <w:r>
        <w:rPr>
          <w:rFonts w:hint="eastAsia" w:ascii="Times New Roman" w:hAnsi="Times New Roman" w:eastAsia="宋体" w:cs="Times New Roman"/>
          <w:sz w:val="24"/>
          <w:szCs w:val="20"/>
          <w:lang w:eastAsia="zh-CN"/>
        </w:rPr>
        <w:drawing>
          <wp:inline distT="0" distB="0" distL="114300" distR="114300">
            <wp:extent cx="5711825" cy="8084820"/>
            <wp:effectExtent l="0" t="0" r="3175" b="11430"/>
            <wp:docPr id="47" name="图片 47" descr="（去除价格）2026年外窗更换及屋顶维修项目_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 name="图片 47" descr="（去除价格）2026年外窗更换及屋顶维修项目_13"/>
                    <pic:cNvPicPr>
                      <a:picLocks noChangeAspect="1"/>
                    </pic:cNvPicPr>
                  </pic:nvPicPr>
                  <pic:blipFill>
                    <a:blip r:embed="rId16"/>
                    <a:stretch>
                      <a:fillRect/>
                    </a:stretch>
                  </pic:blipFill>
                  <pic:spPr>
                    <a:xfrm>
                      <a:off x="0" y="0"/>
                      <a:ext cx="5711825" cy="8084820"/>
                    </a:xfrm>
                    <a:prstGeom prst="rect">
                      <a:avLst/>
                    </a:prstGeom>
                  </pic:spPr>
                </pic:pic>
              </a:graphicData>
            </a:graphic>
          </wp:inline>
        </w:drawing>
      </w:r>
      <w:bookmarkStart w:id="30" w:name="_GoBack"/>
      <w:bookmarkEnd w:id="30"/>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roman"/>
    <w:pitch w:val="default"/>
    <w:sig w:usb0="E0002AFF" w:usb1="C0007841"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1D450F49"/>
    <w:rsid w:val="1D450F4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3">
    <w:name w:val="Default Paragraph Font"/>
    <w:semiHidden/>
    <w:qFormat/>
    <w:uiPriority w:val="0"/>
  </w:style>
  <w:style w:type="table" w:default="1" w:styleId="2">
    <w:name w:val="Normal Table"/>
    <w:semiHidden/>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9" Type="http://schemas.openxmlformats.org/officeDocument/2006/relationships/image" Target="media/image6.jpeg"/><Relationship Id="rId8" Type="http://schemas.openxmlformats.org/officeDocument/2006/relationships/image" Target="media/image5.jpeg"/><Relationship Id="rId7" Type="http://schemas.openxmlformats.org/officeDocument/2006/relationships/image" Target="media/image4.jpeg"/><Relationship Id="rId6" Type="http://schemas.openxmlformats.org/officeDocument/2006/relationships/image" Target="media/image3.jpeg"/><Relationship Id="rId5" Type="http://schemas.openxmlformats.org/officeDocument/2006/relationships/image" Target="media/image2.jpeg"/><Relationship Id="rId4" Type="http://schemas.openxmlformats.org/officeDocument/2006/relationships/image" Target="media/image1.jpeg"/><Relationship Id="rId3" Type="http://schemas.openxmlformats.org/officeDocument/2006/relationships/theme" Target="theme/theme1.xml"/><Relationship Id="rId2" Type="http://schemas.openxmlformats.org/officeDocument/2006/relationships/settings" Target="settings.xml"/><Relationship Id="rId17" Type="http://schemas.openxmlformats.org/officeDocument/2006/relationships/fontTable" Target="fontTable.xml"/><Relationship Id="rId16" Type="http://schemas.openxmlformats.org/officeDocument/2006/relationships/image" Target="media/image13.jpeg"/><Relationship Id="rId15" Type="http://schemas.openxmlformats.org/officeDocument/2006/relationships/image" Target="media/image12.jpeg"/><Relationship Id="rId14" Type="http://schemas.openxmlformats.org/officeDocument/2006/relationships/image" Target="media/image11.jpeg"/><Relationship Id="rId13" Type="http://schemas.openxmlformats.org/officeDocument/2006/relationships/image" Target="media/image10.jpeg"/><Relationship Id="rId12" Type="http://schemas.openxmlformats.org/officeDocument/2006/relationships/image" Target="media/image9.jpeg"/><Relationship Id="rId11" Type="http://schemas.openxmlformats.org/officeDocument/2006/relationships/image" Target="media/image8.jpeg"/><Relationship Id="rId10" Type="http://schemas.openxmlformats.org/officeDocument/2006/relationships/image" Target="media/image7.jpeg"/><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16</Pages>
  <Words>0</Words>
  <Characters>0</Characters>
  <Lines>0</Lines>
  <Paragraphs>0</Paragraphs>
  <TotalTime>0</TotalTime>
  <ScaleCrop>false</ScaleCrop>
  <LinksUpToDate>false</LinksUpToDate>
  <CharactersWithSpaces>0</CharactersWithSpaces>
  <Application>WPS Office_12.1.0.26895_F1E327BC-269C-435d-A152-05C5408002CA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2026-06-18T08:26:00Z</dcterms:created>
  <dc:creator>WPS_1637972032</dc:creator>
  <cp:lastModifiedBy>WPS_1637972032</cp:lastModifiedBy>
  <dcterms:modified xsi:type="dcterms:W3CDTF">2026-06-18T08:26:53Z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2052-12.1.0.26895</vt:lpwstr>
  </property>
  <property fmtid="{D5CDD505-2E9C-101B-9397-08002B2CF9AE}" pid="3" name="ICV">
    <vt:lpwstr>4DB908B417DC432AA703284BB4635252_11</vt:lpwstr>
  </property>
  <property fmtid="{D5CDD505-2E9C-101B-9397-08002B2CF9AE}" pid="4" name="KSOTemplateDocerSaveRecord">
    <vt:lpwstr>eyJoZGlkIjoiMTY5NTkxYzZlZTVkNGVjZWUwZWQ2M2E3MTBmN2VkOTEiLCJ1c2VySWQiOiIxMjk0MTg4MzI3In0=</vt:lpwstr>
  </property>
</Properties>
</file>