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spacing w:before="63" w:line="224" w:lineRule="auto"/>
        <w:jc w:val="center"/>
        <w:rPr>
          <w:rFonts w:hint="eastAsia" w:ascii="宋体" w:hAnsi="宋体" w:eastAsia="宋体" w:cs="宋体"/>
          <w:color w:val="auto"/>
          <w:sz w:val="31"/>
          <w:szCs w:val="31"/>
          <w:lang w:eastAsia="zh-CN"/>
        </w:rPr>
      </w:pP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采购需求</w:t>
      </w:r>
    </w:p>
    <w:p>
      <w:pPr>
        <w:widowControl w:val="0"/>
        <w:spacing w:line="309" w:lineRule="auto"/>
        <w:rPr>
          <w:color w:val="auto"/>
          <w:lang w:eastAsia="zh-CN"/>
        </w:rPr>
      </w:pPr>
    </w:p>
    <w:p>
      <w:pPr>
        <w:widowControl w:val="0"/>
        <w:spacing w:before="78" w:line="220" w:lineRule="auto"/>
        <w:outlineLvl w:val="1"/>
        <w:rPr>
          <w:rFonts w:hint="eastAsia" w:ascii="宋体" w:hAnsi="宋体" w:eastAsia="宋体" w:cs="宋体"/>
          <w:color w:val="auto"/>
          <w:sz w:val="24"/>
          <w:szCs w:val="24"/>
          <w:lang w:eastAsia="zh-CN"/>
        </w:rPr>
      </w:pPr>
      <w:bookmarkStart w:id="0" w:name="_Toc13879"/>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采购</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需求表</w:t>
      </w:r>
      <w:bookmarkEnd w:id="0"/>
    </w:p>
    <w:p>
      <w:pPr>
        <w:widowControl w:val="0"/>
        <w:spacing w:before="64"/>
        <w:rPr>
          <w:color w:val="auto"/>
          <w:lang w:eastAsia="zh-CN"/>
        </w:rPr>
      </w:pP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3"/>
        <w:gridCol w:w="6003"/>
        <w:gridCol w:w="12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3" w:type="dxa"/>
            <w:vAlign w:val="center"/>
          </w:tcPr>
          <w:p>
            <w:pPr>
              <w:widowControl w:val="0"/>
              <w:jc w:val="center"/>
              <w:rPr>
                <w:rFonts w:eastAsiaTheme="minorEastAsia"/>
                <w:color w:val="auto"/>
                <w:sz w:val="24"/>
                <w:szCs w:val="24"/>
                <w:lang w:eastAsia="zh-CN"/>
              </w:rPr>
            </w:pPr>
            <w:r>
              <w:rPr>
                <w:rFonts w:hint="eastAsia" w:eastAsiaTheme="minorEastAsia"/>
                <w:color w:val="auto"/>
                <w:sz w:val="24"/>
                <w:szCs w:val="24"/>
                <w:lang w:eastAsia="zh-CN"/>
              </w:rPr>
              <w:t>序号</w:t>
            </w:r>
          </w:p>
        </w:tc>
        <w:tc>
          <w:tcPr>
            <w:tcW w:w="6003" w:type="dxa"/>
            <w:vAlign w:val="center"/>
          </w:tcPr>
          <w:p>
            <w:pPr>
              <w:widowControl w:val="0"/>
              <w:jc w:val="center"/>
              <w:rPr>
                <w:rFonts w:eastAsiaTheme="minorEastAsia"/>
                <w:color w:val="auto"/>
                <w:sz w:val="24"/>
                <w:szCs w:val="24"/>
                <w:lang w:eastAsia="zh-CN"/>
              </w:rPr>
            </w:pPr>
            <w:r>
              <w:rPr>
                <w:rFonts w:hint="eastAsia" w:eastAsiaTheme="minorEastAsia"/>
                <w:color w:val="auto"/>
                <w:sz w:val="24"/>
                <w:szCs w:val="24"/>
                <w:lang w:eastAsia="zh-CN"/>
              </w:rPr>
              <w:t>服务内容</w:t>
            </w:r>
          </w:p>
        </w:tc>
        <w:tc>
          <w:tcPr>
            <w:tcW w:w="1221" w:type="dxa"/>
            <w:vAlign w:val="center"/>
          </w:tcPr>
          <w:p>
            <w:pPr>
              <w:widowControl w:val="0"/>
              <w:jc w:val="center"/>
              <w:rPr>
                <w:rFonts w:eastAsiaTheme="minorEastAsia"/>
                <w:color w:val="auto"/>
                <w:sz w:val="24"/>
                <w:szCs w:val="24"/>
                <w:lang w:eastAsia="zh-CN"/>
              </w:rPr>
            </w:pPr>
            <w:r>
              <w:rPr>
                <w:rFonts w:hint="eastAsia" w:eastAsiaTheme="minorEastAsia"/>
                <w:color w:val="auto"/>
                <w:sz w:val="24"/>
                <w:szCs w:val="24"/>
                <w:lang w:eastAsia="zh-CN"/>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3" w:type="dxa"/>
            <w:vAlign w:val="center"/>
          </w:tcPr>
          <w:p>
            <w:pPr>
              <w:widowControl w:val="0"/>
              <w:jc w:val="center"/>
              <w:rPr>
                <w:rFonts w:hint="eastAsia" w:cs="仿宋" w:asciiTheme="minorEastAsia" w:hAnsiTheme="minorEastAsia" w:eastAsiaTheme="minorEastAsia"/>
                <w:color w:val="auto"/>
                <w:sz w:val="24"/>
                <w:shd w:val="clear" w:color="auto" w:fill="FFFFFF"/>
                <w:lang w:eastAsia="zh-CN" w:bidi="ar"/>
              </w:rPr>
            </w:pPr>
            <w:r>
              <w:rPr>
                <w:rFonts w:hint="eastAsia" w:cs="仿宋" w:asciiTheme="minorEastAsia" w:hAnsiTheme="minorEastAsia" w:eastAsiaTheme="minorEastAsia"/>
                <w:color w:val="auto"/>
                <w:sz w:val="24"/>
                <w:shd w:val="clear" w:color="auto" w:fill="FFFFFF"/>
                <w:lang w:eastAsia="zh-CN" w:bidi="ar"/>
              </w:rPr>
              <w:t>1</w:t>
            </w:r>
          </w:p>
        </w:tc>
        <w:tc>
          <w:tcPr>
            <w:tcW w:w="6003" w:type="dxa"/>
            <w:vAlign w:val="center"/>
          </w:tcPr>
          <w:p>
            <w:pPr>
              <w:widowControl w:val="0"/>
              <w:jc w:val="center"/>
              <w:rPr>
                <w:rFonts w:hint="eastAsia" w:asciiTheme="minorEastAsia" w:hAnsiTheme="minorEastAsia" w:eastAsiaTheme="minorEastAsia"/>
                <w:color w:val="auto"/>
                <w:lang w:eastAsia="zh-CN"/>
              </w:rPr>
            </w:pPr>
            <w:r>
              <w:rPr>
                <w:rFonts w:hint="eastAsia" w:cs="仿宋" w:asciiTheme="minorEastAsia" w:hAnsiTheme="minorEastAsia" w:eastAsiaTheme="minorEastAsia"/>
                <w:color w:val="auto"/>
                <w:sz w:val="24"/>
                <w:shd w:val="clear" w:color="auto" w:fill="FFFFFF"/>
                <w:lang w:eastAsia="zh-CN" w:bidi="ar"/>
              </w:rPr>
              <w:t>综合效益及必要性研究</w:t>
            </w:r>
          </w:p>
        </w:tc>
        <w:tc>
          <w:tcPr>
            <w:tcW w:w="1221" w:type="dxa"/>
            <w:vAlign w:val="center"/>
          </w:tcPr>
          <w:p>
            <w:pPr>
              <w:widowControl w:val="0"/>
              <w:jc w:val="center"/>
              <w:rPr>
                <w:rFonts w:eastAsiaTheme="minorEastAsia"/>
                <w:color w:val="auto"/>
                <w:sz w:val="24"/>
                <w:szCs w:val="24"/>
                <w:lang w:eastAsia="zh-CN"/>
              </w:rPr>
            </w:pPr>
            <w:r>
              <w:rPr>
                <w:rFonts w:eastAsiaTheme="minorEastAsia"/>
                <w:color w:val="auto"/>
                <w:sz w:val="24"/>
                <w:szCs w:val="24"/>
                <w:lang w:eastAsia="zh-CN"/>
              </w:rPr>
              <w:t>1</w:t>
            </w:r>
            <w:r>
              <w:rPr>
                <w:rFonts w:hint="eastAsia" w:eastAsiaTheme="minorEastAsia"/>
                <w:color w:val="auto"/>
                <w:sz w:val="24"/>
                <w:szCs w:val="24"/>
                <w:lang w:eastAsia="zh-CN"/>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3" w:type="dxa"/>
            <w:vAlign w:val="center"/>
          </w:tcPr>
          <w:p>
            <w:pPr>
              <w:widowControl w:val="0"/>
              <w:jc w:val="center"/>
              <w:rPr>
                <w:rFonts w:hint="eastAsia" w:cs="仿宋" w:asciiTheme="minorEastAsia" w:hAnsiTheme="minorEastAsia" w:eastAsiaTheme="minorEastAsia"/>
                <w:color w:val="auto"/>
                <w:sz w:val="24"/>
                <w:shd w:val="clear" w:color="auto" w:fill="FFFFFF"/>
                <w:lang w:eastAsia="zh-CN" w:bidi="ar"/>
              </w:rPr>
            </w:pPr>
            <w:r>
              <w:rPr>
                <w:rFonts w:hint="eastAsia" w:cs="仿宋" w:asciiTheme="minorEastAsia" w:hAnsiTheme="minorEastAsia" w:eastAsiaTheme="minorEastAsia"/>
                <w:color w:val="auto"/>
                <w:sz w:val="24"/>
                <w:shd w:val="clear" w:color="auto" w:fill="FFFFFF"/>
                <w:lang w:eastAsia="zh-CN" w:bidi="ar"/>
              </w:rPr>
              <w:t>2</w:t>
            </w:r>
          </w:p>
        </w:tc>
        <w:tc>
          <w:tcPr>
            <w:tcW w:w="6003" w:type="dxa"/>
            <w:vAlign w:val="center"/>
          </w:tcPr>
          <w:p>
            <w:pPr>
              <w:widowControl w:val="0"/>
              <w:jc w:val="center"/>
              <w:rPr>
                <w:rFonts w:hint="eastAsia" w:asciiTheme="minorEastAsia" w:hAnsiTheme="minorEastAsia" w:eastAsiaTheme="minorEastAsia"/>
                <w:color w:val="auto"/>
                <w:lang w:eastAsia="zh-CN"/>
              </w:rPr>
            </w:pPr>
            <w:r>
              <w:rPr>
                <w:rFonts w:hint="eastAsia" w:cs="仿宋" w:asciiTheme="minorEastAsia" w:hAnsiTheme="minorEastAsia" w:eastAsiaTheme="minorEastAsia"/>
                <w:color w:val="auto"/>
                <w:sz w:val="24"/>
                <w:shd w:val="clear" w:color="auto" w:fill="FFFFFF"/>
                <w:lang w:eastAsia="zh-CN" w:bidi="ar"/>
              </w:rPr>
              <w:t>沿线生态环境敏感区调查和环境影响分析对策研究</w:t>
            </w:r>
          </w:p>
        </w:tc>
        <w:tc>
          <w:tcPr>
            <w:tcW w:w="1221" w:type="dxa"/>
            <w:vAlign w:val="center"/>
          </w:tcPr>
          <w:p>
            <w:pPr>
              <w:widowControl w:val="0"/>
              <w:jc w:val="center"/>
              <w:rPr>
                <w:rFonts w:eastAsiaTheme="minorEastAsia"/>
                <w:color w:val="auto"/>
                <w:sz w:val="24"/>
                <w:szCs w:val="24"/>
                <w:lang w:eastAsia="zh-CN"/>
              </w:rPr>
            </w:pPr>
            <w:r>
              <w:rPr>
                <w:rFonts w:eastAsiaTheme="minorEastAsia"/>
                <w:color w:val="auto"/>
                <w:sz w:val="24"/>
                <w:szCs w:val="24"/>
                <w:lang w:eastAsia="zh-CN"/>
              </w:rPr>
              <w:t>1</w:t>
            </w:r>
            <w:r>
              <w:rPr>
                <w:rFonts w:hint="eastAsia" w:eastAsiaTheme="minorEastAsia"/>
                <w:color w:val="auto"/>
                <w:sz w:val="24"/>
                <w:szCs w:val="24"/>
                <w:lang w:eastAsia="zh-CN"/>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3" w:type="dxa"/>
            <w:vAlign w:val="center"/>
          </w:tcPr>
          <w:p>
            <w:pPr>
              <w:widowControl w:val="0"/>
              <w:jc w:val="center"/>
              <w:rPr>
                <w:rFonts w:hint="eastAsia" w:cs="仿宋" w:asciiTheme="minorEastAsia" w:hAnsiTheme="minorEastAsia" w:eastAsiaTheme="minorEastAsia"/>
                <w:color w:val="auto"/>
                <w:sz w:val="24"/>
                <w:shd w:val="clear" w:color="auto" w:fill="FFFFFF"/>
                <w:lang w:eastAsia="zh-CN" w:bidi="ar"/>
              </w:rPr>
            </w:pPr>
            <w:r>
              <w:rPr>
                <w:rFonts w:hint="eastAsia" w:cs="仿宋" w:asciiTheme="minorEastAsia" w:hAnsiTheme="minorEastAsia" w:eastAsiaTheme="minorEastAsia"/>
                <w:color w:val="auto"/>
                <w:sz w:val="24"/>
                <w:shd w:val="clear" w:color="auto" w:fill="FFFFFF"/>
                <w:lang w:eastAsia="zh-CN" w:bidi="ar"/>
              </w:rPr>
              <w:t>3</w:t>
            </w:r>
          </w:p>
        </w:tc>
        <w:tc>
          <w:tcPr>
            <w:tcW w:w="6003" w:type="dxa"/>
            <w:vAlign w:val="center"/>
          </w:tcPr>
          <w:p>
            <w:pPr>
              <w:widowControl w:val="0"/>
              <w:jc w:val="center"/>
              <w:rPr>
                <w:rFonts w:hint="eastAsia" w:asciiTheme="minorEastAsia" w:hAnsiTheme="minorEastAsia" w:eastAsiaTheme="minorEastAsia"/>
                <w:color w:val="auto"/>
                <w:lang w:eastAsia="zh-CN"/>
              </w:rPr>
            </w:pPr>
            <w:r>
              <w:rPr>
                <w:rFonts w:hint="eastAsia" w:cs="仿宋" w:asciiTheme="minorEastAsia" w:hAnsiTheme="minorEastAsia" w:eastAsiaTheme="minorEastAsia"/>
                <w:color w:val="auto"/>
                <w:sz w:val="24"/>
                <w:shd w:val="clear" w:color="auto" w:fill="FFFFFF"/>
                <w:lang w:eastAsia="zh-CN" w:bidi="ar"/>
              </w:rPr>
              <w:t>航道开发基础资料勘测调查及影响分析</w:t>
            </w:r>
          </w:p>
        </w:tc>
        <w:tc>
          <w:tcPr>
            <w:tcW w:w="1221" w:type="dxa"/>
            <w:vAlign w:val="center"/>
          </w:tcPr>
          <w:p>
            <w:pPr>
              <w:widowControl w:val="0"/>
              <w:jc w:val="center"/>
              <w:rPr>
                <w:rFonts w:eastAsiaTheme="minorEastAsia"/>
                <w:color w:val="auto"/>
                <w:sz w:val="24"/>
                <w:szCs w:val="24"/>
                <w:lang w:eastAsia="zh-CN"/>
              </w:rPr>
            </w:pPr>
            <w:r>
              <w:rPr>
                <w:rFonts w:eastAsiaTheme="minorEastAsia"/>
                <w:color w:val="auto"/>
                <w:sz w:val="24"/>
                <w:szCs w:val="24"/>
                <w:lang w:eastAsia="zh-CN"/>
              </w:rPr>
              <w:t>1</w:t>
            </w:r>
            <w:r>
              <w:rPr>
                <w:rFonts w:hint="eastAsia" w:eastAsiaTheme="minorEastAsia"/>
                <w:color w:val="auto"/>
                <w:sz w:val="24"/>
                <w:szCs w:val="24"/>
                <w:lang w:eastAsia="zh-CN"/>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3" w:type="dxa"/>
            <w:vAlign w:val="center"/>
          </w:tcPr>
          <w:p>
            <w:pPr>
              <w:widowControl w:val="0"/>
              <w:jc w:val="center"/>
              <w:rPr>
                <w:rFonts w:hint="eastAsia" w:cs="仿宋" w:asciiTheme="minorEastAsia" w:hAnsiTheme="minorEastAsia" w:eastAsiaTheme="minorEastAsia"/>
                <w:color w:val="auto"/>
                <w:sz w:val="24"/>
                <w:shd w:val="clear" w:color="auto" w:fill="FFFFFF"/>
                <w:lang w:eastAsia="zh-CN" w:bidi="ar"/>
              </w:rPr>
            </w:pPr>
            <w:r>
              <w:rPr>
                <w:rFonts w:hint="eastAsia" w:cs="仿宋" w:asciiTheme="minorEastAsia" w:hAnsiTheme="minorEastAsia" w:eastAsiaTheme="minorEastAsia"/>
                <w:color w:val="auto"/>
                <w:sz w:val="24"/>
                <w:shd w:val="clear" w:color="auto" w:fill="FFFFFF"/>
                <w:lang w:eastAsia="zh-CN" w:bidi="ar"/>
              </w:rPr>
              <w:t>4</w:t>
            </w:r>
          </w:p>
        </w:tc>
        <w:tc>
          <w:tcPr>
            <w:tcW w:w="6003" w:type="dxa"/>
            <w:vAlign w:val="center"/>
          </w:tcPr>
          <w:p>
            <w:pPr>
              <w:widowControl w:val="0"/>
              <w:jc w:val="center"/>
              <w:rPr>
                <w:rFonts w:hint="eastAsia" w:asciiTheme="minorEastAsia" w:hAnsiTheme="minorEastAsia" w:eastAsiaTheme="minorEastAsia"/>
                <w:color w:val="auto"/>
                <w:lang w:eastAsia="zh-CN"/>
              </w:rPr>
            </w:pPr>
            <w:r>
              <w:rPr>
                <w:rFonts w:hint="eastAsia" w:cs="仿宋" w:asciiTheme="minorEastAsia" w:hAnsiTheme="minorEastAsia" w:eastAsiaTheme="minorEastAsia"/>
                <w:color w:val="auto"/>
                <w:sz w:val="24"/>
                <w:shd w:val="clear" w:color="auto" w:fill="FFFFFF"/>
                <w:lang w:eastAsia="zh-CN" w:bidi="ar"/>
              </w:rPr>
              <w:t>航道线路及梯级布置方案研究</w:t>
            </w:r>
          </w:p>
        </w:tc>
        <w:tc>
          <w:tcPr>
            <w:tcW w:w="1221" w:type="dxa"/>
            <w:vAlign w:val="center"/>
          </w:tcPr>
          <w:p>
            <w:pPr>
              <w:widowControl w:val="0"/>
              <w:jc w:val="center"/>
              <w:rPr>
                <w:rFonts w:eastAsiaTheme="minorEastAsia"/>
                <w:color w:val="auto"/>
                <w:sz w:val="24"/>
                <w:szCs w:val="24"/>
                <w:lang w:eastAsia="zh-CN"/>
              </w:rPr>
            </w:pPr>
            <w:r>
              <w:rPr>
                <w:rFonts w:eastAsiaTheme="minorEastAsia"/>
                <w:color w:val="auto"/>
                <w:sz w:val="24"/>
                <w:szCs w:val="24"/>
                <w:lang w:eastAsia="zh-CN"/>
              </w:rPr>
              <w:t>1</w:t>
            </w:r>
            <w:r>
              <w:rPr>
                <w:rFonts w:hint="eastAsia" w:eastAsiaTheme="minorEastAsia"/>
                <w:color w:val="auto"/>
                <w:sz w:val="24"/>
                <w:szCs w:val="24"/>
                <w:lang w:eastAsia="zh-CN"/>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3" w:type="dxa"/>
            <w:vAlign w:val="center"/>
          </w:tcPr>
          <w:p>
            <w:pPr>
              <w:widowControl w:val="0"/>
              <w:jc w:val="center"/>
              <w:rPr>
                <w:rFonts w:hint="eastAsia" w:cs="仿宋" w:asciiTheme="minorEastAsia" w:hAnsiTheme="minorEastAsia" w:eastAsiaTheme="minorEastAsia"/>
                <w:color w:val="auto"/>
                <w:sz w:val="24"/>
                <w:shd w:val="clear" w:color="auto" w:fill="FFFFFF"/>
                <w:lang w:eastAsia="zh-CN" w:bidi="ar"/>
              </w:rPr>
            </w:pPr>
            <w:r>
              <w:rPr>
                <w:rFonts w:hint="eastAsia" w:cs="仿宋" w:asciiTheme="minorEastAsia" w:hAnsiTheme="minorEastAsia" w:eastAsiaTheme="minorEastAsia"/>
                <w:color w:val="auto"/>
                <w:sz w:val="24"/>
                <w:shd w:val="clear" w:color="auto" w:fill="FFFFFF"/>
                <w:lang w:eastAsia="zh-CN" w:bidi="ar"/>
              </w:rPr>
              <w:t>5</w:t>
            </w:r>
          </w:p>
        </w:tc>
        <w:tc>
          <w:tcPr>
            <w:tcW w:w="6003" w:type="dxa"/>
            <w:vAlign w:val="center"/>
          </w:tcPr>
          <w:p>
            <w:pPr>
              <w:widowControl w:val="0"/>
              <w:jc w:val="center"/>
              <w:rPr>
                <w:rFonts w:hint="eastAsia" w:asciiTheme="minorEastAsia" w:hAnsiTheme="minorEastAsia" w:eastAsiaTheme="minorEastAsia"/>
                <w:color w:val="auto"/>
                <w:lang w:eastAsia="zh-CN"/>
              </w:rPr>
            </w:pPr>
            <w:r>
              <w:rPr>
                <w:rFonts w:hint="eastAsia" w:cs="仿宋" w:asciiTheme="minorEastAsia" w:hAnsiTheme="minorEastAsia" w:eastAsiaTheme="minorEastAsia"/>
                <w:color w:val="auto"/>
                <w:sz w:val="24"/>
                <w:shd w:val="clear" w:color="auto" w:fill="FFFFFF"/>
                <w:lang w:eastAsia="zh-CN" w:bidi="ar"/>
              </w:rPr>
              <w:t>总报告:抚河航道提升工程前期研究</w:t>
            </w:r>
          </w:p>
        </w:tc>
        <w:tc>
          <w:tcPr>
            <w:tcW w:w="1221" w:type="dxa"/>
            <w:vAlign w:val="center"/>
          </w:tcPr>
          <w:p>
            <w:pPr>
              <w:widowControl w:val="0"/>
              <w:jc w:val="center"/>
              <w:rPr>
                <w:rFonts w:eastAsiaTheme="minorEastAsia"/>
                <w:color w:val="auto"/>
                <w:sz w:val="24"/>
                <w:szCs w:val="24"/>
                <w:lang w:eastAsia="zh-CN"/>
              </w:rPr>
            </w:pPr>
            <w:r>
              <w:rPr>
                <w:rFonts w:eastAsiaTheme="minorEastAsia"/>
                <w:color w:val="auto"/>
                <w:sz w:val="24"/>
                <w:szCs w:val="24"/>
                <w:lang w:eastAsia="zh-CN"/>
              </w:rPr>
              <w:t>1</w:t>
            </w:r>
            <w:r>
              <w:rPr>
                <w:rFonts w:hint="eastAsia" w:eastAsiaTheme="minorEastAsia"/>
                <w:color w:val="auto"/>
                <w:sz w:val="24"/>
                <w:szCs w:val="24"/>
                <w:lang w:eastAsia="zh-CN"/>
              </w:rPr>
              <w:t>项</w:t>
            </w:r>
          </w:p>
        </w:tc>
      </w:tr>
    </w:tbl>
    <w:p>
      <w:pPr>
        <w:widowControl w:val="0"/>
        <w:rPr>
          <w:rFonts w:eastAsiaTheme="minorEastAsia"/>
          <w:color w:val="auto"/>
          <w:lang w:eastAsia="zh-CN"/>
        </w:rPr>
      </w:pPr>
    </w:p>
    <w:p>
      <w:pPr>
        <w:widowControl w:val="0"/>
        <w:spacing w:before="47" w:line="219" w:lineRule="auto"/>
        <w:outlineLvl w:val="1"/>
        <w:rPr>
          <w:rFonts w:hint="eastAsia" w:ascii="宋体" w:hAnsi="宋体" w:eastAsia="宋体" w:cs="宋体"/>
          <w:color w:val="auto"/>
          <w:sz w:val="24"/>
          <w:szCs w:val="24"/>
          <w:lang w:eastAsia="zh-CN"/>
        </w:rPr>
      </w:pPr>
      <w:bookmarkStart w:id="1" w:name="bookmark81"/>
      <w:bookmarkEnd w:id="1"/>
      <w:bookmarkStart w:id="2" w:name="_Toc18798"/>
      <w:r>
        <w:rPr>
          <w:rFonts w:ascii="宋体" w:hAnsi="宋体" w:eastAsia="宋体" w:cs="宋体"/>
          <w:color w:val="auto"/>
          <w:sz w:val="24"/>
          <w:szCs w:val="24"/>
          <w14:textOutline w14:w="4356" w14:cap="sq" w14:cmpd="sng" w14:algn="ctr">
            <w14:solidFill>
              <w14:srgbClr w14:val="000000"/>
            </w14:solidFill>
            <w14:prstDash w14:val="solid"/>
            <w14:bevel/>
          </w14:textOutline>
        </w:rPr>
        <w:t>二、</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技术要求</w:t>
      </w:r>
      <w:bookmarkEnd w:id="2"/>
    </w:p>
    <w:p>
      <w:pPr>
        <w:widowControl w:val="0"/>
        <w:spacing w:line="257" w:lineRule="auto"/>
        <w:rPr>
          <w:color w:val="auto"/>
        </w:rPr>
      </w:pPr>
    </w:p>
    <w:p>
      <w:pPr>
        <w:widowControl w:val="0"/>
        <w:spacing w:before="78" w:line="219" w:lineRule="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（一）服务要求</w:t>
      </w:r>
    </w:p>
    <w:p>
      <w:pPr>
        <w:widowControl w:val="0"/>
        <w:spacing w:line="258" w:lineRule="auto"/>
        <w:rPr>
          <w:color w:val="auto"/>
        </w:rPr>
      </w:pPr>
    </w:p>
    <w:p>
      <w:pPr>
        <w:widowControl w:val="0"/>
        <w:spacing w:before="78" w:line="360" w:lineRule="auto"/>
        <w:ind w:firstLine="482" w:firstLineChars="200"/>
        <w:rPr>
          <w:rFonts w:hint="eastAsia" w:ascii="宋体" w:hAnsi="宋体" w:eastAsia="宋体" w:cs="宋体"/>
          <w:b/>
          <w:bCs/>
          <w:color w:val="auto"/>
          <w:sz w:val="24"/>
          <w:szCs w:val="24"/>
          <w:lang w:eastAsia="zh-CN"/>
        </w:rPr>
      </w:pPr>
      <w:r>
        <w:rPr>
          <w:rFonts w:ascii="宋体" w:hAnsi="宋体" w:eastAsia="宋体" w:cs="宋体"/>
          <w:b/>
          <w:bCs/>
          <w:color w:val="auto"/>
          <w:sz w:val="24"/>
          <w:szCs w:val="24"/>
          <w:lang w:eastAsia="zh-CN"/>
        </w:rPr>
        <w:t>1</w:t>
      </w:r>
      <w:r>
        <w:rPr>
          <w:rFonts w:hint="eastAsia" w:ascii="宋体" w:hAnsi="宋体" w:eastAsia="宋体" w:cs="宋体"/>
          <w:b/>
          <w:bCs/>
          <w:color w:val="auto"/>
          <w:sz w:val="24"/>
          <w:szCs w:val="24"/>
          <w:lang w:eastAsia="zh-CN"/>
        </w:rPr>
        <w:t>、项目概况及内容</w:t>
      </w:r>
    </w:p>
    <w:p>
      <w:pPr>
        <w:widowControl w:val="0"/>
        <w:spacing w:before="78" w:line="360" w:lineRule="auto"/>
        <w:ind w:firstLine="482" w:firstLineChars="200"/>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1.1 工程概况</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抚河是江西省五大河流之一、鄱阳湖水系重要组成部分，地处江西省中东部，东邻福建，南接赣州，西近赣江，北濒鄱阳湖。其发源于赣闽边界武夷山西麓广昌县梨木庄，自南向北流经广昌、南丰、南城、金溪、临川、丰城、进贤、南昌等县区，最终于南昌县幽兰镇太平渡注入青岚湖，流域整体地势南高北低。</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自宋代起，历经900余年开发利用，抚河逐步形成以干流为骨干、黎滩河等四大支流为支撑的水运网络，曾是东连福建、南接广东、通江达海的重要运输通道。上世纪50年代末期以来，受河道水利工程、跨河桥梁等设施建设影响，碍航设施持续增加，抚河当前仅能实现区域性通航，航道等级均为六级及以下。抚河已列入江西省“两横一纵十支”高等级航道网，规划2035年发展目标为三级航道（1000t级）。抚河航道提升工程，符合我省水运高质量发展要求，并可与浙赣粤运河联通，有利于完善江西高等级航道网布局，可覆盖抚州市全域，带动宜春市丰城市，南昌市南昌县、进贤县和江西铜业集团有限公司等骨干企业的区域物流运输发展，同步可辐射到福建三明市建宁县、南平市光泽县等地，将有力推动江西内陆开放型经济试验区建设，促进区域协调发展，提升中部地区整体经济发展水平。</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当前，抚河航道存在等级偏低、基础设施薄弱等突出问题，加之河道内非法采砂现象严重，尤其枯水期受乱采滥挖影响，河道水流散乱，既无法形成有效通航航道，还对原有航道造成破坏，导致通航受阻，远未达到规划航道等级。</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煤炭、矿石、钢铁等货类是抚州市货运核心品类，具有运量大、对运价敏感的特点，具备发展水路运输的天然优势，但受限于抚河水运通道尚未打通，相关货类不得不依赖公路、铁路运输，水运优势未能得到发挥。为落实全省航道布局规划任务，充分释放抚河水路运输潜力，结合抚河航道实际条件，以拦河闸坝、碍航桥梁、枢纽布置、环保约束等关键影响因素为前置考量，抓紧推进抚河航道提升工程前期工作，具有十分重要的必要性和紧迫性。</w:t>
      </w:r>
    </w:p>
    <w:p>
      <w:pPr>
        <w:widowControl w:val="0"/>
        <w:spacing w:before="78" w:line="360" w:lineRule="auto"/>
        <w:ind w:firstLine="482" w:firstLineChars="200"/>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1.2 项目内容</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结合同步开展的抚河航道提升工程水资源综合利用及航运用水保障研究、沿线铁路桥改造方案研究等相关专题研究成果，在对抚河航道提升工程的建设条件进行必要的勘测、调查研究的基础上，研究项目建设的必要性、工程方案的技术可行性和经济合理性，为抚河航道提升工程提供科学决策依据与技术支撑，具体包括1个总报告和4个专题研究，包括总报告:抚河航道提升工程前期研究；综合效益及必要性研究、沿线生态环境敏感区调查和环境影响分析对策研究、航道开发基础资料勘测调查及影响分析、航道线路及梯级布置方案研究共四项专题研究。</w:t>
      </w:r>
    </w:p>
    <w:p>
      <w:pPr>
        <w:widowControl w:val="0"/>
        <w:spacing w:before="78" w:line="360" w:lineRule="auto"/>
        <w:ind w:firstLine="482" w:firstLineChars="200"/>
        <w:rPr>
          <w:rFonts w:hint="eastAsia" w:ascii="宋体" w:hAnsi="宋体" w:eastAsia="宋体" w:cs="宋体"/>
          <w:b/>
          <w:bCs/>
          <w:color w:val="auto"/>
          <w:sz w:val="24"/>
          <w:szCs w:val="24"/>
          <w:lang w:eastAsia="zh-CN"/>
        </w:rPr>
      </w:pPr>
      <w:r>
        <w:rPr>
          <w:rFonts w:ascii="宋体" w:hAnsi="宋体" w:eastAsia="宋体" w:cs="宋体"/>
          <w:b/>
          <w:bCs/>
          <w:color w:val="auto"/>
          <w:sz w:val="24"/>
          <w:szCs w:val="24"/>
          <w:lang w:eastAsia="zh-CN"/>
        </w:rPr>
        <w:t>2</w:t>
      </w:r>
      <w:r>
        <w:rPr>
          <w:rFonts w:hint="eastAsia" w:ascii="宋体" w:hAnsi="宋体" w:eastAsia="宋体" w:cs="宋体"/>
          <w:b/>
          <w:bCs/>
          <w:color w:val="auto"/>
          <w:sz w:val="24"/>
          <w:szCs w:val="24"/>
          <w:lang w:eastAsia="zh-CN"/>
        </w:rPr>
        <w:t>、技术服务要求</w:t>
      </w:r>
    </w:p>
    <w:p>
      <w:pPr>
        <w:widowControl w:val="0"/>
        <w:spacing w:before="78"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2.1 研究范围：</w:t>
      </w:r>
      <w:r>
        <w:rPr>
          <w:rFonts w:hint="eastAsia" w:ascii="宋体" w:hAnsi="宋体" w:eastAsia="宋体" w:cs="宋体"/>
          <w:color w:val="auto"/>
          <w:sz w:val="24"/>
          <w:szCs w:val="24"/>
          <w:lang w:eastAsia="zh-CN"/>
        </w:rPr>
        <w:t>抚河干流（下马山至三江口）、赣抚运渠、清丰山溪、抚河故道等，同步衔接《抚河流域综合规划》《全国内河港口与航道布局规划》《江西省内河航道与港口布局规划》等规划、可能航道路径走向（抚河经赣抚运渠至赣江、抚河经赣抚运渠、清丰山溪至赣江、抚河经抚河故道至赣江、抚河经干流至三江口）。</w:t>
      </w:r>
    </w:p>
    <w:p>
      <w:pPr>
        <w:widowControl w:val="0"/>
        <w:spacing w:before="78"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2.2 研究方法：</w:t>
      </w:r>
      <w:r>
        <w:rPr>
          <w:rFonts w:hint="eastAsia" w:ascii="宋体" w:hAnsi="宋体" w:eastAsia="宋体" w:cs="宋体"/>
          <w:color w:val="auto"/>
          <w:sz w:val="24"/>
          <w:szCs w:val="24"/>
          <w:lang w:eastAsia="zh-CN"/>
        </w:rPr>
        <w:t>采取定性和定量相结合的方式开展研究，确保结论科学可靠。</w:t>
      </w:r>
    </w:p>
    <w:p>
      <w:pPr>
        <w:widowControl w:val="0"/>
        <w:spacing w:before="78"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2.3研究依据：</w:t>
      </w:r>
      <w:r>
        <w:rPr>
          <w:rFonts w:hint="eastAsia" w:ascii="宋体" w:hAnsi="宋体" w:eastAsia="宋体" w:cs="宋体"/>
          <w:color w:val="auto"/>
          <w:sz w:val="24"/>
          <w:szCs w:val="24"/>
          <w:lang w:eastAsia="zh-CN"/>
        </w:rPr>
        <w:t>需符合国家、行业及江西省现行规范标准，包括但不限于：</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（1）《航道规划报告编制内容及文本格式》（交通运输部办公厅 2020 年4月3日印发） </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（2）《内河航道建设项目预可行性研究报告编制内容及文本格式》</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（3）《中华人民共和国航道法》(2016 年修正)； </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（4）《中华人民共和国水法》(2016 年修正)； </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（5）《中华人民共和国防洪法》(2016 年修正)； </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（6）《内河通航标准》（GB50139-2014）； </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（7）《运河通航标准》（JTS180-2-2011）； </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（8）《水利水电工程等级划分及洪水标准》（SL252-2017）； </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（9）《防洪标准》（GB 50201-2014）；</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（10）《航道工程设计规范》（JTS181-2016）</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（11）《航运枢纽总体设计规范》（JTS 182-1—2026）；</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（12）《船闸总体设计规范》（JTJ305-2025）； </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（13）《水资源规划规范》（GB/T51051-2014）； </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（14）《港口与航道水文规范》（JTS 145-2015）； </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（15）《水运工程测量规范》（JTS131-2012）；</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（16）《水运工程岩土勘察规范》（JTS133-2013）</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（17）《水利水电工程测量规范》(SL197-2013)； </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（18）《水利水电工程地质勘察规范（2022年版）》（GB 50487-2008）；</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（19）《长江水系过闸运输船舶标准船型主尺度系列》（交通运输部公告 2012 年第 69 号）； </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（20）《内河航运建设工程概算预算编制规定》（JTS116-1-2019）及配套定额。</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其他现行水运工程、水利水电工程相关技术规范、规程。</w:t>
      </w:r>
    </w:p>
    <w:p>
      <w:pPr>
        <w:widowControl w:val="0"/>
        <w:spacing w:before="78"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2.4 研究目标</w:t>
      </w:r>
      <w:r>
        <w:rPr>
          <w:rFonts w:hint="eastAsia" w:ascii="宋体" w:hAnsi="宋体" w:eastAsia="宋体" w:cs="宋体"/>
          <w:color w:val="auto"/>
          <w:sz w:val="24"/>
          <w:szCs w:val="24"/>
          <w:lang w:eastAsia="zh-CN"/>
        </w:rPr>
        <w:t>：结合抚河航道提升工程相关专题研究成果，在对抚河航道提升工程的建设条件进行必要的勘测、调查研究的基础上，研究项目建设的必要性、工程方案的技术可行性和经济合理性，为抚河航道提升工程提供科学决策依据与技术支撑。</w:t>
      </w:r>
    </w:p>
    <w:p>
      <w:pPr>
        <w:widowControl w:val="0"/>
        <w:spacing w:before="78" w:line="360" w:lineRule="auto"/>
        <w:ind w:firstLine="482" w:firstLineChars="200"/>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2.5研究内容及要求</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（1）综合效益及必要性研究</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1）抚河航道提升工程综合效益研究：</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系统评估工程对沿线经济增长贡献、重点产业支撑、地方就业拉动、防洪安全、节能减排效果的影响，研究对区域交通运输格局的长远影响，从贯彻新发展理念、构建新发展格局、优化综合交通结构、实现水资源综合利用、优化国土空间开发、支撑区域协调发展、等维度开展工程综合效益定性定量分析，分析论证综合效益和意义,为抚河航道提升的必要性提供基础支撑。</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2）抚河航道提升工程建设必要性研究：</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综合工程建设对经济、社会、生态环境、资源综合利用等方面效益，从推动区域经济发展、提升资源综合利用效益、改善生态环境、适应运输需求等方面研究项目建设的战略意义，综合研判项目建设的必要性。</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3）编制、出版专题研究报告，召开技术研讨、大纲评审会、阶段性成果评审会、研究验收会等会议。</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（2）沿线生态环境敏感区调查和环境影响分析对策研究</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抚河航道提升工程生态环境现状调查：调查航道沿线生态、水、大气等现状环境质量资料，必要时开展推荐方案沿线生态、水环境现状补充监测；全面排查沿线自然保护区、水产种质资源保护区、饮用水源保护区、永久基本农田、生态保护红线等生态敏感目标，包括敏感目标基本情况、地理位置、功能分区、相关管控要求等。</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抚河航道提升工程主要环境影响分析及对策研究：结合调查成果，从环境影响角度对项目选址选线方案开展比选，提出优化调整方案，对于不可避让的生态敏感目标开展初步论证并提出解决方案；分析工程对水生态与生物多样性影响；分析项目运营后运输结构优化带来的污染物降低、节能减排等方面的量化指标；结合江西省有关要求提出工程生态流量标准；制定环保措施与投资估算。</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3）编制、出版专题研究报告，召开技术研讨、大纲评审会、阶段性成果评审会、研究验收会等会议。</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（3）航道开发基础资料勘测调查及影响分析</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抚河航道提升工程基础资料勘测调查：开展必要的水文观测、地形测量、地质勘察、地质测绘（初步测算，需测量1:2000陆域地形约150平方公里、1:2000水域地形约40平方公里，1:2000地质测绘约85平方公里、1:10000地质测绘约245平方公里，陆域勘察进尺约3770米、水域勘察进尺约2290米），分析气象、水文、地质等自然条件，核查沿线拆迁、耕地、跨河设施及文物分布，为抚河航道提升工程前期研究提供基础资料。</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抚河航道提升工程开发影响分析：研究项目建设对拟建鄱阳湖水利枢纽的影响，初步确定梯级枢纽工程淹没区防护标准与淹没范围，从工程占地及移民搬迁影响角度对项目选址选线方案开展比选，提出优化调整方案；针对推荐建设方案，初步查明工程占地等范围内的主要实物及其他涉及第三方权益的内容，提出库区防护工程方案及投资，提出移民安置初步规划方案，估算补偿投资。</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3）编制、出版专题研究报告，召开技术研讨、大纲评审会、阶段性成果评审会、研究验收会等会议。</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（4）航道线路及梯级布置方案研究</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1）抚河航道提升工程技术指标研究：结合有关专题研究成果，对航道主尺度、跨河建筑物通航净空尺度、船闸有效尺度等技术指标开展综合比选，通过数值仿真模型进行情景假设和模拟，论证船闸通过能力。</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抚河航道提升工程线路方案研究：根据其他专题研究成果，研究提出至少四条工程选线方案及其开发条件，识别主要制约因素；结合有关规划和政策情况、航运用水保障、碍航桥梁改造、梯级衔接、通航效率、投资效益等方面开展线路方案比选，提出推荐线路方案。</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3）抚河航道提升工程梯级布置方案研究：明确梯级布置原则，基于开发条件、航运用水保障、梯级枢纽衔接、用地规模、移民搬迁、通航效率等方面开展梯级布置方案的综合比选，提出推荐梯级布置方案。</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4）编制、出版专题研究报告，召开技术研讨、大纲评审会、阶段性成果评审会、研究验收会等会议。</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（5）总报告:抚河航道提升工程前期研究</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在各专题研究基础上，编制《抚河航道提升工程前期研究总报告》，主要研究内容包括：分析评价抚河航道自然条件及跨拦河设施改扩建可行性开发条件；研判腹地水运发展趋势，复核运输需求、船型、通航标准等技术指标；论证航道开发任务，优化线路、梯级布置、航运用水保障方案，研究提出抚河航道提升工程推荐工程建设方案及投资匡算，研究生态环保制约与对策；从国家高等级航道网建设高度，完善综合效益及对策建议，为抚河航道提升工程提供科学决策依据与技术支撑。编制、出版研究总报告，召开技术研讨、大纲评审会、阶段性成果评审会、研究验收会等会议。</w:t>
      </w:r>
    </w:p>
    <w:p>
      <w:pPr>
        <w:widowControl w:val="0"/>
        <w:spacing w:before="78" w:line="360" w:lineRule="auto"/>
        <w:ind w:firstLine="482" w:firstLineChars="200"/>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2.5 技术服务成果要求</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（1）《抚河航道提升工程综合效益及必要性研究报告》</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（2）《抚河航道提升工程沿线生态环境敏感区调查和环境影响分析对策研究报告》</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（3）《抚河航道提升工程航道开发基础资料勘测调查及影响分析》</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（4）《抚河航道提升工程航道线路及梯级布置方案研究》</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（5）《抚河航道提升工程前期研究总报告》</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以上成果提供纸质版5份，电子版1份。</w:t>
      </w:r>
    </w:p>
    <w:p>
      <w:pPr>
        <w:widowControl w:val="0"/>
        <w:spacing w:before="78"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3、人员要求</w:t>
      </w:r>
    </w:p>
    <w:p>
      <w:pPr>
        <w:widowControl w:val="0"/>
        <w:spacing w:before="78" w:line="360" w:lineRule="auto"/>
        <w:ind w:firstLine="240" w:firstLineChars="100"/>
        <w:rPr>
          <w:rFonts w:hint="eastAsia" w:ascii="宋体" w:hAnsi="宋体" w:eastAsia="宋体" w:cs="宋体"/>
          <w:b/>
          <w:bCs/>
          <w:color w:val="auto"/>
          <w:sz w:val="24"/>
          <w:szCs w:val="24"/>
          <w:lang w:eastAsia="zh-CN"/>
        </w:rPr>
      </w:pPr>
      <w:r>
        <w:rPr>
          <w:rFonts w:hint="eastAsia" w:ascii="宋体" w:hAnsi="宋体" w:eastAsia="宋体" w:cs="宋体"/>
          <w:color w:val="auto"/>
          <w:sz w:val="24"/>
          <w:szCs w:val="24"/>
          <w:lang w:eastAsia="zh-CN"/>
        </w:rPr>
        <w:t>（1）项目负责人：1名，具有水运或水利类高级工程师或以上技术职称。（</w:t>
      </w:r>
      <w:r>
        <w:rPr>
          <w:rFonts w:hint="eastAsia" w:ascii="宋体" w:hAnsi="宋体" w:eastAsia="宋体" w:cs="宋体"/>
          <w:bCs/>
          <w:color w:val="auto"/>
          <w:kern w:val="2"/>
          <w:sz w:val="24"/>
          <w:szCs w:val="24"/>
          <w:lang w:eastAsia="zh-CN" w:bidi="zh-CN"/>
        </w:rPr>
        <w:t>水运类专业指航道工程、港口航道与海岸工程、港航工程、港航及海岸工程、港口工程、港口与航道工程；水利类专业指：水利水电工程、水利工程、水电工程、农田水利工程、水工建筑、水工结构、水利规划、水文与水资源</w:t>
      </w:r>
      <w:r>
        <w:rPr>
          <w:rFonts w:hint="eastAsia" w:ascii="宋体" w:hAnsi="宋体" w:eastAsia="宋体" w:cs="宋体"/>
          <w:color w:val="auto"/>
          <w:sz w:val="24"/>
          <w:szCs w:val="24"/>
          <w:lang w:eastAsia="zh-CN"/>
        </w:rPr>
        <w:t>）</w:t>
      </w:r>
      <w:r>
        <w:rPr>
          <w:rFonts w:hint="eastAsia" w:ascii="宋体" w:hAnsi="宋体" w:eastAsia="宋体" w:cs="宋体"/>
          <w:b/>
          <w:bCs/>
          <w:color w:val="auto"/>
          <w:sz w:val="24"/>
          <w:szCs w:val="24"/>
          <w:lang w:eastAsia="zh-CN"/>
        </w:rPr>
        <w:t>（提供职称证书及开标前六个月任意一个月社保证明复印件加盖投标单位公章）</w:t>
      </w:r>
    </w:p>
    <w:p>
      <w:pPr>
        <w:widowControl w:val="0"/>
        <w:spacing w:before="78" w:line="360" w:lineRule="auto"/>
        <w:ind w:firstLine="240" w:firstLineChars="100"/>
        <w:rPr>
          <w:rFonts w:hint="eastAsia" w:ascii="宋体" w:hAnsi="宋体" w:eastAsia="宋体" w:cs="宋体"/>
          <w:b/>
          <w:bCs/>
          <w:color w:val="auto"/>
          <w:sz w:val="24"/>
          <w:szCs w:val="24"/>
          <w:lang w:eastAsia="zh-CN"/>
        </w:rPr>
      </w:pP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2</w:t>
      </w: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项目组</w:t>
      </w:r>
      <w:r>
        <w:rPr>
          <w:rFonts w:ascii="宋体" w:hAnsi="宋体" w:eastAsia="宋体" w:cs="宋体"/>
          <w:color w:val="auto"/>
          <w:sz w:val="24"/>
          <w:szCs w:val="24"/>
          <w:lang w:eastAsia="zh-CN"/>
        </w:rPr>
        <w:t>人员：根据本项目</w:t>
      </w:r>
      <w:r>
        <w:rPr>
          <w:rFonts w:hint="eastAsia" w:ascii="宋体" w:hAnsi="宋体" w:eastAsia="宋体" w:cs="宋体"/>
          <w:color w:val="auto"/>
          <w:sz w:val="24"/>
          <w:szCs w:val="24"/>
          <w:lang w:eastAsia="zh-CN"/>
        </w:rPr>
        <w:t>拟派</w:t>
      </w:r>
      <w:r>
        <w:rPr>
          <w:rFonts w:ascii="宋体" w:hAnsi="宋体" w:eastAsia="宋体" w:cs="宋体"/>
          <w:color w:val="auto"/>
          <w:sz w:val="24"/>
          <w:szCs w:val="24"/>
          <w:lang w:eastAsia="zh-CN"/>
        </w:rPr>
        <w:t>不少于1</w:t>
      </w:r>
      <w:r>
        <w:rPr>
          <w:rFonts w:hint="eastAsia" w:ascii="宋体" w:hAnsi="宋体" w:eastAsia="宋体" w:cs="宋体"/>
          <w:color w:val="auto"/>
          <w:sz w:val="24"/>
          <w:szCs w:val="24"/>
          <w:lang w:eastAsia="zh-CN"/>
        </w:rPr>
        <w:t>5</w:t>
      </w:r>
      <w:r>
        <w:rPr>
          <w:rFonts w:ascii="宋体" w:hAnsi="宋体" w:eastAsia="宋体" w:cs="宋体"/>
          <w:color w:val="auto"/>
          <w:sz w:val="24"/>
          <w:szCs w:val="24"/>
          <w:lang w:eastAsia="zh-CN"/>
        </w:rPr>
        <w:t>人的服务团队</w:t>
      </w:r>
      <w:r>
        <w:rPr>
          <w:rFonts w:hint="eastAsia" w:ascii="宋体" w:hAnsi="宋体" w:eastAsia="宋体" w:cs="宋体"/>
          <w:color w:val="auto"/>
          <w:sz w:val="24"/>
          <w:szCs w:val="24"/>
          <w:lang w:eastAsia="zh-CN"/>
        </w:rPr>
        <w:t>（</w:t>
      </w:r>
      <w:r>
        <w:rPr>
          <w:rFonts w:hint="eastAsia" w:ascii="宋体" w:hAnsi="宋体" w:eastAsia="宋体" w:cs="宋体"/>
          <w:color w:val="auto"/>
          <w:kern w:val="2"/>
          <w:sz w:val="24"/>
          <w:szCs w:val="24"/>
          <w:lang w:eastAsia="zh-CN"/>
        </w:rPr>
        <w:t>不包含项目负责人</w:t>
      </w:r>
      <w:r>
        <w:rPr>
          <w:rFonts w:hint="eastAsia" w:ascii="宋体" w:hAnsi="宋体" w:eastAsia="宋体" w:cs="宋体"/>
          <w:color w:val="auto"/>
          <w:sz w:val="24"/>
          <w:szCs w:val="24"/>
          <w:lang w:eastAsia="zh-CN"/>
        </w:rPr>
        <w:t>）</w:t>
      </w: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具有水运或水利</w:t>
      </w:r>
      <w:r>
        <w:rPr>
          <w:rFonts w:hint="eastAsia" w:ascii="宋体" w:hAnsi="宋体" w:eastAsia="宋体" w:cs="宋体"/>
          <w:color w:val="auto"/>
          <w:kern w:val="2"/>
          <w:sz w:val="24"/>
          <w:szCs w:val="24"/>
          <w:lang w:eastAsia="zh-CN"/>
        </w:rPr>
        <w:t>或勘测</w:t>
      </w:r>
      <w:r>
        <w:rPr>
          <w:rFonts w:hint="eastAsia" w:ascii="宋体" w:hAnsi="宋体" w:eastAsia="宋体" w:cs="宋体"/>
          <w:color w:val="auto"/>
          <w:sz w:val="24"/>
          <w:szCs w:val="24"/>
          <w:lang w:eastAsia="zh-CN"/>
        </w:rPr>
        <w:t>类工程师及以上职称</w:t>
      </w:r>
      <w:r>
        <w:rPr>
          <w:rFonts w:ascii="宋体" w:hAnsi="宋体" w:eastAsia="宋体" w:cs="宋体"/>
          <w:color w:val="auto"/>
          <w:sz w:val="24"/>
          <w:szCs w:val="24"/>
          <w:lang w:eastAsia="zh-CN"/>
        </w:rPr>
        <w:t>。</w:t>
      </w:r>
      <w:r>
        <w:rPr>
          <w:rFonts w:hint="eastAsia" w:ascii="宋体" w:hAnsi="宋体" w:eastAsia="宋体" w:cs="宋体"/>
          <w:b/>
          <w:bCs/>
          <w:color w:val="auto"/>
          <w:sz w:val="24"/>
          <w:szCs w:val="24"/>
          <w:lang w:eastAsia="zh-CN"/>
        </w:rPr>
        <w:t>（提供职称证书及开标前六个月任意一个月社保证明复印件加盖投标单位公章）</w:t>
      </w:r>
    </w:p>
    <w:p>
      <w:pPr>
        <w:widowControl w:val="0"/>
        <w:spacing w:line="258" w:lineRule="auto"/>
        <w:rPr>
          <w:color w:val="auto"/>
          <w:lang w:eastAsia="zh-CN"/>
        </w:rPr>
      </w:pPr>
    </w:p>
    <w:p>
      <w:pPr>
        <w:widowControl w:val="0"/>
        <w:spacing w:line="360" w:lineRule="auto"/>
        <w:rPr>
          <w:rFonts w:hint="eastAsia" w:ascii="宋体" w:hAnsi="宋体" w:eastAsia="宋体" w:cs="宋体"/>
          <w:b/>
          <w:bCs/>
          <w:color w:val="auto"/>
          <w:sz w:val="24"/>
          <w:szCs w:val="24"/>
          <w:lang w:eastAsia="zh-CN"/>
        </w:rPr>
      </w:pPr>
      <w:r>
        <w:rPr>
          <w:rFonts w:hint="eastAsia" w:ascii="宋体" w:hAnsi="宋体" w:eastAsia="宋体" w:cs="宋体"/>
          <w:b/>
          <w:color w:val="auto"/>
          <w:sz w:val="24"/>
          <w:szCs w:val="24"/>
          <w:lang w:eastAsia="zh-CN"/>
        </w:rPr>
        <w:t>注：</w:t>
      </w:r>
      <w:r>
        <w:rPr>
          <w:rFonts w:hint="eastAsia" w:ascii="宋体" w:hAnsi="宋体" w:eastAsia="宋体" w:cs="宋体"/>
          <w:b/>
          <w:color w:val="auto"/>
          <w:spacing w:val="-5"/>
          <w:sz w:val="24"/>
          <w:szCs w:val="24"/>
          <w:lang w:eastAsia="zh-CN"/>
        </w:rPr>
        <w:t>以上为采购人最低要求，响应人必须全部满足或优于，否则视无效响应。</w:t>
      </w:r>
    </w:p>
    <w:p>
      <w:pPr>
        <w:widowControl w:val="0"/>
        <w:rPr>
          <w:vanish/>
          <w:color w:val="auto"/>
          <w:lang w:eastAsia="zh-CN"/>
        </w:rPr>
      </w:pPr>
      <w:bookmarkStart w:id="3" w:name="_GoBack"/>
      <w:bookmarkEnd w:id="3"/>
    </w:p>
    <w:sectPr>
      <w:footerReference r:id="rId3" w:type="default"/>
      <w:pgSz w:w="11906" w:h="16839"/>
      <w:pgMar w:top="1009" w:right="1310" w:bottom="1043" w:left="130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1" w:fontKey="{F8D3D269-4D14-4A46-A66F-A02015C04244}"/>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Wingdings 2">
    <w:panose1 w:val="05020102010507070707"/>
    <w:charset w:val="02"/>
    <w:family w:val="roman"/>
    <w:pitch w:val="default"/>
    <w:sig w:usb0="00000000" w:usb1="00000000" w:usb2="00000000" w:usb3="00000000" w:csb0="80000000"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0" name="文本框 1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zSVju0AAAAAUBAAAPAAAAAAAAAAEAIAAAACIAAABk&#10;cnMvZG93bnJldi54bWxQSwECFAAUAAAACACHTuJAx05YaQ4CAAALBAAADgAAAAAAAAABACAAAAAf&#10;AQAAZHJzL2Uyb0RvYy54bWxQSwUGAAAAAAYABgBZAQAAnw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57</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displayBackgroundShape w:val="1"/>
  <w:embedTrueTypeFonts/>
  <w:saveSubsetFonts/>
  <w:bordersDoNotSurroundHeader w:val="1"/>
  <w:bordersDoNotSurroundFooter w:val="1"/>
  <w:documentProtection w:enforcement="0"/>
  <w:defaultTabStop w:val="420"/>
  <w:noPunctuationKerning w:val="1"/>
  <w:characterSpacingControl w:val="doNotCompress"/>
  <w:compat>
    <w:spaceForUL/>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0005B4"/>
    <w:rsid w:val="000264AE"/>
    <w:rsid w:val="0003611A"/>
    <w:rsid w:val="00084D5D"/>
    <w:rsid w:val="000D553C"/>
    <w:rsid w:val="001113BD"/>
    <w:rsid w:val="00125A13"/>
    <w:rsid w:val="0016691F"/>
    <w:rsid w:val="001A41D7"/>
    <w:rsid w:val="001D427C"/>
    <w:rsid w:val="001E7E75"/>
    <w:rsid w:val="00204822"/>
    <w:rsid w:val="0022786D"/>
    <w:rsid w:val="00247343"/>
    <w:rsid w:val="002C120B"/>
    <w:rsid w:val="002C5252"/>
    <w:rsid w:val="002E34BE"/>
    <w:rsid w:val="003351F5"/>
    <w:rsid w:val="00355056"/>
    <w:rsid w:val="00372FC1"/>
    <w:rsid w:val="003A0844"/>
    <w:rsid w:val="003C775A"/>
    <w:rsid w:val="00420F92"/>
    <w:rsid w:val="00465F1B"/>
    <w:rsid w:val="004A1980"/>
    <w:rsid w:val="004A56F2"/>
    <w:rsid w:val="004A650F"/>
    <w:rsid w:val="004B33E0"/>
    <w:rsid w:val="004C1AFC"/>
    <w:rsid w:val="004E31D8"/>
    <w:rsid w:val="005374DD"/>
    <w:rsid w:val="00546DDB"/>
    <w:rsid w:val="0056653D"/>
    <w:rsid w:val="005A217F"/>
    <w:rsid w:val="006001A3"/>
    <w:rsid w:val="006217C2"/>
    <w:rsid w:val="0062525F"/>
    <w:rsid w:val="00627E50"/>
    <w:rsid w:val="00627F11"/>
    <w:rsid w:val="006308AB"/>
    <w:rsid w:val="006632F8"/>
    <w:rsid w:val="006A146E"/>
    <w:rsid w:val="006B3D42"/>
    <w:rsid w:val="00700EF1"/>
    <w:rsid w:val="007563C9"/>
    <w:rsid w:val="00763FF1"/>
    <w:rsid w:val="0079130C"/>
    <w:rsid w:val="007A0C75"/>
    <w:rsid w:val="007E738A"/>
    <w:rsid w:val="00827A5A"/>
    <w:rsid w:val="00844274"/>
    <w:rsid w:val="00847DE1"/>
    <w:rsid w:val="00851AD1"/>
    <w:rsid w:val="00864871"/>
    <w:rsid w:val="00874512"/>
    <w:rsid w:val="00882CA4"/>
    <w:rsid w:val="008D1308"/>
    <w:rsid w:val="009010F6"/>
    <w:rsid w:val="00904F87"/>
    <w:rsid w:val="00973B8D"/>
    <w:rsid w:val="009A3586"/>
    <w:rsid w:val="009B12F3"/>
    <w:rsid w:val="009B43D8"/>
    <w:rsid w:val="00AA448A"/>
    <w:rsid w:val="00AB62DD"/>
    <w:rsid w:val="00AB7C9E"/>
    <w:rsid w:val="00AD4FBC"/>
    <w:rsid w:val="00B01495"/>
    <w:rsid w:val="00B1394A"/>
    <w:rsid w:val="00B304CB"/>
    <w:rsid w:val="00B40CC7"/>
    <w:rsid w:val="00B42624"/>
    <w:rsid w:val="00BB224A"/>
    <w:rsid w:val="00BC0567"/>
    <w:rsid w:val="00BC14DA"/>
    <w:rsid w:val="00BC4CE9"/>
    <w:rsid w:val="00BC5384"/>
    <w:rsid w:val="00BF58EE"/>
    <w:rsid w:val="00C0156C"/>
    <w:rsid w:val="00C3243B"/>
    <w:rsid w:val="00C64189"/>
    <w:rsid w:val="00C64E48"/>
    <w:rsid w:val="00C77EA1"/>
    <w:rsid w:val="00CD47AB"/>
    <w:rsid w:val="00D1452C"/>
    <w:rsid w:val="00D61688"/>
    <w:rsid w:val="00D6521D"/>
    <w:rsid w:val="00D8709C"/>
    <w:rsid w:val="00DB373A"/>
    <w:rsid w:val="00DC0391"/>
    <w:rsid w:val="00DE4A19"/>
    <w:rsid w:val="00E01C2B"/>
    <w:rsid w:val="00E47DEA"/>
    <w:rsid w:val="00E72261"/>
    <w:rsid w:val="00E80370"/>
    <w:rsid w:val="00EA7D7A"/>
    <w:rsid w:val="00EE2B52"/>
    <w:rsid w:val="00EF40AC"/>
    <w:rsid w:val="00F0795E"/>
    <w:rsid w:val="00F249C7"/>
    <w:rsid w:val="00F561B8"/>
    <w:rsid w:val="00F623E8"/>
    <w:rsid w:val="00F72BE7"/>
    <w:rsid w:val="00FD20B7"/>
    <w:rsid w:val="010A29DC"/>
    <w:rsid w:val="014546DD"/>
    <w:rsid w:val="014707D5"/>
    <w:rsid w:val="0183453D"/>
    <w:rsid w:val="01A9154F"/>
    <w:rsid w:val="01C17C92"/>
    <w:rsid w:val="01F176F8"/>
    <w:rsid w:val="02073E67"/>
    <w:rsid w:val="02D011F1"/>
    <w:rsid w:val="02D84414"/>
    <w:rsid w:val="02E64D83"/>
    <w:rsid w:val="02F62DEB"/>
    <w:rsid w:val="03165668"/>
    <w:rsid w:val="032C1B81"/>
    <w:rsid w:val="0336275A"/>
    <w:rsid w:val="03A14F29"/>
    <w:rsid w:val="03C903E6"/>
    <w:rsid w:val="041C213F"/>
    <w:rsid w:val="04352637"/>
    <w:rsid w:val="044D1E30"/>
    <w:rsid w:val="0451447E"/>
    <w:rsid w:val="047D5198"/>
    <w:rsid w:val="04F64D19"/>
    <w:rsid w:val="05045C3C"/>
    <w:rsid w:val="05257DE5"/>
    <w:rsid w:val="052B325D"/>
    <w:rsid w:val="05447ECE"/>
    <w:rsid w:val="054933A7"/>
    <w:rsid w:val="05772565"/>
    <w:rsid w:val="05AB0237"/>
    <w:rsid w:val="05B774CD"/>
    <w:rsid w:val="05CC7E39"/>
    <w:rsid w:val="05D66BE0"/>
    <w:rsid w:val="05E64275"/>
    <w:rsid w:val="05F07017"/>
    <w:rsid w:val="062D088E"/>
    <w:rsid w:val="06500E91"/>
    <w:rsid w:val="06E94E42"/>
    <w:rsid w:val="073F20F3"/>
    <w:rsid w:val="075067E0"/>
    <w:rsid w:val="075134A1"/>
    <w:rsid w:val="07AE7CAF"/>
    <w:rsid w:val="07B94814"/>
    <w:rsid w:val="07EE250C"/>
    <w:rsid w:val="081F5E69"/>
    <w:rsid w:val="08313C41"/>
    <w:rsid w:val="08585DDB"/>
    <w:rsid w:val="086C26E0"/>
    <w:rsid w:val="08A915C9"/>
    <w:rsid w:val="08AF334C"/>
    <w:rsid w:val="08CB2A51"/>
    <w:rsid w:val="08D800EA"/>
    <w:rsid w:val="08F4242E"/>
    <w:rsid w:val="092B7C9F"/>
    <w:rsid w:val="093D11EF"/>
    <w:rsid w:val="094165A3"/>
    <w:rsid w:val="098A56BC"/>
    <w:rsid w:val="098C4275"/>
    <w:rsid w:val="099C3EDE"/>
    <w:rsid w:val="09A17C56"/>
    <w:rsid w:val="09D04097"/>
    <w:rsid w:val="0A2C4173"/>
    <w:rsid w:val="0A575D9F"/>
    <w:rsid w:val="0A5F7AD5"/>
    <w:rsid w:val="0A630BD7"/>
    <w:rsid w:val="0A6779EA"/>
    <w:rsid w:val="0AAA50E9"/>
    <w:rsid w:val="0AAF351F"/>
    <w:rsid w:val="0ABB6AF5"/>
    <w:rsid w:val="0AED3091"/>
    <w:rsid w:val="0B185698"/>
    <w:rsid w:val="0B1C57E6"/>
    <w:rsid w:val="0B500317"/>
    <w:rsid w:val="0B6E1EE8"/>
    <w:rsid w:val="0B7F1D68"/>
    <w:rsid w:val="0B8A6552"/>
    <w:rsid w:val="0B9C2CEA"/>
    <w:rsid w:val="0BA5688F"/>
    <w:rsid w:val="0BB9031B"/>
    <w:rsid w:val="0BC823BA"/>
    <w:rsid w:val="0BCE5A19"/>
    <w:rsid w:val="0BD0037E"/>
    <w:rsid w:val="0BD25EA5"/>
    <w:rsid w:val="0BD40DA4"/>
    <w:rsid w:val="0C027923"/>
    <w:rsid w:val="0C060244"/>
    <w:rsid w:val="0C832B66"/>
    <w:rsid w:val="0C923886"/>
    <w:rsid w:val="0CA5180B"/>
    <w:rsid w:val="0D1241E1"/>
    <w:rsid w:val="0D3F1705"/>
    <w:rsid w:val="0D7B409F"/>
    <w:rsid w:val="0DB63714"/>
    <w:rsid w:val="0DBF7C0D"/>
    <w:rsid w:val="0DCA3406"/>
    <w:rsid w:val="0DD809E2"/>
    <w:rsid w:val="0DE970BB"/>
    <w:rsid w:val="0E045967"/>
    <w:rsid w:val="0E0E108A"/>
    <w:rsid w:val="0E306947"/>
    <w:rsid w:val="0E3746E5"/>
    <w:rsid w:val="0EDD34DE"/>
    <w:rsid w:val="0F5B2655"/>
    <w:rsid w:val="0F8346BB"/>
    <w:rsid w:val="0FAD17DF"/>
    <w:rsid w:val="0FCE72CB"/>
    <w:rsid w:val="0FDC5544"/>
    <w:rsid w:val="101B7199"/>
    <w:rsid w:val="107F306E"/>
    <w:rsid w:val="10D31145"/>
    <w:rsid w:val="10FD2C02"/>
    <w:rsid w:val="1102547E"/>
    <w:rsid w:val="110272DF"/>
    <w:rsid w:val="110C3C07"/>
    <w:rsid w:val="11292A0B"/>
    <w:rsid w:val="114948FA"/>
    <w:rsid w:val="116457F1"/>
    <w:rsid w:val="11AF263B"/>
    <w:rsid w:val="11F16D5E"/>
    <w:rsid w:val="12653C2C"/>
    <w:rsid w:val="126757A9"/>
    <w:rsid w:val="12744159"/>
    <w:rsid w:val="128F2E95"/>
    <w:rsid w:val="129C0FBA"/>
    <w:rsid w:val="12E75E98"/>
    <w:rsid w:val="12EA54DC"/>
    <w:rsid w:val="132A4818"/>
    <w:rsid w:val="1360648C"/>
    <w:rsid w:val="136A730B"/>
    <w:rsid w:val="139D0552"/>
    <w:rsid w:val="13D54C91"/>
    <w:rsid w:val="14080F7F"/>
    <w:rsid w:val="14290F74"/>
    <w:rsid w:val="142A438D"/>
    <w:rsid w:val="143E0B0F"/>
    <w:rsid w:val="14672E51"/>
    <w:rsid w:val="14B44CE1"/>
    <w:rsid w:val="1538599A"/>
    <w:rsid w:val="158B0678"/>
    <w:rsid w:val="15936886"/>
    <w:rsid w:val="15E248D7"/>
    <w:rsid w:val="15E25A94"/>
    <w:rsid w:val="16124D14"/>
    <w:rsid w:val="161650FA"/>
    <w:rsid w:val="1636761E"/>
    <w:rsid w:val="16453E6E"/>
    <w:rsid w:val="16717F0B"/>
    <w:rsid w:val="16991702"/>
    <w:rsid w:val="16A356CC"/>
    <w:rsid w:val="16F60ABB"/>
    <w:rsid w:val="173418E5"/>
    <w:rsid w:val="17342109"/>
    <w:rsid w:val="173B5246"/>
    <w:rsid w:val="17780248"/>
    <w:rsid w:val="17800EAB"/>
    <w:rsid w:val="17832749"/>
    <w:rsid w:val="178B10C5"/>
    <w:rsid w:val="179F0C8E"/>
    <w:rsid w:val="17D11706"/>
    <w:rsid w:val="17D60801"/>
    <w:rsid w:val="180C6BE2"/>
    <w:rsid w:val="181466E0"/>
    <w:rsid w:val="181B0E9A"/>
    <w:rsid w:val="182E6B2B"/>
    <w:rsid w:val="18441ED8"/>
    <w:rsid w:val="186009B5"/>
    <w:rsid w:val="18846779"/>
    <w:rsid w:val="18C97898"/>
    <w:rsid w:val="18E611E1"/>
    <w:rsid w:val="18E84F59"/>
    <w:rsid w:val="18F643B3"/>
    <w:rsid w:val="18F96020"/>
    <w:rsid w:val="18FF3ABD"/>
    <w:rsid w:val="191A097A"/>
    <w:rsid w:val="19241D0A"/>
    <w:rsid w:val="193E2DCB"/>
    <w:rsid w:val="196206F1"/>
    <w:rsid w:val="1990114D"/>
    <w:rsid w:val="19B60034"/>
    <w:rsid w:val="19CC0E30"/>
    <w:rsid w:val="19F33BB6"/>
    <w:rsid w:val="1A071B72"/>
    <w:rsid w:val="1A0A1BB9"/>
    <w:rsid w:val="1A0F5E90"/>
    <w:rsid w:val="1A4C3396"/>
    <w:rsid w:val="1A6B3399"/>
    <w:rsid w:val="1AC905BF"/>
    <w:rsid w:val="1ACB761C"/>
    <w:rsid w:val="1AF44F33"/>
    <w:rsid w:val="1B083691"/>
    <w:rsid w:val="1B4548E5"/>
    <w:rsid w:val="1B965141"/>
    <w:rsid w:val="1BCF2401"/>
    <w:rsid w:val="1BFD6F6E"/>
    <w:rsid w:val="1C71170A"/>
    <w:rsid w:val="1C9E6BD6"/>
    <w:rsid w:val="1CB6711D"/>
    <w:rsid w:val="1CCC06EE"/>
    <w:rsid w:val="1CCC6940"/>
    <w:rsid w:val="1CD001DE"/>
    <w:rsid w:val="1D085BCA"/>
    <w:rsid w:val="1D182C48"/>
    <w:rsid w:val="1D74500E"/>
    <w:rsid w:val="1D7539C6"/>
    <w:rsid w:val="1DC4291E"/>
    <w:rsid w:val="1E562965"/>
    <w:rsid w:val="1E7B23CC"/>
    <w:rsid w:val="1E820013"/>
    <w:rsid w:val="1EBD0C36"/>
    <w:rsid w:val="1ED1023E"/>
    <w:rsid w:val="1ED84340"/>
    <w:rsid w:val="1F1B6FE3"/>
    <w:rsid w:val="1F276888"/>
    <w:rsid w:val="1F6B239A"/>
    <w:rsid w:val="1F7E7FC4"/>
    <w:rsid w:val="1FAB6CE1"/>
    <w:rsid w:val="1FAD2A59"/>
    <w:rsid w:val="1FD47FE6"/>
    <w:rsid w:val="200D1749"/>
    <w:rsid w:val="20254CE5"/>
    <w:rsid w:val="20650120"/>
    <w:rsid w:val="20851D82"/>
    <w:rsid w:val="209A6EE6"/>
    <w:rsid w:val="20A8088C"/>
    <w:rsid w:val="20E40660"/>
    <w:rsid w:val="21097A35"/>
    <w:rsid w:val="211D776A"/>
    <w:rsid w:val="213A566A"/>
    <w:rsid w:val="21AB23DB"/>
    <w:rsid w:val="22072FB3"/>
    <w:rsid w:val="22256EC5"/>
    <w:rsid w:val="22791318"/>
    <w:rsid w:val="22C83AD9"/>
    <w:rsid w:val="22FD3CF7"/>
    <w:rsid w:val="23056708"/>
    <w:rsid w:val="23274F5A"/>
    <w:rsid w:val="235356C5"/>
    <w:rsid w:val="23746473"/>
    <w:rsid w:val="23994199"/>
    <w:rsid w:val="23A635FF"/>
    <w:rsid w:val="23B337F3"/>
    <w:rsid w:val="23C04A55"/>
    <w:rsid w:val="23C06F33"/>
    <w:rsid w:val="23C860B3"/>
    <w:rsid w:val="24565806"/>
    <w:rsid w:val="24575689"/>
    <w:rsid w:val="24BE361B"/>
    <w:rsid w:val="24C10BC5"/>
    <w:rsid w:val="25823163"/>
    <w:rsid w:val="25E2090D"/>
    <w:rsid w:val="25E5790C"/>
    <w:rsid w:val="25F37706"/>
    <w:rsid w:val="26715372"/>
    <w:rsid w:val="267D73F6"/>
    <w:rsid w:val="268838E2"/>
    <w:rsid w:val="26CE2973"/>
    <w:rsid w:val="26DA723D"/>
    <w:rsid w:val="26F15921"/>
    <w:rsid w:val="27457A1B"/>
    <w:rsid w:val="2762237B"/>
    <w:rsid w:val="27711B25"/>
    <w:rsid w:val="279C2686"/>
    <w:rsid w:val="27ED701E"/>
    <w:rsid w:val="27EF1D1C"/>
    <w:rsid w:val="27FF2A7A"/>
    <w:rsid w:val="280660E7"/>
    <w:rsid w:val="28702875"/>
    <w:rsid w:val="28A0273D"/>
    <w:rsid w:val="28BC726A"/>
    <w:rsid w:val="291013D4"/>
    <w:rsid w:val="2939710B"/>
    <w:rsid w:val="295B3E31"/>
    <w:rsid w:val="295C4868"/>
    <w:rsid w:val="29D87370"/>
    <w:rsid w:val="29FA4AED"/>
    <w:rsid w:val="2A0C7F6A"/>
    <w:rsid w:val="2A222295"/>
    <w:rsid w:val="2A427D97"/>
    <w:rsid w:val="2A46584F"/>
    <w:rsid w:val="2AC1385C"/>
    <w:rsid w:val="2AC967C3"/>
    <w:rsid w:val="2ADE61BC"/>
    <w:rsid w:val="2ADF205D"/>
    <w:rsid w:val="2B064FB4"/>
    <w:rsid w:val="2B3B06C4"/>
    <w:rsid w:val="2BD11743"/>
    <w:rsid w:val="2BDA2720"/>
    <w:rsid w:val="2BDB047B"/>
    <w:rsid w:val="2BE93C1A"/>
    <w:rsid w:val="2C3342E6"/>
    <w:rsid w:val="2C3B7D1E"/>
    <w:rsid w:val="2C695F59"/>
    <w:rsid w:val="2C7A0E10"/>
    <w:rsid w:val="2C9C00DD"/>
    <w:rsid w:val="2CA90A4C"/>
    <w:rsid w:val="2CE00DF7"/>
    <w:rsid w:val="2CF55C1F"/>
    <w:rsid w:val="2D196A9E"/>
    <w:rsid w:val="2D404F0C"/>
    <w:rsid w:val="2D4B565F"/>
    <w:rsid w:val="2D524B50"/>
    <w:rsid w:val="2D665E74"/>
    <w:rsid w:val="2D770C3D"/>
    <w:rsid w:val="2D99286E"/>
    <w:rsid w:val="2DA95DA3"/>
    <w:rsid w:val="2DAA05D8"/>
    <w:rsid w:val="2DB52697"/>
    <w:rsid w:val="2DF41412"/>
    <w:rsid w:val="2E234DC0"/>
    <w:rsid w:val="2E2602C6"/>
    <w:rsid w:val="2E2843FB"/>
    <w:rsid w:val="2E575FCC"/>
    <w:rsid w:val="2E5F5866"/>
    <w:rsid w:val="2E6611AB"/>
    <w:rsid w:val="2E693B84"/>
    <w:rsid w:val="2E7120A5"/>
    <w:rsid w:val="2E7D3F3E"/>
    <w:rsid w:val="2EB108A7"/>
    <w:rsid w:val="2EEF688A"/>
    <w:rsid w:val="2F1523C9"/>
    <w:rsid w:val="2F483F47"/>
    <w:rsid w:val="2F7866FD"/>
    <w:rsid w:val="2F912348"/>
    <w:rsid w:val="2FB63E0A"/>
    <w:rsid w:val="2FBC4E12"/>
    <w:rsid w:val="2FC17E5A"/>
    <w:rsid w:val="30093CDB"/>
    <w:rsid w:val="30481513"/>
    <w:rsid w:val="305E1890"/>
    <w:rsid w:val="307956ED"/>
    <w:rsid w:val="30A610B9"/>
    <w:rsid w:val="30AE6631"/>
    <w:rsid w:val="312A215B"/>
    <w:rsid w:val="31526CE7"/>
    <w:rsid w:val="31796C3F"/>
    <w:rsid w:val="317B5B3D"/>
    <w:rsid w:val="318178A1"/>
    <w:rsid w:val="319C0B7F"/>
    <w:rsid w:val="31AA41C8"/>
    <w:rsid w:val="31C55E0D"/>
    <w:rsid w:val="31ED0CE4"/>
    <w:rsid w:val="31FC3DDC"/>
    <w:rsid w:val="31FE5396"/>
    <w:rsid w:val="3275245C"/>
    <w:rsid w:val="327F6CA0"/>
    <w:rsid w:val="329A3D4F"/>
    <w:rsid w:val="32AC384F"/>
    <w:rsid w:val="32BE2A91"/>
    <w:rsid w:val="32F3467E"/>
    <w:rsid w:val="33104575"/>
    <w:rsid w:val="33136C1F"/>
    <w:rsid w:val="335214F5"/>
    <w:rsid w:val="33F26834"/>
    <w:rsid w:val="34126ED7"/>
    <w:rsid w:val="3417273F"/>
    <w:rsid w:val="34180991"/>
    <w:rsid w:val="34205B4A"/>
    <w:rsid w:val="342F5CDB"/>
    <w:rsid w:val="34325184"/>
    <w:rsid w:val="34B601B7"/>
    <w:rsid w:val="350C6E7D"/>
    <w:rsid w:val="353008D5"/>
    <w:rsid w:val="35366BF5"/>
    <w:rsid w:val="354471D4"/>
    <w:rsid w:val="35A969B2"/>
    <w:rsid w:val="35D71462"/>
    <w:rsid w:val="36597105"/>
    <w:rsid w:val="367128E9"/>
    <w:rsid w:val="36BA5D2F"/>
    <w:rsid w:val="36C64D45"/>
    <w:rsid w:val="36F17277"/>
    <w:rsid w:val="37321B46"/>
    <w:rsid w:val="377D6D5D"/>
    <w:rsid w:val="37CF537F"/>
    <w:rsid w:val="37CF65F0"/>
    <w:rsid w:val="37D315C9"/>
    <w:rsid w:val="37DA7D0B"/>
    <w:rsid w:val="37F963E3"/>
    <w:rsid w:val="381476C1"/>
    <w:rsid w:val="387D77EF"/>
    <w:rsid w:val="38C509BB"/>
    <w:rsid w:val="38D62BC9"/>
    <w:rsid w:val="39137E32"/>
    <w:rsid w:val="392E61D5"/>
    <w:rsid w:val="39D30F8F"/>
    <w:rsid w:val="39D96E5F"/>
    <w:rsid w:val="3A3C3FDD"/>
    <w:rsid w:val="3A3C4CAD"/>
    <w:rsid w:val="3A6B125E"/>
    <w:rsid w:val="3A745061"/>
    <w:rsid w:val="3AA06FEA"/>
    <w:rsid w:val="3AAD7959"/>
    <w:rsid w:val="3AD00B10"/>
    <w:rsid w:val="3AF85078"/>
    <w:rsid w:val="3B0752BB"/>
    <w:rsid w:val="3B0A4DAB"/>
    <w:rsid w:val="3B163B4E"/>
    <w:rsid w:val="3B2319C9"/>
    <w:rsid w:val="3B7E51F7"/>
    <w:rsid w:val="3B8811A4"/>
    <w:rsid w:val="3BAC10D3"/>
    <w:rsid w:val="3BB968F3"/>
    <w:rsid w:val="3BDC6748"/>
    <w:rsid w:val="3C0F220A"/>
    <w:rsid w:val="3C131A3E"/>
    <w:rsid w:val="3C1C6307"/>
    <w:rsid w:val="3C504A40"/>
    <w:rsid w:val="3CB902E7"/>
    <w:rsid w:val="3D0165AF"/>
    <w:rsid w:val="3D36354C"/>
    <w:rsid w:val="3D74475E"/>
    <w:rsid w:val="3D7570E2"/>
    <w:rsid w:val="3D7644BF"/>
    <w:rsid w:val="3D7F2D19"/>
    <w:rsid w:val="3D881B77"/>
    <w:rsid w:val="3DBB413B"/>
    <w:rsid w:val="3DC93A44"/>
    <w:rsid w:val="3DD1570D"/>
    <w:rsid w:val="3DDA0C16"/>
    <w:rsid w:val="3DFD3CF4"/>
    <w:rsid w:val="3E1F3CAD"/>
    <w:rsid w:val="3E281C07"/>
    <w:rsid w:val="3E292C29"/>
    <w:rsid w:val="3E4141B1"/>
    <w:rsid w:val="3E6C06B0"/>
    <w:rsid w:val="3E78615B"/>
    <w:rsid w:val="3E7C1411"/>
    <w:rsid w:val="3E7E5894"/>
    <w:rsid w:val="3E8E35FE"/>
    <w:rsid w:val="3E9B49B8"/>
    <w:rsid w:val="3EBE2135"/>
    <w:rsid w:val="3F07755C"/>
    <w:rsid w:val="3F19434D"/>
    <w:rsid w:val="3F3D2CE8"/>
    <w:rsid w:val="3F650EDC"/>
    <w:rsid w:val="3F984C13"/>
    <w:rsid w:val="3FB3412B"/>
    <w:rsid w:val="3FB47094"/>
    <w:rsid w:val="3FE1257F"/>
    <w:rsid w:val="403F2E01"/>
    <w:rsid w:val="40583C67"/>
    <w:rsid w:val="40704048"/>
    <w:rsid w:val="407231D7"/>
    <w:rsid w:val="41082FF8"/>
    <w:rsid w:val="41465248"/>
    <w:rsid w:val="41692EE8"/>
    <w:rsid w:val="41984EBF"/>
    <w:rsid w:val="41E3630C"/>
    <w:rsid w:val="425E679A"/>
    <w:rsid w:val="426331AE"/>
    <w:rsid w:val="42A16B6B"/>
    <w:rsid w:val="42B20B36"/>
    <w:rsid w:val="42C13CCE"/>
    <w:rsid w:val="42FB66C8"/>
    <w:rsid w:val="43192944"/>
    <w:rsid w:val="43394480"/>
    <w:rsid w:val="43865CFC"/>
    <w:rsid w:val="43963680"/>
    <w:rsid w:val="43A46290"/>
    <w:rsid w:val="445E7654"/>
    <w:rsid w:val="446B4509"/>
    <w:rsid w:val="44896D41"/>
    <w:rsid w:val="448B4C1F"/>
    <w:rsid w:val="44AC2D49"/>
    <w:rsid w:val="44B21E06"/>
    <w:rsid w:val="44BA7230"/>
    <w:rsid w:val="44CB55AC"/>
    <w:rsid w:val="44CE27B1"/>
    <w:rsid w:val="44DD2D38"/>
    <w:rsid w:val="44DE0126"/>
    <w:rsid w:val="453A628D"/>
    <w:rsid w:val="45402EBF"/>
    <w:rsid w:val="454B2248"/>
    <w:rsid w:val="459B1577"/>
    <w:rsid w:val="45B61DB8"/>
    <w:rsid w:val="45D70058"/>
    <w:rsid w:val="45EB1CCC"/>
    <w:rsid w:val="45EE0F95"/>
    <w:rsid w:val="45F42F70"/>
    <w:rsid w:val="45F85626"/>
    <w:rsid w:val="46731A57"/>
    <w:rsid w:val="46801142"/>
    <w:rsid w:val="4692195B"/>
    <w:rsid w:val="46C605B2"/>
    <w:rsid w:val="46CA60E7"/>
    <w:rsid w:val="46E60E0B"/>
    <w:rsid w:val="46FA073D"/>
    <w:rsid w:val="46FA3F26"/>
    <w:rsid w:val="470E15D4"/>
    <w:rsid w:val="47234C6F"/>
    <w:rsid w:val="474D04FA"/>
    <w:rsid w:val="47664050"/>
    <w:rsid w:val="478F3674"/>
    <w:rsid w:val="47906273"/>
    <w:rsid w:val="47E36768"/>
    <w:rsid w:val="47F0529D"/>
    <w:rsid w:val="48643D4D"/>
    <w:rsid w:val="487D7E3E"/>
    <w:rsid w:val="488533D9"/>
    <w:rsid w:val="48967192"/>
    <w:rsid w:val="489D725F"/>
    <w:rsid w:val="48B87BF5"/>
    <w:rsid w:val="48BD520B"/>
    <w:rsid w:val="48C67C58"/>
    <w:rsid w:val="492265CB"/>
    <w:rsid w:val="49291D26"/>
    <w:rsid w:val="4949445D"/>
    <w:rsid w:val="49B51BAE"/>
    <w:rsid w:val="49B614F4"/>
    <w:rsid w:val="49BE123B"/>
    <w:rsid w:val="4A0B01F8"/>
    <w:rsid w:val="4A2268D5"/>
    <w:rsid w:val="4A230338"/>
    <w:rsid w:val="4A442B3D"/>
    <w:rsid w:val="4A5E47CC"/>
    <w:rsid w:val="4A842484"/>
    <w:rsid w:val="4A882A4B"/>
    <w:rsid w:val="4A884CC6"/>
    <w:rsid w:val="4AA55BC3"/>
    <w:rsid w:val="4ABC7D85"/>
    <w:rsid w:val="4AEC6877"/>
    <w:rsid w:val="4B2477C4"/>
    <w:rsid w:val="4B79165E"/>
    <w:rsid w:val="4B83595C"/>
    <w:rsid w:val="4B8D5369"/>
    <w:rsid w:val="4B955442"/>
    <w:rsid w:val="4BBD5522"/>
    <w:rsid w:val="4BF021AE"/>
    <w:rsid w:val="4C0F5D7E"/>
    <w:rsid w:val="4C2757BD"/>
    <w:rsid w:val="4C285091"/>
    <w:rsid w:val="4C684928"/>
    <w:rsid w:val="4CEC044C"/>
    <w:rsid w:val="4D07114B"/>
    <w:rsid w:val="4D100F65"/>
    <w:rsid w:val="4D2717ED"/>
    <w:rsid w:val="4D621716"/>
    <w:rsid w:val="4D954046"/>
    <w:rsid w:val="4DAB1AD6"/>
    <w:rsid w:val="4DD64E50"/>
    <w:rsid w:val="4DD958BA"/>
    <w:rsid w:val="4DE80F7C"/>
    <w:rsid w:val="4DEC6284"/>
    <w:rsid w:val="4DFF3E40"/>
    <w:rsid w:val="4E060F58"/>
    <w:rsid w:val="4E202AF3"/>
    <w:rsid w:val="4E8C06FB"/>
    <w:rsid w:val="4E9D2106"/>
    <w:rsid w:val="4F203B82"/>
    <w:rsid w:val="4F241EC9"/>
    <w:rsid w:val="4F282F37"/>
    <w:rsid w:val="4FAA2095"/>
    <w:rsid w:val="4FB04984"/>
    <w:rsid w:val="4FC72EBA"/>
    <w:rsid w:val="4FEE57DE"/>
    <w:rsid w:val="4FF52C71"/>
    <w:rsid w:val="503A7A08"/>
    <w:rsid w:val="50447485"/>
    <w:rsid w:val="5055041F"/>
    <w:rsid w:val="506C7D14"/>
    <w:rsid w:val="509E3ED1"/>
    <w:rsid w:val="50BC00F7"/>
    <w:rsid w:val="50EC48E0"/>
    <w:rsid w:val="510065DD"/>
    <w:rsid w:val="514E559A"/>
    <w:rsid w:val="515661D0"/>
    <w:rsid w:val="51691F9D"/>
    <w:rsid w:val="519E3B73"/>
    <w:rsid w:val="51B64EEE"/>
    <w:rsid w:val="51C63383"/>
    <w:rsid w:val="51CE2237"/>
    <w:rsid w:val="51E92988"/>
    <w:rsid w:val="522B0134"/>
    <w:rsid w:val="5238214A"/>
    <w:rsid w:val="528312E8"/>
    <w:rsid w:val="52B50FFA"/>
    <w:rsid w:val="52C04276"/>
    <w:rsid w:val="52C34CFF"/>
    <w:rsid w:val="52CB0C33"/>
    <w:rsid w:val="52D23FA9"/>
    <w:rsid w:val="52D675F5"/>
    <w:rsid w:val="52E468A6"/>
    <w:rsid w:val="52E8669F"/>
    <w:rsid w:val="530F22F4"/>
    <w:rsid w:val="53186936"/>
    <w:rsid w:val="531F42E7"/>
    <w:rsid w:val="535F3A8F"/>
    <w:rsid w:val="5391176E"/>
    <w:rsid w:val="53AA5D25"/>
    <w:rsid w:val="53D6797D"/>
    <w:rsid w:val="541D1254"/>
    <w:rsid w:val="544256CC"/>
    <w:rsid w:val="544A6647"/>
    <w:rsid w:val="54660E4D"/>
    <w:rsid w:val="54815451"/>
    <w:rsid w:val="54824C71"/>
    <w:rsid w:val="54BC690A"/>
    <w:rsid w:val="54FD5330"/>
    <w:rsid w:val="55132EB9"/>
    <w:rsid w:val="552F123F"/>
    <w:rsid w:val="55E101CF"/>
    <w:rsid w:val="566B62A7"/>
    <w:rsid w:val="567244B1"/>
    <w:rsid w:val="5698153C"/>
    <w:rsid w:val="56AD697C"/>
    <w:rsid w:val="56B8447F"/>
    <w:rsid w:val="56CE0C2A"/>
    <w:rsid w:val="56E5591B"/>
    <w:rsid w:val="56E73AEE"/>
    <w:rsid w:val="574D6EE5"/>
    <w:rsid w:val="575B547C"/>
    <w:rsid w:val="57631674"/>
    <w:rsid w:val="579A3366"/>
    <w:rsid w:val="57A500D0"/>
    <w:rsid w:val="57C351F2"/>
    <w:rsid w:val="57C5BE98"/>
    <w:rsid w:val="57D37FDB"/>
    <w:rsid w:val="57F34730"/>
    <w:rsid w:val="580F71F2"/>
    <w:rsid w:val="58234D9B"/>
    <w:rsid w:val="58532224"/>
    <w:rsid w:val="585968FF"/>
    <w:rsid w:val="586903C5"/>
    <w:rsid w:val="58967F72"/>
    <w:rsid w:val="58B06F1C"/>
    <w:rsid w:val="58D81BED"/>
    <w:rsid w:val="59215342"/>
    <w:rsid w:val="59226983"/>
    <w:rsid w:val="593212FE"/>
    <w:rsid w:val="59590F80"/>
    <w:rsid w:val="598558D1"/>
    <w:rsid w:val="59A909E1"/>
    <w:rsid w:val="59BC7C61"/>
    <w:rsid w:val="59C3464B"/>
    <w:rsid w:val="59DE2BBE"/>
    <w:rsid w:val="5A0A783D"/>
    <w:rsid w:val="5A410A6F"/>
    <w:rsid w:val="5A4C2893"/>
    <w:rsid w:val="5A9655C2"/>
    <w:rsid w:val="5AA25DC7"/>
    <w:rsid w:val="5ADC5A6C"/>
    <w:rsid w:val="5AF47F84"/>
    <w:rsid w:val="5B2B0B23"/>
    <w:rsid w:val="5B3A093D"/>
    <w:rsid w:val="5B9462A0"/>
    <w:rsid w:val="5B9D00F7"/>
    <w:rsid w:val="5BB71F8E"/>
    <w:rsid w:val="5BB75AA0"/>
    <w:rsid w:val="5C037BBA"/>
    <w:rsid w:val="5C65447A"/>
    <w:rsid w:val="5CC62662"/>
    <w:rsid w:val="5CDA4186"/>
    <w:rsid w:val="5CE05C01"/>
    <w:rsid w:val="5D406189"/>
    <w:rsid w:val="5D6879E4"/>
    <w:rsid w:val="5DD20F4D"/>
    <w:rsid w:val="5E171218"/>
    <w:rsid w:val="5E7718F3"/>
    <w:rsid w:val="5E830269"/>
    <w:rsid w:val="5E8C7702"/>
    <w:rsid w:val="5EEC5CA6"/>
    <w:rsid w:val="5F096FA4"/>
    <w:rsid w:val="5F117C07"/>
    <w:rsid w:val="5F8B5C0B"/>
    <w:rsid w:val="5F97635E"/>
    <w:rsid w:val="5FBC75B4"/>
    <w:rsid w:val="5FE055B8"/>
    <w:rsid w:val="60106BB8"/>
    <w:rsid w:val="601654D5"/>
    <w:rsid w:val="608F7035"/>
    <w:rsid w:val="60D97776"/>
    <w:rsid w:val="60E02D11"/>
    <w:rsid w:val="60E92BEA"/>
    <w:rsid w:val="611C2FBF"/>
    <w:rsid w:val="6135778B"/>
    <w:rsid w:val="613D03AF"/>
    <w:rsid w:val="61551E9C"/>
    <w:rsid w:val="617C5039"/>
    <w:rsid w:val="617C580C"/>
    <w:rsid w:val="61AC11C2"/>
    <w:rsid w:val="61AF3D86"/>
    <w:rsid w:val="61DD642F"/>
    <w:rsid w:val="622149A9"/>
    <w:rsid w:val="623A2698"/>
    <w:rsid w:val="625247BE"/>
    <w:rsid w:val="62815E02"/>
    <w:rsid w:val="62840C9B"/>
    <w:rsid w:val="6291178B"/>
    <w:rsid w:val="62932D27"/>
    <w:rsid w:val="629D3C8C"/>
    <w:rsid w:val="62E53885"/>
    <w:rsid w:val="631877B6"/>
    <w:rsid w:val="6329237C"/>
    <w:rsid w:val="63402869"/>
    <w:rsid w:val="63753EA0"/>
    <w:rsid w:val="63923347"/>
    <w:rsid w:val="63A60D41"/>
    <w:rsid w:val="63AB23D8"/>
    <w:rsid w:val="63C45248"/>
    <w:rsid w:val="63C6035F"/>
    <w:rsid w:val="64045B99"/>
    <w:rsid w:val="640A4C33"/>
    <w:rsid w:val="649A1D1D"/>
    <w:rsid w:val="64B20D48"/>
    <w:rsid w:val="64BC23C3"/>
    <w:rsid w:val="64C2203D"/>
    <w:rsid w:val="64CF0348"/>
    <w:rsid w:val="64E04304"/>
    <w:rsid w:val="653F2EC9"/>
    <w:rsid w:val="65646CE3"/>
    <w:rsid w:val="65673F4B"/>
    <w:rsid w:val="656E190F"/>
    <w:rsid w:val="659B022A"/>
    <w:rsid w:val="659B691E"/>
    <w:rsid w:val="65D242C5"/>
    <w:rsid w:val="65F10142"/>
    <w:rsid w:val="66061B48"/>
    <w:rsid w:val="66124991"/>
    <w:rsid w:val="661B3DAC"/>
    <w:rsid w:val="66391FE9"/>
    <w:rsid w:val="66487257"/>
    <w:rsid w:val="66B3558D"/>
    <w:rsid w:val="6707201B"/>
    <w:rsid w:val="671A4B07"/>
    <w:rsid w:val="674D0302"/>
    <w:rsid w:val="676E3E49"/>
    <w:rsid w:val="67C8128B"/>
    <w:rsid w:val="67D2438B"/>
    <w:rsid w:val="680E73DA"/>
    <w:rsid w:val="682E182A"/>
    <w:rsid w:val="68407331"/>
    <w:rsid w:val="68B46274"/>
    <w:rsid w:val="68CB4D5A"/>
    <w:rsid w:val="68D47A7B"/>
    <w:rsid w:val="68DF193E"/>
    <w:rsid w:val="68E84E3F"/>
    <w:rsid w:val="68FC2D37"/>
    <w:rsid w:val="691B0A9F"/>
    <w:rsid w:val="69455133"/>
    <w:rsid w:val="695D23C7"/>
    <w:rsid w:val="697649DB"/>
    <w:rsid w:val="69CE10E5"/>
    <w:rsid w:val="69E45CAE"/>
    <w:rsid w:val="6A044377"/>
    <w:rsid w:val="6A1F767C"/>
    <w:rsid w:val="6A701523"/>
    <w:rsid w:val="6A723C50"/>
    <w:rsid w:val="6A75729C"/>
    <w:rsid w:val="6B164DCC"/>
    <w:rsid w:val="6B2D62D6"/>
    <w:rsid w:val="6B425E84"/>
    <w:rsid w:val="6BC22AA0"/>
    <w:rsid w:val="6BDD42B9"/>
    <w:rsid w:val="6BDF1C87"/>
    <w:rsid w:val="6BF93600"/>
    <w:rsid w:val="6C085287"/>
    <w:rsid w:val="6C401523"/>
    <w:rsid w:val="6C545490"/>
    <w:rsid w:val="6CD00EA6"/>
    <w:rsid w:val="6CE6131C"/>
    <w:rsid w:val="6D0A4613"/>
    <w:rsid w:val="6D313420"/>
    <w:rsid w:val="6D321474"/>
    <w:rsid w:val="6D3E14FF"/>
    <w:rsid w:val="6D8D0DA1"/>
    <w:rsid w:val="6DDD5A51"/>
    <w:rsid w:val="6DE51FC5"/>
    <w:rsid w:val="6E1E008B"/>
    <w:rsid w:val="6E3C32A1"/>
    <w:rsid w:val="6E646681"/>
    <w:rsid w:val="6E850527"/>
    <w:rsid w:val="6EA15698"/>
    <w:rsid w:val="6EA231BA"/>
    <w:rsid w:val="6ECD58F9"/>
    <w:rsid w:val="6EFF4D4C"/>
    <w:rsid w:val="6F0A08FB"/>
    <w:rsid w:val="6F0E7CBF"/>
    <w:rsid w:val="6F3C6EA4"/>
    <w:rsid w:val="6F5568C5"/>
    <w:rsid w:val="6F566167"/>
    <w:rsid w:val="6F7E0AE1"/>
    <w:rsid w:val="6F917034"/>
    <w:rsid w:val="6F97449F"/>
    <w:rsid w:val="6FA523D2"/>
    <w:rsid w:val="6FB1521A"/>
    <w:rsid w:val="6FBB02BA"/>
    <w:rsid w:val="6FCF7E4E"/>
    <w:rsid w:val="701045B5"/>
    <w:rsid w:val="703D37EB"/>
    <w:rsid w:val="706F478E"/>
    <w:rsid w:val="7073427E"/>
    <w:rsid w:val="7081587C"/>
    <w:rsid w:val="70874686"/>
    <w:rsid w:val="70D13AF1"/>
    <w:rsid w:val="70F573CC"/>
    <w:rsid w:val="712D6B22"/>
    <w:rsid w:val="715B4B81"/>
    <w:rsid w:val="71724535"/>
    <w:rsid w:val="71D252FF"/>
    <w:rsid w:val="71D8533B"/>
    <w:rsid w:val="72606251"/>
    <w:rsid w:val="727E31D8"/>
    <w:rsid w:val="72851CAC"/>
    <w:rsid w:val="72A41B58"/>
    <w:rsid w:val="7301390F"/>
    <w:rsid w:val="73335AB7"/>
    <w:rsid w:val="734556C0"/>
    <w:rsid w:val="73611C77"/>
    <w:rsid w:val="73683E42"/>
    <w:rsid w:val="739F35DC"/>
    <w:rsid w:val="73B07EB2"/>
    <w:rsid w:val="73CF1BB8"/>
    <w:rsid w:val="73ED585D"/>
    <w:rsid w:val="73F21E51"/>
    <w:rsid w:val="73FC265C"/>
    <w:rsid w:val="740262FD"/>
    <w:rsid w:val="74143FCA"/>
    <w:rsid w:val="741E6BF6"/>
    <w:rsid w:val="742C2613"/>
    <w:rsid w:val="743261FE"/>
    <w:rsid w:val="747405C4"/>
    <w:rsid w:val="74885165"/>
    <w:rsid w:val="74A715D2"/>
    <w:rsid w:val="74E26C97"/>
    <w:rsid w:val="75024A41"/>
    <w:rsid w:val="75084176"/>
    <w:rsid w:val="75483314"/>
    <w:rsid w:val="757226DA"/>
    <w:rsid w:val="757A7E5C"/>
    <w:rsid w:val="757E794D"/>
    <w:rsid w:val="759A04FF"/>
    <w:rsid w:val="75DD81E3"/>
    <w:rsid w:val="75FA49E1"/>
    <w:rsid w:val="761E0576"/>
    <w:rsid w:val="768C7E47"/>
    <w:rsid w:val="76D4359C"/>
    <w:rsid w:val="76D56593"/>
    <w:rsid w:val="77255646"/>
    <w:rsid w:val="77630FAB"/>
    <w:rsid w:val="776A2771"/>
    <w:rsid w:val="77B41C25"/>
    <w:rsid w:val="77EA751B"/>
    <w:rsid w:val="782A5B6A"/>
    <w:rsid w:val="78302D60"/>
    <w:rsid w:val="78463DBE"/>
    <w:rsid w:val="785A4732"/>
    <w:rsid w:val="78B537F0"/>
    <w:rsid w:val="78BA61D2"/>
    <w:rsid w:val="78EE303B"/>
    <w:rsid w:val="792F71B0"/>
    <w:rsid w:val="79475EB1"/>
    <w:rsid w:val="79711125"/>
    <w:rsid w:val="79851FD0"/>
    <w:rsid w:val="798756C5"/>
    <w:rsid w:val="7A6A7681"/>
    <w:rsid w:val="7A793B3A"/>
    <w:rsid w:val="7A8A28F0"/>
    <w:rsid w:val="7AAE6A84"/>
    <w:rsid w:val="7AC676A0"/>
    <w:rsid w:val="7AD3647C"/>
    <w:rsid w:val="7AF1296F"/>
    <w:rsid w:val="7AFE2B5D"/>
    <w:rsid w:val="7B0E17E2"/>
    <w:rsid w:val="7B294B89"/>
    <w:rsid w:val="7B4B6523"/>
    <w:rsid w:val="7B4D039C"/>
    <w:rsid w:val="7B685D08"/>
    <w:rsid w:val="7B6A4364"/>
    <w:rsid w:val="7BD07335"/>
    <w:rsid w:val="7BD227A0"/>
    <w:rsid w:val="7BDA78A7"/>
    <w:rsid w:val="7BE424D4"/>
    <w:rsid w:val="7C2D5E41"/>
    <w:rsid w:val="7C611D76"/>
    <w:rsid w:val="7C683105"/>
    <w:rsid w:val="7CA010C3"/>
    <w:rsid w:val="7CAD6847"/>
    <w:rsid w:val="7CCE6A29"/>
    <w:rsid w:val="7CF33270"/>
    <w:rsid w:val="7D02603F"/>
    <w:rsid w:val="7D07647A"/>
    <w:rsid w:val="7D152EC3"/>
    <w:rsid w:val="7D2A2168"/>
    <w:rsid w:val="7D2C2B03"/>
    <w:rsid w:val="7D4A280A"/>
    <w:rsid w:val="7D67516A"/>
    <w:rsid w:val="7D6E64F9"/>
    <w:rsid w:val="7DB0228A"/>
    <w:rsid w:val="7DBB54B6"/>
    <w:rsid w:val="7DFC0E94"/>
    <w:rsid w:val="7E146C66"/>
    <w:rsid w:val="7E2B43EA"/>
    <w:rsid w:val="7E89445F"/>
    <w:rsid w:val="7E9C0E44"/>
    <w:rsid w:val="7EEA7E01"/>
    <w:rsid w:val="7EFC1018"/>
    <w:rsid w:val="7F051133"/>
    <w:rsid w:val="7F0709B3"/>
    <w:rsid w:val="7F084D08"/>
    <w:rsid w:val="7F150C8C"/>
    <w:rsid w:val="7F5A7CF2"/>
    <w:rsid w:val="7F61079B"/>
    <w:rsid w:val="7F9B559F"/>
    <w:rsid w:val="7FCD45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after="160" w:line="278" w:lineRule="auto"/>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jc w:val="both"/>
      <w:outlineLvl w:val="0"/>
    </w:pPr>
    <w:rPr>
      <w:rFonts w:ascii="Times New Roman" w:hAnsi="Times New Roman" w:eastAsia="宋体" w:cs="Times New Roman"/>
      <w:b/>
      <w:bCs/>
      <w:kern w:val="44"/>
      <w:sz w:val="44"/>
      <w:szCs w:val="24"/>
    </w:rPr>
  </w:style>
  <w:style w:type="paragraph" w:styleId="3">
    <w:name w:val="heading 2"/>
    <w:basedOn w:val="1"/>
    <w:next w:val="1"/>
    <w:qFormat/>
    <w:uiPriority w:val="0"/>
    <w:pPr>
      <w:keepNext/>
      <w:keepLines/>
      <w:spacing w:before="260" w:after="260" w:line="413" w:lineRule="auto"/>
      <w:outlineLvl w:val="1"/>
    </w:pPr>
    <w:rPr>
      <w:rFonts w:eastAsia="黑体"/>
      <w:b/>
      <w:bCs/>
      <w:sz w:val="32"/>
      <w:szCs w:val="32"/>
    </w:rPr>
  </w:style>
  <w:style w:type="paragraph" w:styleId="4">
    <w:name w:val="heading 4"/>
    <w:basedOn w:val="1"/>
    <w:next w:val="1"/>
    <w:link w:val="30"/>
    <w:semiHidden/>
    <w:unhideWhenUsed/>
    <w:qFormat/>
    <w:uiPriority w:val="0"/>
    <w:pPr>
      <w:keepNext/>
      <w:keepLines/>
      <w:spacing w:before="280" w:after="290" w:line="372" w:lineRule="auto"/>
      <w:outlineLvl w:val="3"/>
    </w:pPr>
    <w:rPr>
      <w:rFonts w:eastAsia="黑体"/>
      <w:b/>
      <w:sz w:val="2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style>
  <w:style w:type="paragraph" w:styleId="6">
    <w:name w:val="Body Text"/>
    <w:basedOn w:val="1"/>
    <w:next w:val="1"/>
    <w:semiHidden/>
    <w:qFormat/>
    <w:uiPriority w:val="0"/>
    <w:rPr>
      <w:rFonts w:ascii="仿宋" w:hAnsi="仿宋" w:eastAsia="仿宋" w:cs="仿宋"/>
      <w:sz w:val="30"/>
      <w:szCs w:val="30"/>
    </w:rPr>
  </w:style>
  <w:style w:type="paragraph" w:styleId="7">
    <w:name w:val="Body Text Indent"/>
    <w:basedOn w:val="1"/>
    <w:link w:val="38"/>
    <w:unhideWhenUsed/>
    <w:qFormat/>
    <w:uiPriority w:val="99"/>
    <w:pPr>
      <w:spacing w:after="120"/>
      <w:ind w:left="420" w:leftChars="200"/>
    </w:pPr>
    <w:rPr>
      <w:rFonts w:eastAsia="微软雅黑"/>
      <w:sz w:val="24"/>
      <w:szCs w:val="20"/>
    </w:rPr>
  </w:style>
  <w:style w:type="paragraph" w:styleId="8">
    <w:name w:val="Plain Text"/>
    <w:basedOn w:val="1"/>
    <w:next w:val="1"/>
    <w:qFormat/>
    <w:uiPriority w:val="0"/>
    <w:rPr>
      <w:rFonts w:ascii="宋体" w:hAnsi="Courier New"/>
      <w:sz w:val="20"/>
    </w:rPr>
  </w:style>
  <w:style w:type="paragraph" w:styleId="9">
    <w:name w:val="footer"/>
    <w:basedOn w:val="1"/>
    <w:qFormat/>
    <w:uiPriority w:val="0"/>
    <w:pPr>
      <w:tabs>
        <w:tab w:val="center" w:pos="4153"/>
        <w:tab w:val="right" w:pos="8306"/>
      </w:tabs>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1">
    <w:name w:val="toc 1"/>
    <w:basedOn w:val="1"/>
    <w:next w:val="1"/>
    <w:unhideWhenUsed/>
    <w:qFormat/>
    <w:uiPriority w:val="39"/>
  </w:style>
  <w:style w:type="paragraph" w:styleId="12">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3">
    <w:name w:val="toc 2"/>
    <w:basedOn w:val="1"/>
    <w:next w:val="1"/>
    <w:qFormat/>
    <w:uiPriority w:val="0"/>
    <w:pPr>
      <w:ind w:left="420" w:leftChars="200"/>
    </w:pPr>
  </w:style>
  <w:style w:type="paragraph" w:styleId="14">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hint="eastAsia" w:ascii="宋体" w:hAnsi="宋体" w:eastAsia="宋体" w:cs="Times New Roman"/>
      <w:sz w:val="24"/>
      <w:szCs w:val="24"/>
      <w:lang w:eastAsia="zh-CN"/>
    </w:rPr>
  </w:style>
  <w:style w:type="paragraph" w:styleId="15">
    <w:name w:val="Normal (Web)"/>
    <w:basedOn w:val="1"/>
    <w:qFormat/>
    <w:uiPriority w:val="0"/>
    <w:pPr>
      <w:spacing w:before="100" w:beforeAutospacing="1" w:after="100" w:afterAutospacing="1"/>
    </w:pPr>
    <w:rPr>
      <w:rFonts w:ascii="宋体" w:hAnsi="宋体" w:eastAsia="宋体" w:cs="宋体"/>
      <w:sz w:val="24"/>
    </w:rPr>
  </w:style>
  <w:style w:type="paragraph" w:styleId="16">
    <w:name w:val="Body Text First Indent"/>
    <w:basedOn w:val="6"/>
    <w:qFormat/>
    <w:uiPriority w:val="0"/>
    <w:pPr>
      <w:ind w:firstLine="420" w:firstLineChars="100"/>
    </w:p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qFormat/>
    <w:uiPriority w:val="0"/>
    <w:rPr>
      <w:b/>
    </w:rPr>
  </w:style>
  <w:style w:type="character" w:styleId="21">
    <w:name w:val="Emphasis"/>
    <w:qFormat/>
    <w:uiPriority w:val="0"/>
  </w:style>
  <w:style w:type="character" w:styleId="22">
    <w:name w:val="Hyperlink"/>
    <w:basedOn w:val="19"/>
    <w:qFormat/>
    <w:uiPriority w:val="0"/>
    <w:rPr>
      <w:color w:val="0000FF"/>
      <w:u w:val="single"/>
    </w:rPr>
  </w:style>
  <w:style w:type="character" w:styleId="23">
    <w:name w:val="annotation reference"/>
    <w:unhideWhenUsed/>
    <w:qFormat/>
    <w:uiPriority w:val="0"/>
    <w:rPr>
      <w:sz w:val="21"/>
      <w:szCs w:val="21"/>
    </w:rPr>
  </w:style>
  <w:style w:type="paragraph" w:customStyle="1" w:styleId="24">
    <w:name w:val="正文缩进1"/>
    <w:basedOn w:val="1"/>
    <w:qFormat/>
    <w:uiPriority w:val="0"/>
    <w:pPr>
      <w:ind w:firstLine="420" w:firstLineChars="200"/>
    </w:pPr>
  </w:style>
  <w:style w:type="table" w:customStyle="1" w:styleId="25">
    <w:name w:val="Table Normal"/>
    <w:semiHidden/>
    <w:unhideWhenUsed/>
    <w:qFormat/>
    <w:uiPriority w:val="0"/>
    <w:tblPr>
      <w:tblCellMar>
        <w:top w:w="0" w:type="dxa"/>
        <w:left w:w="0" w:type="dxa"/>
        <w:bottom w:w="0" w:type="dxa"/>
        <w:right w:w="0" w:type="dxa"/>
      </w:tblCellMar>
    </w:tblPr>
  </w:style>
  <w:style w:type="paragraph" w:customStyle="1" w:styleId="26">
    <w:name w:val="Table Text"/>
    <w:basedOn w:val="1"/>
    <w:semiHidden/>
    <w:qFormat/>
    <w:uiPriority w:val="0"/>
  </w:style>
  <w:style w:type="paragraph" w:customStyle="1" w:styleId="27">
    <w:name w:val="Heading #2|1"/>
    <w:basedOn w:val="1"/>
    <w:qFormat/>
    <w:uiPriority w:val="0"/>
    <w:pPr>
      <w:widowControl w:val="0"/>
      <w:spacing w:after="580" w:line="634" w:lineRule="exact"/>
      <w:jc w:val="center"/>
      <w:outlineLvl w:val="1"/>
    </w:pPr>
    <w:rPr>
      <w:rFonts w:ascii="宋体" w:hAnsi="宋体" w:eastAsia="宋体" w:cs="宋体"/>
      <w:sz w:val="44"/>
      <w:szCs w:val="44"/>
      <w:lang w:val="zh-TW" w:eastAsia="zh-TW" w:bidi="zh-TW"/>
    </w:rPr>
  </w:style>
  <w:style w:type="paragraph" w:customStyle="1" w:styleId="28">
    <w:name w:val="Body text|1"/>
    <w:basedOn w:val="1"/>
    <w:qFormat/>
    <w:uiPriority w:val="0"/>
    <w:pPr>
      <w:widowControl w:val="0"/>
      <w:spacing w:line="432" w:lineRule="auto"/>
      <w:ind w:firstLine="400"/>
    </w:pPr>
    <w:rPr>
      <w:rFonts w:ascii="宋体" w:hAnsi="宋体" w:eastAsia="宋体" w:cs="宋体"/>
      <w:sz w:val="30"/>
      <w:szCs w:val="30"/>
      <w:lang w:val="zh-TW" w:eastAsia="zh-TW" w:bidi="zh-TW"/>
    </w:rPr>
  </w:style>
  <w:style w:type="paragraph" w:customStyle="1" w:styleId="29">
    <w:name w:val="Body text|2"/>
    <w:basedOn w:val="1"/>
    <w:qFormat/>
    <w:uiPriority w:val="0"/>
    <w:pPr>
      <w:widowControl w:val="0"/>
    </w:pPr>
    <w:rPr>
      <w:rFonts w:ascii="宋体" w:hAnsi="宋体" w:eastAsia="宋体" w:cs="宋体"/>
      <w:sz w:val="26"/>
      <w:szCs w:val="26"/>
      <w:lang w:val="zh-TW" w:eastAsia="zh-TW" w:bidi="zh-TW"/>
    </w:rPr>
  </w:style>
  <w:style w:type="character" w:customStyle="1" w:styleId="30">
    <w:name w:val="标题 4 字符"/>
    <w:link w:val="4"/>
    <w:qFormat/>
    <w:uiPriority w:val="0"/>
    <w:rPr>
      <w:rFonts w:ascii="Arial" w:hAnsi="Arial" w:eastAsia="黑体"/>
      <w:b/>
      <w:sz w:val="28"/>
    </w:rPr>
  </w:style>
  <w:style w:type="paragraph" w:customStyle="1" w:styleId="31">
    <w:name w:val="正文_0_1"/>
    <w:qFormat/>
    <w:uiPriority w:val="0"/>
    <w:pPr>
      <w:widowControl w:val="0"/>
      <w:spacing w:after="160" w:line="278" w:lineRule="auto"/>
      <w:jc w:val="both"/>
    </w:pPr>
    <w:rPr>
      <w:rFonts w:ascii="Times New Roman" w:hAnsi="Times New Roman" w:eastAsia="宋体" w:cs="Times New Roman"/>
      <w:kern w:val="2"/>
      <w:sz w:val="21"/>
      <w:szCs w:val="22"/>
      <w:lang w:val="en-US" w:eastAsia="zh-CN" w:bidi="ar-SA"/>
    </w:rPr>
  </w:style>
  <w:style w:type="paragraph" w:customStyle="1" w:styleId="32">
    <w:name w:val="样式1"/>
    <w:basedOn w:val="2"/>
    <w:qFormat/>
    <w:uiPriority w:val="0"/>
    <w:pPr>
      <w:spacing w:before="240" w:after="240" w:line="440" w:lineRule="exact"/>
      <w:jc w:val="center"/>
    </w:pPr>
    <w:rPr>
      <w:rFonts w:eastAsia="楷体"/>
      <w:sz w:val="36"/>
      <w:szCs w:val="28"/>
    </w:rPr>
  </w:style>
  <w:style w:type="character" w:customStyle="1" w:styleId="33">
    <w:name w:val="font31"/>
    <w:qFormat/>
    <w:uiPriority w:val="0"/>
    <w:rPr>
      <w:rFonts w:hint="eastAsia" w:ascii="宋体" w:hAnsi="宋体" w:eastAsia="宋体" w:cs="宋体"/>
      <w:color w:val="000000"/>
      <w:sz w:val="21"/>
      <w:szCs w:val="21"/>
      <w:u w:val="none"/>
    </w:rPr>
  </w:style>
  <w:style w:type="paragraph" w:customStyle="1" w:styleId="34">
    <w:name w:val="Default"/>
    <w:qFormat/>
    <w:uiPriority w:val="0"/>
    <w:pPr>
      <w:widowControl w:val="0"/>
      <w:autoSpaceDE w:val="0"/>
      <w:autoSpaceDN w:val="0"/>
      <w:adjustRightInd w:val="0"/>
      <w:spacing w:after="160" w:line="278" w:lineRule="auto"/>
    </w:pPr>
    <w:rPr>
      <w:rFonts w:ascii="Times New Roman" w:hAnsi="Times New Roman" w:eastAsia="宋体" w:cs="Times New Roman"/>
      <w:color w:val="000000"/>
      <w:sz w:val="24"/>
      <w:szCs w:val="24"/>
      <w:lang w:val="en-US" w:eastAsia="zh-CN" w:bidi="ar-SA"/>
    </w:rPr>
  </w:style>
  <w:style w:type="paragraph" w:customStyle="1" w:styleId="35">
    <w:name w:val="p0"/>
    <w:basedOn w:val="1"/>
    <w:qFormat/>
    <w:uiPriority w:val="0"/>
    <w:rPr>
      <w:rFonts w:ascii="Times New Roman" w:eastAsia="宋体"/>
    </w:rPr>
  </w:style>
  <w:style w:type="paragraph" w:customStyle="1" w:styleId="36">
    <w:name w:val="Char"/>
    <w:basedOn w:val="1"/>
    <w:qFormat/>
    <w:uiPriority w:val="0"/>
    <w:pPr>
      <w:spacing w:line="240" w:lineRule="exact"/>
    </w:pPr>
    <w:rPr>
      <w:rFonts w:ascii="Verdana" w:hAnsi="Verdana" w:cs="Times New Roman"/>
      <w:szCs w:val="20"/>
    </w:rPr>
  </w:style>
  <w:style w:type="paragraph" w:customStyle="1" w:styleId="37">
    <w:name w:val="修订1"/>
    <w:hidden/>
    <w:unhideWhenUsed/>
    <w:qFormat/>
    <w:uiPriority w:val="99"/>
    <w:pPr>
      <w:spacing w:after="160" w:line="278" w:lineRule="auto"/>
    </w:pPr>
    <w:rPr>
      <w:rFonts w:ascii="Arial" w:hAnsi="Arial" w:eastAsia="Arial" w:cs="Arial"/>
      <w:snapToGrid w:val="0"/>
      <w:color w:val="000000"/>
      <w:sz w:val="21"/>
      <w:szCs w:val="21"/>
      <w:lang w:val="en-US" w:eastAsia="en-US" w:bidi="ar-SA"/>
    </w:rPr>
  </w:style>
  <w:style w:type="character" w:customStyle="1" w:styleId="38">
    <w:name w:val="正文文本缩进 字符"/>
    <w:basedOn w:val="19"/>
    <w:link w:val="7"/>
    <w:qFormat/>
    <w:uiPriority w:val="99"/>
    <w:rPr>
      <w:rFonts w:ascii="Arial" w:hAnsi="Arial" w:eastAsia="微软雅黑" w:cs="Arial"/>
      <w:snapToGrid w:val="0"/>
      <w:color w:val="000000"/>
      <w:sz w:val="24"/>
      <w:lang w:eastAsia="en-US"/>
    </w:rPr>
  </w:style>
  <w:style w:type="paragraph" w:customStyle="1" w:styleId="39">
    <w:name w:val="修订2"/>
    <w:hidden/>
    <w:unhideWhenUsed/>
    <w:qFormat/>
    <w:uiPriority w:val="99"/>
    <w:rPr>
      <w:rFonts w:ascii="Arial" w:hAnsi="Arial" w:eastAsia="Arial" w:cs="Arial"/>
      <w:snapToGrid w:val="0"/>
      <w:color w:val="000000"/>
      <w:sz w:val="21"/>
      <w:szCs w:val="21"/>
      <w:lang w:val="en-US" w:eastAsia="en-US" w:bidi="ar-SA"/>
    </w:rPr>
  </w:style>
  <w:style w:type="paragraph" w:customStyle="1" w:styleId="40">
    <w:name w:val="修订3"/>
    <w:hidden/>
    <w:unhideWhenUsed/>
    <w:qFormat/>
    <w:uiPriority w:val="99"/>
    <w:rPr>
      <w:rFonts w:ascii="Arial" w:hAnsi="Arial" w:eastAsia="Arial" w:cs="Arial"/>
      <w:snapToGrid w:val="0"/>
      <w:color w:val="000000"/>
      <w:sz w:val="21"/>
      <w:szCs w:val="21"/>
      <w:lang w:val="en-US" w:eastAsia="en-US" w:bidi="ar-SA"/>
    </w:rPr>
  </w:style>
  <w:style w:type="paragraph" w:customStyle="1" w:styleId="41">
    <w:name w:val="修订4"/>
    <w:hidden/>
    <w:unhideWhenUsed/>
    <w:qFormat/>
    <w:uiPriority w:val="99"/>
    <w:rPr>
      <w:rFonts w:ascii="Arial" w:hAnsi="Arial" w:eastAsia="Arial" w:cs="Arial"/>
      <w:snapToGrid w:val="0"/>
      <w:color w:val="000000"/>
      <w:sz w:val="21"/>
      <w:szCs w:val="21"/>
      <w:lang w:val="en-US" w:eastAsia="en-US" w:bidi="ar-SA"/>
    </w:rPr>
  </w:style>
  <w:style w:type="paragraph" w:customStyle="1" w:styleId="42">
    <w:name w:val="修订5"/>
    <w:hidden/>
    <w:unhideWhenUsed/>
    <w:qFormat/>
    <w:uiPriority w:val="99"/>
    <w:rPr>
      <w:rFonts w:ascii="Arial" w:hAnsi="Arial" w:eastAsia="Arial" w:cs="Arial"/>
      <w:snapToGrid w:val="0"/>
      <w:color w:val="000000"/>
      <w:sz w:val="21"/>
      <w:szCs w:val="21"/>
      <w:lang w:val="en-US" w:eastAsia="en-US" w:bidi="ar-SA"/>
    </w:rPr>
  </w:style>
  <w:style w:type="paragraph" w:customStyle="1" w:styleId="43">
    <w:name w:val="修订6"/>
    <w:hidden/>
    <w:unhideWhenUsed/>
    <w:qFormat/>
    <w:uiPriority w:val="99"/>
    <w:rPr>
      <w:rFonts w:ascii="Arial" w:hAnsi="Arial" w:eastAsia="Arial" w:cs="Arial"/>
      <w:snapToGrid w:val="0"/>
      <w:color w:val="000000"/>
      <w:sz w:val="21"/>
      <w:szCs w:val="21"/>
      <w:lang w:val="en-US" w:eastAsia="en-US" w:bidi="ar-SA"/>
    </w:rPr>
  </w:style>
  <w:style w:type="paragraph" w:customStyle="1" w:styleId="44">
    <w:name w:val="Revision"/>
    <w:hidden/>
    <w:unhideWhenUsed/>
    <w:qFormat/>
    <w:uiPriority w:val="99"/>
    <w:rPr>
      <w:rFonts w:ascii="Arial" w:hAnsi="Arial" w:eastAsia="Arial" w:cs="Arial"/>
      <w:snapToGrid w:val="0"/>
      <w:color w:val="000000"/>
      <w:sz w:val="21"/>
      <w:szCs w:val="21"/>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82</Pages>
  <Words>6867</Words>
  <Characters>39146</Characters>
  <Lines>326</Lines>
  <Paragraphs>91</Paragraphs>
  <TotalTime>43</TotalTime>
  <ScaleCrop>false</ScaleCrop>
  <LinksUpToDate>false</LinksUpToDate>
  <CharactersWithSpaces>45922</CharactersWithSpaces>
  <Application>WPS Office_11.8.2.9060_F1E327BC-269C-435d-A152-05C5408002CA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2026-06-18T03:44:00Z</dcterms:created>
  <dc:creator>hxw</dc:creator>
  <cp:lastModifiedBy>Administrator</cp:lastModifiedBy>
  <cp:lastPrinted>2026-06-08T08:54:00Z</cp:lastPrinted>
  <dcterms:modified xsi:type="dcterms:W3CDTF">2026-06-18T08:30:37Z</dcterms:modified>
  <dc:title>政府采购招标文件</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2052-11.8.2.9060</vt:lpwstr>
  </property>
  <property fmtid="{D5CDD505-2E9C-101B-9397-08002B2CF9AE}" pid="5" name="ICV">
    <vt:lpwstr>439EB44A35074E87B199D265BD9D3C56_13</vt:lpwstr>
  </property>
  <property fmtid="{D5CDD505-2E9C-101B-9397-08002B2CF9AE}" pid="6" name="KSOTemplateDocerSaveRecord">
    <vt:lpwstr>eyJoZGlkIjoiMWM4NTkwNGE0MTRjZmZjNjkyYzg0MjI2MmYyNWU1MWIiLCJ1c2VySWQiOiIxMDA1NTA4MzQ2In0=</vt:lpwstr>
  </property>
</Properties>
</file>