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EC1103">
      <w:pPr>
        <w:outlineLvl w:val="1"/>
        <w:rPr>
          <w:rFonts w:ascii="仿宋_GB2312" w:eastAsia="仿宋_GB2312"/>
          <w:b/>
          <w:bCs/>
          <w:sz w:val="28"/>
          <w:szCs w:val="32"/>
        </w:rPr>
      </w:pPr>
      <w:r>
        <w:rPr>
          <w:rFonts w:hint="eastAsia" w:ascii="仿宋_GB2312" w:eastAsia="仿宋_GB2312"/>
          <w:b/>
          <w:bCs/>
          <w:sz w:val="28"/>
          <w:szCs w:val="32"/>
        </w:rPr>
        <w:t>一、技术服务要求</w:t>
      </w:r>
    </w:p>
    <w:p w14:paraId="01EBBC2F">
      <w:pPr>
        <w:spacing w:line="480" w:lineRule="exact"/>
        <w:ind w:firstLine="560" w:firstLineChars="200"/>
        <w:rPr>
          <w:rFonts w:ascii="仿宋_GB2312" w:eastAsia="仿宋_GB2312"/>
          <w:sz w:val="28"/>
          <w:szCs w:val="32"/>
        </w:rPr>
      </w:pPr>
      <w:r>
        <w:rPr>
          <w:rFonts w:hint="eastAsia" w:ascii="仿宋_GB2312" w:eastAsia="仿宋_GB2312"/>
          <w:sz w:val="28"/>
          <w:szCs w:val="32"/>
        </w:rPr>
        <w:t>坚持以习近平新时代中国特色社会主义思想为指导，深入贯彻党的二十大和二十届历次全会精神，全面贯彻习近平总书记关于城市工作的重要论述，坚持稳中求进工作总基调，转变城市开发建设方式，大力实施城市更新，促进城市结构优化、功能完善、文脉赓续、品质提升，打造宜居、韧性、智慧城市。</w:t>
      </w:r>
    </w:p>
    <w:p w14:paraId="747012E3">
      <w:pPr>
        <w:spacing w:line="480" w:lineRule="exact"/>
        <w:ind w:firstLine="560" w:firstLineChars="200"/>
        <w:outlineLvl w:val="2"/>
        <w:rPr>
          <w:rFonts w:ascii="仿宋_GB2312" w:eastAsia="仿宋_GB2312"/>
          <w:sz w:val="28"/>
          <w:szCs w:val="32"/>
        </w:rPr>
      </w:pPr>
      <w:bookmarkStart w:id="0" w:name="_Toc217640402"/>
      <w:r>
        <w:rPr>
          <w:rFonts w:hint="eastAsia" w:ascii="仿宋_GB2312" w:eastAsia="仿宋_GB2312"/>
          <w:sz w:val="28"/>
          <w:szCs w:val="32"/>
        </w:rPr>
        <w:t>1．确定</w:t>
      </w:r>
      <w:r>
        <w:rPr>
          <w:rFonts w:ascii="仿宋_GB2312" w:eastAsia="仿宋_GB2312"/>
          <w:sz w:val="28"/>
          <w:szCs w:val="32"/>
        </w:rPr>
        <w:t>城市更新目标和策略</w:t>
      </w:r>
      <w:bookmarkEnd w:id="0"/>
    </w:p>
    <w:p w14:paraId="63F7AF00">
      <w:pPr>
        <w:spacing w:line="480" w:lineRule="exact"/>
        <w:ind w:firstLine="560" w:firstLineChars="200"/>
        <w:rPr>
          <w:rFonts w:ascii="仿宋_GB2312" w:eastAsia="仿宋_GB2312"/>
          <w:sz w:val="28"/>
          <w:szCs w:val="32"/>
        </w:rPr>
      </w:pPr>
      <w:r>
        <w:rPr>
          <w:rFonts w:hint="eastAsia" w:ascii="仿宋_GB2312" w:eastAsia="仿宋_GB2312"/>
          <w:sz w:val="28"/>
          <w:szCs w:val="32"/>
        </w:rPr>
        <w:t>①</w:t>
      </w:r>
      <w:r>
        <w:rPr>
          <w:rFonts w:ascii="仿宋_GB2312" w:eastAsia="仿宋_GB2312"/>
          <w:sz w:val="28"/>
          <w:szCs w:val="32"/>
        </w:rPr>
        <w:t>城市更新目标</w:t>
      </w:r>
      <w:r>
        <w:rPr>
          <w:rFonts w:hint="eastAsia" w:ascii="仿宋_GB2312" w:eastAsia="仿宋_GB2312"/>
          <w:sz w:val="28"/>
          <w:szCs w:val="32"/>
        </w:rPr>
        <w:t>。根据国民经济和社会发展规划，分阶段落实国土空间规划，衔接相关专项规划、重大重点项目计划、市县相关工作部署等，并结合崇仁</w:t>
      </w:r>
      <w:r>
        <w:rPr>
          <w:rFonts w:ascii="仿宋_GB2312" w:eastAsia="仿宋_GB2312"/>
          <w:sz w:val="28"/>
          <w:szCs w:val="32"/>
        </w:rPr>
        <w:t>县城市发展阶段和特征，</w:t>
      </w:r>
      <w:r>
        <w:rPr>
          <w:rFonts w:hint="eastAsia" w:ascii="仿宋_GB2312" w:eastAsia="仿宋_GB2312"/>
          <w:sz w:val="28"/>
          <w:szCs w:val="32"/>
        </w:rPr>
        <w:t>确定城市更新五年期的总体目标和年度工作目标</w:t>
      </w:r>
      <w:r>
        <w:rPr>
          <w:rFonts w:ascii="仿宋_GB2312" w:eastAsia="仿宋_GB2312"/>
          <w:sz w:val="28"/>
          <w:szCs w:val="32"/>
        </w:rPr>
        <w:t>。</w:t>
      </w:r>
    </w:p>
    <w:p w14:paraId="7CDF7072">
      <w:pPr>
        <w:spacing w:line="480" w:lineRule="exact"/>
        <w:ind w:firstLine="560" w:firstLineChars="200"/>
        <w:rPr>
          <w:rFonts w:ascii="仿宋_GB2312" w:eastAsia="仿宋_GB2312"/>
          <w:sz w:val="28"/>
          <w:szCs w:val="32"/>
        </w:rPr>
      </w:pPr>
      <w:r>
        <w:rPr>
          <w:rFonts w:hint="eastAsia" w:ascii="仿宋_GB2312" w:eastAsia="仿宋_GB2312"/>
          <w:sz w:val="28"/>
          <w:szCs w:val="32"/>
        </w:rPr>
        <w:t>②</w:t>
      </w:r>
      <w:r>
        <w:rPr>
          <w:rFonts w:ascii="仿宋_GB2312" w:eastAsia="仿宋_GB2312"/>
          <w:sz w:val="28"/>
          <w:szCs w:val="32"/>
        </w:rPr>
        <w:t>城市更新策略</w:t>
      </w:r>
      <w:r>
        <w:rPr>
          <w:rFonts w:hint="eastAsia" w:ascii="仿宋_GB2312" w:eastAsia="仿宋_GB2312"/>
          <w:sz w:val="28"/>
          <w:szCs w:val="32"/>
        </w:rPr>
        <w:t>。基于城市体检查找的短板弱项和城市资源要素特征，</w:t>
      </w:r>
      <w:r>
        <w:rPr>
          <w:rFonts w:ascii="仿宋_GB2312" w:eastAsia="仿宋_GB2312"/>
          <w:sz w:val="28"/>
          <w:szCs w:val="32"/>
        </w:rPr>
        <w:t>以问题、需求</w:t>
      </w:r>
      <w:r>
        <w:rPr>
          <w:rFonts w:hint="eastAsia" w:ascii="仿宋_GB2312" w:eastAsia="仿宋_GB2312"/>
          <w:sz w:val="28"/>
          <w:szCs w:val="32"/>
        </w:rPr>
        <w:t>和</w:t>
      </w:r>
      <w:r>
        <w:rPr>
          <w:rFonts w:ascii="仿宋_GB2312" w:eastAsia="仿宋_GB2312"/>
          <w:sz w:val="28"/>
          <w:szCs w:val="32"/>
        </w:rPr>
        <w:t>目标</w:t>
      </w:r>
      <w:r>
        <w:rPr>
          <w:rFonts w:hint="eastAsia" w:ascii="仿宋_GB2312" w:eastAsia="仿宋_GB2312"/>
          <w:sz w:val="28"/>
          <w:szCs w:val="32"/>
        </w:rPr>
        <w:t>为</w:t>
      </w:r>
      <w:r>
        <w:rPr>
          <w:rFonts w:ascii="仿宋_GB2312" w:eastAsia="仿宋_GB2312"/>
          <w:sz w:val="28"/>
          <w:szCs w:val="32"/>
        </w:rPr>
        <w:t>导向</w:t>
      </w:r>
      <w:r>
        <w:rPr>
          <w:rFonts w:hint="eastAsia" w:ascii="仿宋_GB2312" w:eastAsia="仿宋_GB2312"/>
          <w:sz w:val="28"/>
          <w:szCs w:val="32"/>
        </w:rPr>
        <w:t>，制定整体城市更新行动策略，提出城市更新行动的纲领和核心方向。</w:t>
      </w:r>
    </w:p>
    <w:p w14:paraId="01E66E80">
      <w:pPr>
        <w:spacing w:line="480" w:lineRule="exact"/>
        <w:ind w:firstLine="560" w:firstLineChars="200"/>
        <w:outlineLvl w:val="2"/>
        <w:rPr>
          <w:rFonts w:ascii="仿宋_GB2312" w:eastAsia="仿宋_GB2312"/>
          <w:sz w:val="28"/>
          <w:szCs w:val="32"/>
        </w:rPr>
      </w:pPr>
      <w:bookmarkStart w:id="1" w:name="_Toc217640404"/>
      <w:bookmarkStart w:id="2" w:name="_Toc217640403"/>
      <w:r>
        <w:rPr>
          <w:rFonts w:ascii="仿宋_GB2312" w:eastAsia="仿宋_GB2312"/>
          <w:sz w:val="28"/>
          <w:szCs w:val="32"/>
        </w:rPr>
        <w:t>2</w:t>
      </w:r>
      <w:r>
        <w:rPr>
          <w:rFonts w:hint="eastAsia" w:ascii="仿宋_GB2312" w:eastAsia="仿宋_GB2312"/>
          <w:sz w:val="28"/>
          <w:szCs w:val="32"/>
        </w:rPr>
        <w:t>．查找</w:t>
      </w:r>
      <w:r>
        <w:rPr>
          <w:rFonts w:ascii="仿宋_GB2312" w:eastAsia="仿宋_GB2312"/>
          <w:sz w:val="28"/>
          <w:szCs w:val="32"/>
        </w:rPr>
        <w:t>城市更新重点</w:t>
      </w:r>
      <w:bookmarkEnd w:id="1"/>
      <w:r>
        <w:rPr>
          <w:rFonts w:hint="eastAsia" w:ascii="仿宋_GB2312" w:eastAsia="仿宋_GB2312"/>
          <w:sz w:val="28"/>
          <w:szCs w:val="32"/>
        </w:rPr>
        <w:t>区域</w:t>
      </w:r>
    </w:p>
    <w:p w14:paraId="330DB69C">
      <w:pPr>
        <w:spacing w:line="480" w:lineRule="exact"/>
        <w:ind w:firstLine="560" w:firstLineChars="200"/>
        <w:rPr>
          <w:rFonts w:ascii="仿宋_GB2312" w:eastAsia="仿宋_GB2312"/>
          <w:sz w:val="28"/>
          <w:szCs w:val="32"/>
        </w:rPr>
      </w:pPr>
      <w:r>
        <w:rPr>
          <w:rFonts w:hint="eastAsia" w:ascii="仿宋_GB2312" w:eastAsia="仿宋_GB2312"/>
          <w:sz w:val="28"/>
          <w:szCs w:val="32"/>
        </w:rPr>
        <w:t>根据城市更新目标任务，结合存量资源摸底调查、更新潜力评估结果和更新需求分析，从紧迫程度、影响程度、重要程度等多因素进行更新需求综合研判，基于查找的重点问题区域，对应空间并区分更新需求，识别出城市更新的重点区域。</w:t>
      </w:r>
    </w:p>
    <w:p w14:paraId="57A2D7D3">
      <w:pPr>
        <w:spacing w:line="480" w:lineRule="exact"/>
        <w:ind w:firstLine="560" w:firstLineChars="200"/>
        <w:outlineLvl w:val="2"/>
        <w:rPr>
          <w:rFonts w:ascii="仿宋_GB2312" w:eastAsia="仿宋_GB2312"/>
          <w:sz w:val="28"/>
          <w:szCs w:val="32"/>
        </w:rPr>
      </w:pPr>
      <w:r>
        <w:rPr>
          <w:rFonts w:ascii="仿宋_GB2312" w:eastAsia="仿宋_GB2312"/>
          <w:sz w:val="28"/>
          <w:szCs w:val="32"/>
        </w:rPr>
        <w:t>3</w:t>
      </w:r>
      <w:r>
        <w:rPr>
          <w:rFonts w:hint="eastAsia" w:ascii="仿宋_GB2312" w:eastAsia="仿宋_GB2312"/>
          <w:sz w:val="28"/>
          <w:szCs w:val="32"/>
        </w:rPr>
        <w:t>．明确</w:t>
      </w:r>
      <w:r>
        <w:rPr>
          <w:rFonts w:ascii="仿宋_GB2312" w:eastAsia="仿宋_GB2312"/>
          <w:sz w:val="28"/>
          <w:szCs w:val="32"/>
        </w:rPr>
        <w:t>城市更新</w:t>
      </w:r>
      <w:bookmarkEnd w:id="2"/>
      <w:r>
        <w:rPr>
          <w:rFonts w:hint="eastAsia" w:ascii="仿宋_GB2312" w:eastAsia="仿宋_GB2312"/>
          <w:sz w:val="28"/>
          <w:szCs w:val="32"/>
        </w:rPr>
        <w:t>重点任务</w:t>
      </w:r>
    </w:p>
    <w:p w14:paraId="1D3EA434">
      <w:pPr>
        <w:spacing w:line="480" w:lineRule="exact"/>
        <w:ind w:firstLine="560" w:firstLineChars="200"/>
        <w:rPr>
          <w:rFonts w:ascii="仿宋_GB2312" w:eastAsia="仿宋_GB2312"/>
          <w:sz w:val="28"/>
          <w:szCs w:val="32"/>
        </w:rPr>
      </w:pPr>
      <w:r>
        <w:rPr>
          <w:rFonts w:ascii="仿宋_GB2312" w:eastAsia="仿宋_GB2312"/>
          <w:sz w:val="28"/>
          <w:szCs w:val="32"/>
        </w:rPr>
        <w:t>以城市更新目标策略为指引，</w:t>
      </w:r>
      <w:r>
        <w:rPr>
          <w:rFonts w:hint="eastAsia" w:ascii="仿宋_GB2312" w:eastAsia="仿宋_GB2312"/>
          <w:sz w:val="28"/>
          <w:szCs w:val="32"/>
        </w:rPr>
        <w:t>明确城市更新重点任务</w:t>
      </w:r>
      <w:r>
        <w:rPr>
          <w:rFonts w:ascii="仿宋_GB2312" w:eastAsia="仿宋_GB2312"/>
          <w:sz w:val="28"/>
          <w:szCs w:val="32"/>
        </w:rPr>
        <w:t>。基于</w:t>
      </w:r>
      <w:r>
        <w:rPr>
          <w:rFonts w:hint="eastAsia" w:ascii="仿宋_GB2312" w:eastAsia="仿宋_GB2312"/>
          <w:sz w:val="28"/>
          <w:szCs w:val="32"/>
        </w:rPr>
        <w:t>崇仁</w:t>
      </w:r>
      <w:r>
        <w:rPr>
          <w:rFonts w:ascii="仿宋_GB2312" w:eastAsia="仿宋_GB2312"/>
          <w:sz w:val="28"/>
          <w:szCs w:val="32"/>
        </w:rPr>
        <w:t>县人民政府</w:t>
      </w:r>
      <w:r>
        <w:rPr>
          <w:rFonts w:hint="eastAsia" w:ascii="仿宋_GB2312" w:eastAsia="仿宋_GB2312"/>
          <w:sz w:val="28"/>
          <w:szCs w:val="32"/>
        </w:rPr>
        <w:t>“</w:t>
      </w:r>
      <w:r>
        <w:rPr>
          <w:rFonts w:ascii="仿宋_GB2312" w:eastAsia="仿宋_GB2312"/>
          <w:sz w:val="28"/>
          <w:szCs w:val="32"/>
        </w:rPr>
        <w:t>十五五</w:t>
      </w:r>
      <w:r>
        <w:rPr>
          <w:rFonts w:hint="eastAsia" w:ascii="仿宋_GB2312" w:eastAsia="仿宋_GB2312"/>
          <w:sz w:val="28"/>
          <w:szCs w:val="32"/>
        </w:rPr>
        <w:t>”</w:t>
      </w:r>
      <w:r>
        <w:rPr>
          <w:rFonts w:ascii="仿宋_GB2312" w:eastAsia="仿宋_GB2312"/>
          <w:sz w:val="28"/>
          <w:szCs w:val="32"/>
        </w:rPr>
        <w:t>时期重点工作部署，结合相关部门、行业专项规划，分类</w:t>
      </w:r>
      <w:r>
        <w:rPr>
          <w:rFonts w:hint="eastAsia" w:ascii="仿宋_GB2312" w:eastAsia="仿宋_GB2312"/>
          <w:sz w:val="28"/>
          <w:szCs w:val="32"/>
        </w:rPr>
        <w:t>明确城市</w:t>
      </w:r>
      <w:r>
        <w:rPr>
          <w:rFonts w:ascii="仿宋_GB2312" w:eastAsia="仿宋_GB2312"/>
          <w:sz w:val="28"/>
          <w:szCs w:val="32"/>
        </w:rPr>
        <w:t>更新</w:t>
      </w:r>
      <w:r>
        <w:rPr>
          <w:rFonts w:hint="eastAsia" w:ascii="仿宋_GB2312" w:eastAsia="仿宋_GB2312"/>
          <w:sz w:val="28"/>
          <w:szCs w:val="32"/>
        </w:rPr>
        <w:t>重点任务</w:t>
      </w:r>
      <w:r>
        <w:rPr>
          <w:rFonts w:ascii="仿宋_GB2312" w:eastAsia="仿宋_GB2312"/>
          <w:sz w:val="28"/>
          <w:szCs w:val="32"/>
        </w:rPr>
        <w:t>，制定城市更新专项行动计划。主要包括以下方面</w:t>
      </w:r>
      <w:r>
        <w:rPr>
          <w:rFonts w:hint="eastAsia" w:ascii="仿宋_GB2312" w:eastAsia="仿宋_GB2312"/>
          <w:sz w:val="28"/>
          <w:szCs w:val="32"/>
        </w:rPr>
        <w:t>：</w:t>
      </w:r>
    </w:p>
    <w:p w14:paraId="072E2913">
      <w:pPr>
        <w:spacing w:line="480" w:lineRule="exact"/>
        <w:ind w:firstLine="560" w:firstLineChars="200"/>
        <w:rPr>
          <w:rFonts w:ascii="仿宋_GB2312" w:eastAsia="仿宋_GB2312"/>
          <w:sz w:val="28"/>
          <w:szCs w:val="32"/>
        </w:rPr>
      </w:pPr>
      <w:r>
        <w:rPr>
          <w:rFonts w:hint="eastAsia" w:ascii="仿宋_GB2312" w:eastAsia="仿宋_GB2312"/>
          <w:sz w:val="28"/>
          <w:szCs w:val="32"/>
        </w:rPr>
        <w:t>①加强既有建筑改造利用。稳妥推进危险住房改造，加快拆除改造D级危险住房，通过加固、改建、重建等多种方式，积极稳妥实施国有土地上C级危险住房和国有企事业单位非成套住房改造。分类分批对存在抗震安全隐患且具备加固价值的城镇房屋进行抗震加固。涉及不可移动文物、历史建筑等保护对象的，按照相关法律法规予以维护和使用，“一屋一策”提出改造方案，严禁以危险住房名义违法违规拆除改造历史文化街区、传统村落、文物、历史建筑。持续推进既有居住建筑和公共建筑节能改造，加强建筑保温材料管理，鼓励居民开展城镇住房室内装修。加强老旧厂房、低效楼宇、传统商业设施等存量房屋改造利用，推动建筑功能转换和混合利用，根据建筑主导功能依法依规合理转换土地用途</w:t>
      </w:r>
      <w:r>
        <w:rPr>
          <w:rFonts w:ascii="仿宋_GB2312" w:eastAsia="仿宋_GB2312"/>
          <w:sz w:val="28"/>
          <w:szCs w:val="32"/>
        </w:rPr>
        <w:t>。</w:t>
      </w:r>
    </w:p>
    <w:p w14:paraId="10EA6AA3">
      <w:pPr>
        <w:spacing w:line="480" w:lineRule="exact"/>
        <w:ind w:firstLine="560" w:firstLineChars="200"/>
        <w:rPr>
          <w:rFonts w:ascii="仿宋_GB2312" w:eastAsia="仿宋_GB2312"/>
          <w:sz w:val="28"/>
          <w:szCs w:val="32"/>
        </w:rPr>
      </w:pPr>
      <w:r>
        <w:rPr>
          <w:rFonts w:hint="eastAsia" w:ascii="仿宋_GB2312" w:eastAsia="仿宋_GB2312"/>
          <w:sz w:val="28"/>
          <w:szCs w:val="32"/>
        </w:rPr>
        <w:t>②推进城镇老旧小区整治改造。更新改造小区燃气等老化管线管道，整治楼栋内人行走道、排风烟道、通风井道等，全力消除安全隐患，支持有条件的楼栋加装电梯。整治小区及周边环境，完善小区停车、充电、消防、通信等配套基础设施，增设助餐、家政等公共服务设施。统筹实施老旧小区、危险住房改造，在挖掘文化遗产价值、保护传统风貌的基础上制定综合性保护、修缮、改造方案，持续提升老旧小区居住环境、设施条件、服务功能和文化价值</w:t>
      </w:r>
      <w:r>
        <w:rPr>
          <w:rFonts w:ascii="仿宋_GB2312" w:eastAsia="仿宋_GB2312"/>
          <w:sz w:val="28"/>
          <w:szCs w:val="32"/>
        </w:rPr>
        <w:t>。</w:t>
      </w:r>
    </w:p>
    <w:p w14:paraId="0C09B38E">
      <w:pPr>
        <w:spacing w:line="480" w:lineRule="exact"/>
        <w:ind w:firstLine="560" w:firstLineChars="200"/>
        <w:rPr>
          <w:rFonts w:ascii="仿宋_GB2312" w:eastAsia="仿宋_GB2312"/>
          <w:sz w:val="28"/>
          <w:szCs w:val="32"/>
        </w:rPr>
      </w:pPr>
      <w:r>
        <w:rPr>
          <w:rFonts w:hint="eastAsia" w:ascii="仿宋_GB2312" w:eastAsia="仿宋_GB2312"/>
          <w:sz w:val="28"/>
          <w:szCs w:val="32"/>
        </w:rPr>
        <w:t>③开展完整社区建设。完善社区基本公共服务设施、便民商业服务设施、公共活动场地等，建设安全健康、设施完善、管理有序的完整社区，构建城市一刻钟便民生活圈。开展城市社区嵌入式服务设施建设，因地制宜补齐公共服务设施短板，优化综合服务设施布局</w:t>
      </w:r>
      <w:r>
        <w:rPr>
          <w:rFonts w:ascii="仿宋_GB2312" w:eastAsia="仿宋_GB2312"/>
          <w:sz w:val="28"/>
          <w:szCs w:val="32"/>
        </w:rPr>
        <w:t>。</w:t>
      </w:r>
    </w:p>
    <w:p w14:paraId="6B39F4DF">
      <w:pPr>
        <w:spacing w:line="480" w:lineRule="exact"/>
        <w:ind w:firstLine="560" w:firstLineChars="200"/>
        <w:rPr>
          <w:rFonts w:ascii="仿宋_GB2312" w:eastAsia="仿宋_GB2312"/>
          <w:sz w:val="28"/>
          <w:szCs w:val="32"/>
        </w:rPr>
      </w:pPr>
      <w:r>
        <w:rPr>
          <w:rFonts w:hint="eastAsia" w:ascii="仿宋_GB2312" w:eastAsia="仿宋_GB2312"/>
          <w:sz w:val="28"/>
          <w:szCs w:val="32"/>
        </w:rPr>
        <w:t>④推进老旧街区、老旧厂区、城中村等更新改造。推动老旧街区功能转换、业态升级、活力提升，因地制宜打造一批活力街区。改造提升商业步行街和旧商业街区，完善配套设施，优化交通组织，提升公共空间品质，丰富商业业态，创新消费场景，推动文旅产业赋能城市更新。鼓励以市场化方式推动老旧厂区更新改造，加强工业遗产保护利用，盘活利用闲置低效厂区、厂房和设施，植入新业态新功能。积极推进城中村改造，做好历史文化风貌保护前期工作，不搞大拆大建，“一村一策”采取拆除新建、整治提升、拆整结合等方式实施改造，切实消除安全风险隐患，改善居住条件和生活环境。加快实施群众改造意愿强烈、城市资金能平衡、征收补偿方案成熟的城中村改造项目。推动老旧火车站与周边老旧街区统筹实施更新改造</w:t>
      </w:r>
      <w:r>
        <w:rPr>
          <w:rFonts w:ascii="仿宋_GB2312" w:eastAsia="仿宋_GB2312"/>
          <w:sz w:val="28"/>
          <w:szCs w:val="32"/>
        </w:rPr>
        <w:t>。</w:t>
      </w:r>
    </w:p>
    <w:p w14:paraId="2974083F">
      <w:pPr>
        <w:spacing w:line="480" w:lineRule="exact"/>
        <w:ind w:firstLine="560" w:firstLineChars="200"/>
        <w:rPr>
          <w:rFonts w:ascii="仿宋_GB2312" w:eastAsia="仿宋_GB2312"/>
          <w:sz w:val="28"/>
          <w:szCs w:val="32"/>
        </w:rPr>
      </w:pPr>
      <w:r>
        <w:rPr>
          <w:rFonts w:hint="eastAsia" w:ascii="仿宋_GB2312" w:eastAsia="仿宋_GB2312"/>
          <w:sz w:val="28"/>
          <w:szCs w:val="32"/>
        </w:rPr>
        <w:t>⑤</w:t>
      </w:r>
      <w:r>
        <w:rPr>
          <w:rFonts w:ascii="仿宋_GB2312" w:eastAsia="仿宋_GB2312"/>
          <w:sz w:val="28"/>
          <w:szCs w:val="32"/>
        </w:rPr>
        <w:t>完善城市功能</w:t>
      </w:r>
      <w:r>
        <w:rPr>
          <w:rFonts w:hint="eastAsia" w:ascii="仿宋_GB2312" w:eastAsia="仿宋_GB2312"/>
          <w:sz w:val="28"/>
          <w:szCs w:val="32"/>
        </w:rPr>
        <w:t>。建立健全多层级、全覆盖的公共服务网络，充分利用存量闲置房屋和低效用地，优先补齐民生领域公共服务设施短板，合理满足人民群众生活需求。积极稳步推进“平急两用”公共基础设施建设。完善城市医疗应急服务体系，加强临时安置、应急物资保障。推进适老化、适儿化改造，加快公共场所无障碍环境建设改造。增加普惠托育服务供给，发展兜底性、普惠型、多样化养老服务。因地制宜建设改造群众身边的全民健身场地设施。推动消费基础设施改造升级。积极拓展城市公共空间，科学布局新型公共文化空间</w:t>
      </w:r>
      <w:r>
        <w:rPr>
          <w:rFonts w:ascii="仿宋_GB2312" w:eastAsia="仿宋_GB2312"/>
          <w:sz w:val="28"/>
          <w:szCs w:val="32"/>
        </w:rPr>
        <w:t>。</w:t>
      </w:r>
    </w:p>
    <w:p w14:paraId="636D2ED4">
      <w:pPr>
        <w:spacing w:line="480" w:lineRule="exact"/>
        <w:ind w:firstLine="560" w:firstLineChars="200"/>
        <w:rPr>
          <w:rFonts w:ascii="仿宋_GB2312" w:eastAsia="仿宋_GB2312"/>
          <w:sz w:val="28"/>
          <w:szCs w:val="32"/>
        </w:rPr>
      </w:pPr>
      <w:r>
        <w:rPr>
          <w:rFonts w:hint="eastAsia" w:ascii="仿宋_GB2312" w:eastAsia="仿宋_GB2312"/>
          <w:sz w:val="28"/>
          <w:szCs w:val="32"/>
        </w:rPr>
        <w:t>⑥加强城市基础设施建设改造。全面排查城市基础设施风险隐患。推进地下空间统筹开发和综合利用。加快城市燃气、供水、排水、污水、供热等地下管线管网和地下综合管廊建设改造，完善建设运维长效管理制度。推动城市供水设施改造提标，加强城市生活污水收集、处理和再生利用及污泥处理处置设施建设改造，加快建立污水处理厂网一体建设运维机制。统筹城市防洪和内涝治理，建立健全城区水系、排水管网与周边江河湖海、水库等联排联调运行管理模式，加快排水防涝设施建设改造，构建完善的城市防洪排涝体系，提升应急处置能力。推动生活垃圾处理设施改造升级。加强公共消防设施建设，适度超前建设防灾工程。完善城市交通基础设施，发展快速干线交通、生活性集散交通和绿色慢行交通，加快建设停车设施。优化城市货运网络规划设计，健全分级配送设施体系</w:t>
      </w:r>
      <w:r>
        <w:rPr>
          <w:rFonts w:ascii="仿宋_GB2312" w:eastAsia="仿宋_GB2312"/>
          <w:sz w:val="28"/>
          <w:szCs w:val="32"/>
        </w:rPr>
        <w:t>。</w:t>
      </w:r>
    </w:p>
    <w:p w14:paraId="6EAA61F7">
      <w:pPr>
        <w:spacing w:line="480" w:lineRule="exact"/>
        <w:ind w:firstLine="560" w:firstLineChars="200"/>
        <w:rPr>
          <w:rFonts w:ascii="仿宋_GB2312" w:eastAsia="仿宋_GB2312"/>
          <w:sz w:val="28"/>
          <w:szCs w:val="32"/>
        </w:rPr>
      </w:pPr>
      <w:r>
        <w:rPr>
          <w:rFonts w:hint="eastAsia" w:ascii="仿宋_GB2312" w:eastAsia="仿宋_GB2312"/>
          <w:sz w:val="28"/>
          <w:szCs w:val="32"/>
        </w:rPr>
        <w:t>⑦修复城市生态系统。坚持治山、治水、治城一体推进，建设连续完整的城市生态基础设施体系。加快修复受损山体和采煤沉陷区，消除安全隐患。推进海绵城市建设，保护修复城市湿地，巩固城市黑臭水体治理成效，推进城市水土保持和生态清洁小流域建设。加强建设用地土壤污染风险管控和修复，确保污染地块安全再利用。持续推进城市绿环绿廊绿楔绿道建设，提高乡土植物应用水平，保护城市生物多样性，增加群众身边的社区公园和口袋公园，推动公园绿地开放共享</w:t>
      </w:r>
      <w:r>
        <w:rPr>
          <w:rFonts w:ascii="仿宋_GB2312" w:eastAsia="仿宋_GB2312"/>
          <w:sz w:val="28"/>
          <w:szCs w:val="32"/>
        </w:rPr>
        <w:t>。</w:t>
      </w:r>
    </w:p>
    <w:p w14:paraId="197D309A">
      <w:pPr>
        <w:spacing w:line="480" w:lineRule="exact"/>
        <w:ind w:firstLine="560" w:firstLineChars="200"/>
        <w:rPr>
          <w:rFonts w:ascii="仿宋_GB2312" w:eastAsia="仿宋_GB2312"/>
          <w:sz w:val="28"/>
          <w:szCs w:val="32"/>
        </w:rPr>
      </w:pPr>
      <w:r>
        <w:rPr>
          <w:rFonts w:hint="eastAsia" w:ascii="仿宋_GB2312" w:eastAsia="仿宋_GB2312"/>
          <w:sz w:val="28"/>
          <w:szCs w:val="32"/>
        </w:rPr>
        <w:t>⑧保护传承城市历史文化。衔接全国文物普查，扎实开展城市文化遗产资源调查。落实“老城不能再拆”的要求，全面调查老城及其历史文化街区，摸清城镇老旧小区、老旧街区、老旧厂区文化遗产资源底数，划定最严格的保护范围。开展文化遗产影响评价，建立健全“先调查后建设”、“先考古后出让”的保护前置机制。加强老旧房屋拆除管理，不随意拆除具有保护价值的老建筑、古民居，禁止拆真建假。建立以居民为主体的保护实施机制，推进历史文化街区修复和不可移动文物、历史建筑修缮，探索合理利用文化遗产的方式路径。保护具有重要历史文化价值、体现中华历史文脉的地名，稳妥清理不规范地名。加强城市更新重点地区、重要地段风貌管控，严格管理超大体量公共建筑、超高层建筑</w:t>
      </w:r>
      <w:r>
        <w:rPr>
          <w:rFonts w:ascii="仿宋_GB2312" w:eastAsia="仿宋_GB2312"/>
          <w:sz w:val="28"/>
          <w:szCs w:val="32"/>
        </w:rPr>
        <w:t>。</w:t>
      </w:r>
    </w:p>
    <w:p w14:paraId="08B392BB">
      <w:pPr>
        <w:spacing w:line="480" w:lineRule="exact"/>
        <w:ind w:firstLine="560" w:firstLineChars="200"/>
        <w:outlineLvl w:val="2"/>
        <w:rPr>
          <w:rFonts w:ascii="仿宋_GB2312" w:eastAsia="仿宋_GB2312"/>
          <w:sz w:val="28"/>
          <w:szCs w:val="32"/>
        </w:rPr>
      </w:pPr>
      <w:r>
        <w:rPr>
          <w:rFonts w:ascii="仿宋_GB2312" w:eastAsia="仿宋_GB2312"/>
          <w:sz w:val="28"/>
          <w:szCs w:val="32"/>
        </w:rPr>
        <w:t>4</w:t>
      </w:r>
      <w:r>
        <w:rPr>
          <w:rFonts w:hint="eastAsia" w:ascii="仿宋_GB2312" w:eastAsia="仿宋_GB2312"/>
          <w:sz w:val="28"/>
          <w:szCs w:val="32"/>
        </w:rPr>
        <w:t>、提出城市更新片区指引</w:t>
      </w:r>
    </w:p>
    <w:p w14:paraId="65B2D55B">
      <w:pPr>
        <w:spacing w:line="480" w:lineRule="exact"/>
        <w:ind w:firstLine="560" w:firstLineChars="200"/>
        <w:rPr>
          <w:rFonts w:ascii="仿宋_GB2312" w:eastAsia="仿宋_GB2312"/>
          <w:sz w:val="28"/>
          <w:szCs w:val="32"/>
        </w:rPr>
      </w:pPr>
      <w:r>
        <w:rPr>
          <w:rFonts w:hint="eastAsia" w:ascii="仿宋_GB2312" w:eastAsia="仿宋_GB2312"/>
          <w:sz w:val="28"/>
          <w:szCs w:val="32"/>
        </w:rPr>
        <w:t>①更新片区划定。以城市道路网、河流等现状地形地貌为基础，综合考虑土地、权属边界、行政区划等要求，成片连片划定更新片区；划定的更新片区要保持既有市政基础设施、公共服务设施的完整性，与完整社区建设、城市一刻钟便民生活圈建设、老旧街区改造等工作范围做好衔接；优先划定更新紧迫性较强、存量资源相对集聚、具备可持续运营条件的区域。</w:t>
      </w:r>
    </w:p>
    <w:p w14:paraId="4602B40C">
      <w:pPr>
        <w:spacing w:line="480" w:lineRule="exact"/>
        <w:ind w:firstLine="560" w:firstLineChars="200"/>
        <w:rPr>
          <w:rFonts w:ascii="仿宋_GB2312" w:eastAsia="仿宋_GB2312"/>
          <w:sz w:val="28"/>
          <w:szCs w:val="32"/>
        </w:rPr>
      </w:pPr>
      <w:r>
        <w:rPr>
          <w:rFonts w:hint="eastAsia" w:ascii="仿宋_GB2312" w:eastAsia="仿宋_GB2312"/>
          <w:sz w:val="28"/>
          <w:szCs w:val="32"/>
        </w:rPr>
        <w:t>②更新片区指引。根据更新片区的资源禀赋特征与功能发展需要，提出片区的功能优化与更新目标引导、更新任务传导、更新方式与内容引导等，落实好城市更新规划重点任务和实施要求。</w:t>
      </w:r>
    </w:p>
    <w:p w14:paraId="6C10D11E">
      <w:pPr>
        <w:spacing w:line="480" w:lineRule="exact"/>
        <w:ind w:firstLine="560" w:firstLineChars="200"/>
        <w:rPr>
          <w:rFonts w:ascii="仿宋_GB2312" w:eastAsia="仿宋_GB2312"/>
          <w:sz w:val="28"/>
          <w:szCs w:val="32"/>
        </w:rPr>
      </w:pPr>
      <w:r>
        <w:rPr>
          <w:rFonts w:hint="eastAsia" w:ascii="仿宋_GB2312" w:eastAsia="仿宋_GB2312"/>
          <w:sz w:val="28"/>
          <w:szCs w:val="32"/>
        </w:rPr>
        <w:t>③更新片区管控。严格落实城市更新专项规划和其他相关专项规划对底线管控的要求，对城市更新片区提出历史文化保护、海绵城市建设、防灾减灾等管控措施，不破坏地形地貌，不伐移老树和有乡土特点的现有树木，不挖山填湖，不随意改变或侵占河湖水系，排查整治安全隐患，防范应对城市运行中的风险挑战，提高城市安全韧性。</w:t>
      </w:r>
    </w:p>
    <w:p w14:paraId="08A155F6">
      <w:pPr>
        <w:spacing w:line="480" w:lineRule="exact"/>
        <w:ind w:firstLine="560" w:firstLineChars="200"/>
        <w:outlineLvl w:val="2"/>
        <w:rPr>
          <w:rFonts w:ascii="仿宋_GB2312" w:eastAsia="仿宋_GB2312"/>
          <w:sz w:val="28"/>
          <w:szCs w:val="32"/>
        </w:rPr>
      </w:pPr>
      <w:bookmarkStart w:id="3" w:name="_Toc217640405"/>
      <w:r>
        <w:rPr>
          <w:rFonts w:ascii="仿宋_GB2312" w:eastAsia="仿宋_GB2312"/>
          <w:sz w:val="28"/>
          <w:szCs w:val="32"/>
        </w:rPr>
        <w:t>5</w:t>
      </w:r>
      <w:r>
        <w:rPr>
          <w:rFonts w:hint="eastAsia" w:ascii="仿宋_GB2312" w:eastAsia="仿宋_GB2312"/>
          <w:sz w:val="28"/>
          <w:szCs w:val="32"/>
        </w:rPr>
        <w:t>．建立</w:t>
      </w:r>
      <w:r>
        <w:rPr>
          <w:rFonts w:ascii="仿宋_GB2312" w:eastAsia="仿宋_GB2312"/>
          <w:sz w:val="28"/>
          <w:szCs w:val="32"/>
        </w:rPr>
        <w:t>城市更新项目库</w:t>
      </w:r>
      <w:bookmarkEnd w:id="3"/>
    </w:p>
    <w:p w14:paraId="12BCA179">
      <w:pPr>
        <w:spacing w:line="480" w:lineRule="exact"/>
        <w:ind w:firstLine="560" w:firstLineChars="200"/>
        <w:rPr>
          <w:rFonts w:ascii="仿宋_GB2312" w:eastAsia="仿宋_GB2312"/>
          <w:sz w:val="28"/>
          <w:szCs w:val="32"/>
        </w:rPr>
      </w:pPr>
      <w:r>
        <w:rPr>
          <w:rFonts w:hint="eastAsia" w:ascii="仿宋_GB2312" w:eastAsia="仿宋_GB2312"/>
          <w:sz w:val="28"/>
          <w:szCs w:val="32"/>
        </w:rPr>
        <w:t>根据城市更新目标与策略，结合更新重点任务，并与相关部门进行充分对接，以落地实施为导向，建立城市更新项目库，明确项目入库、出库的管理规则。</w:t>
      </w:r>
    </w:p>
    <w:p w14:paraId="1056BE2A">
      <w:pPr>
        <w:spacing w:line="480" w:lineRule="exact"/>
        <w:ind w:firstLine="560" w:firstLineChars="200"/>
        <w:rPr>
          <w:rFonts w:ascii="仿宋_GB2312" w:eastAsia="仿宋_GB2312"/>
          <w:sz w:val="28"/>
          <w:szCs w:val="32"/>
        </w:rPr>
      </w:pPr>
      <w:r>
        <w:rPr>
          <w:rFonts w:hint="eastAsia" w:ascii="仿宋_GB2312" w:eastAsia="仿宋_GB2312"/>
          <w:sz w:val="28"/>
          <w:szCs w:val="32"/>
        </w:rPr>
        <w:t>①项目遴选标准。以五年为周期筛选项目，制定分级分类评估体系，优先纳入民生短板补足、安全韧性提升、产业转型升级等项目，明确项目名称、类型、建设规模、实施时序及四至范围等，优先纳入实施主体明确、资金来源确定的项目。</w:t>
      </w:r>
    </w:p>
    <w:p w14:paraId="6ACA16B7">
      <w:pPr>
        <w:spacing w:line="480" w:lineRule="exact"/>
        <w:ind w:firstLine="560" w:firstLineChars="200"/>
        <w:rPr>
          <w:rFonts w:ascii="仿宋_GB2312" w:eastAsia="仿宋_GB2312"/>
          <w:sz w:val="28"/>
          <w:szCs w:val="32"/>
        </w:rPr>
      </w:pPr>
      <w:r>
        <w:rPr>
          <w:rFonts w:hint="eastAsia" w:ascii="仿宋_GB2312" w:eastAsia="仿宋_GB2312"/>
          <w:sz w:val="28"/>
          <w:szCs w:val="32"/>
        </w:rPr>
        <w:t>②项目入库、出库管理规则。实行项目出入库动态管理，入库前应通过住房城乡建设、发展改革、财政、自然资源、金融监管等多部门组成的联合审查，从合规性、必要性、可行性等维度进行综合评审。实施过程中定期评估项目进度、资金落实及社会效益情况，对未达进度要求、资金缺口大、存在重大安全隐患或违反相关法律法规规定行为的项目，启动退库程序。</w:t>
      </w:r>
    </w:p>
    <w:p w14:paraId="65D652EE">
      <w:pPr>
        <w:spacing w:line="480" w:lineRule="exact"/>
        <w:ind w:firstLine="560" w:firstLineChars="200"/>
        <w:rPr>
          <w:rFonts w:ascii="仿宋_GB2312" w:eastAsia="仿宋_GB2312"/>
          <w:sz w:val="28"/>
          <w:szCs w:val="32"/>
        </w:rPr>
      </w:pPr>
      <w:r>
        <w:rPr>
          <w:rFonts w:hint="eastAsia" w:ascii="仿宋_GB2312" w:eastAsia="仿宋_GB2312"/>
          <w:sz w:val="28"/>
          <w:szCs w:val="32"/>
        </w:rPr>
        <w:t>③动态调整机制。实施“年度评估</w:t>
      </w:r>
      <w:r>
        <w:rPr>
          <w:rFonts w:ascii="仿宋_GB2312" w:eastAsia="仿宋_GB2312"/>
          <w:sz w:val="28"/>
          <w:szCs w:val="32"/>
        </w:rPr>
        <w:t>+动态调整”，结合年度城市体检动态增补优先项目，对符合民生急需、政策导向的项目开辟</w:t>
      </w:r>
      <w:r>
        <w:rPr>
          <w:rFonts w:hint="eastAsia" w:ascii="仿宋_GB2312" w:eastAsia="仿宋_GB2312"/>
          <w:sz w:val="28"/>
          <w:szCs w:val="32"/>
        </w:rPr>
        <w:t>“</w:t>
      </w:r>
      <w:r>
        <w:rPr>
          <w:rFonts w:ascii="仿宋_GB2312" w:eastAsia="仿宋_GB2312"/>
          <w:sz w:val="28"/>
          <w:szCs w:val="32"/>
        </w:rPr>
        <w:t>绿色通道</w:t>
      </w:r>
      <w:r>
        <w:rPr>
          <w:rFonts w:hint="eastAsia" w:ascii="仿宋_GB2312" w:eastAsia="仿宋_GB2312"/>
          <w:sz w:val="28"/>
          <w:szCs w:val="32"/>
        </w:rPr>
        <w:t>”</w:t>
      </w:r>
      <w:r>
        <w:rPr>
          <w:rFonts w:ascii="仿宋_GB2312" w:eastAsia="仿宋_GB2312"/>
          <w:sz w:val="28"/>
          <w:szCs w:val="32"/>
        </w:rPr>
        <w:t>，优先增补入库。针对政策调整、市场变化等情况，及时优化项目实施时序。</w:t>
      </w:r>
    </w:p>
    <w:p w14:paraId="22FE7409">
      <w:pPr>
        <w:spacing w:line="480" w:lineRule="exact"/>
        <w:ind w:firstLine="560" w:firstLineChars="200"/>
        <w:outlineLvl w:val="2"/>
        <w:rPr>
          <w:rFonts w:ascii="仿宋_GB2312" w:eastAsia="仿宋_GB2312"/>
          <w:sz w:val="28"/>
          <w:szCs w:val="32"/>
        </w:rPr>
      </w:pPr>
      <w:bookmarkStart w:id="4" w:name="_Toc217640406"/>
      <w:r>
        <w:rPr>
          <w:rFonts w:ascii="仿宋_GB2312" w:eastAsia="仿宋_GB2312"/>
          <w:sz w:val="28"/>
          <w:szCs w:val="32"/>
        </w:rPr>
        <w:t>6</w:t>
      </w:r>
      <w:r>
        <w:rPr>
          <w:rFonts w:hint="eastAsia" w:ascii="仿宋_GB2312" w:eastAsia="仿宋_GB2312"/>
          <w:sz w:val="28"/>
          <w:szCs w:val="32"/>
        </w:rPr>
        <w:t>．研究城市更新</w:t>
      </w:r>
      <w:r>
        <w:rPr>
          <w:rFonts w:ascii="仿宋_GB2312" w:eastAsia="仿宋_GB2312"/>
          <w:sz w:val="28"/>
          <w:szCs w:val="32"/>
        </w:rPr>
        <w:t>配套政策</w:t>
      </w:r>
      <w:bookmarkEnd w:id="4"/>
    </w:p>
    <w:p w14:paraId="16B630D3">
      <w:pPr>
        <w:spacing w:line="480" w:lineRule="exact"/>
        <w:ind w:firstLine="560" w:firstLineChars="200"/>
        <w:rPr>
          <w:rFonts w:ascii="仿宋_GB2312" w:eastAsia="仿宋_GB2312"/>
          <w:sz w:val="28"/>
          <w:szCs w:val="32"/>
        </w:rPr>
      </w:pPr>
      <w:r>
        <w:rPr>
          <w:rFonts w:hint="eastAsia" w:ascii="仿宋_GB2312" w:eastAsia="仿宋_GB2312"/>
          <w:sz w:val="28"/>
          <w:szCs w:val="32"/>
        </w:rPr>
        <w:t>深入研究国内外优秀更新案例，准确解读国家、省级各部门相关政策要求，重点关注城市更新改造实施机制和政策机制探索。结合崇仁县城市财政和项目运行机制等因素，深入研究城市更新工作的实施机制和配套政策</w:t>
      </w:r>
      <w:r>
        <w:rPr>
          <w:rFonts w:ascii="仿宋_GB2312" w:eastAsia="仿宋_GB2312"/>
          <w:sz w:val="28"/>
          <w:szCs w:val="32"/>
        </w:rPr>
        <w:t>。</w:t>
      </w:r>
    </w:p>
    <w:p w14:paraId="667BC0ED">
      <w:pPr>
        <w:spacing w:line="480" w:lineRule="exact"/>
        <w:ind w:firstLine="560" w:firstLineChars="200"/>
        <w:rPr>
          <w:rFonts w:ascii="仿宋_GB2312" w:eastAsia="仿宋_GB2312"/>
          <w:sz w:val="28"/>
          <w:szCs w:val="32"/>
        </w:rPr>
      </w:pPr>
      <w:r>
        <w:rPr>
          <w:rFonts w:hint="eastAsia" w:ascii="仿宋_GB2312" w:eastAsia="仿宋_GB2312"/>
          <w:sz w:val="28"/>
          <w:szCs w:val="32"/>
        </w:rPr>
        <w:t>①</w:t>
      </w:r>
      <w:r>
        <w:rPr>
          <w:rFonts w:ascii="仿宋_GB2312" w:eastAsia="仿宋_GB2312"/>
          <w:sz w:val="28"/>
          <w:szCs w:val="32"/>
        </w:rPr>
        <w:t>创新城市更新配套政策</w:t>
      </w:r>
      <w:r>
        <w:rPr>
          <w:rFonts w:hint="eastAsia" w:ascii="仿宋_GB2312" w:eastAsia="仿宋_GB2312"/>
          <w:sz w:val="28"/>
          <w:szCs w:val="32"/>
        </w:rPr>
        <w:t>。探索制定一套符合崇仁县实际的城市更新政策体系，重点围绕老旧小区改造、市政基础设施提升等方面的城市更新项目实施运营模式，研究开辟各类城市更新项目绿色通道，探索项目审批、土地供应、用地调整、方案制定、资源配给、物业管理等城市更新实施运营各流程实施管理机制</w:t>
      </w:r>
      <w:r>
        <w:rPr>
          <w:rFonts w:ascii="仿宋_GB2312" w:eastAsia="仿宋_GB2312"/>
          <w:sz w:val="28"/>
          <w:szCs w:val="32"/>
        </w:rPr>
        <w:t>。</w:t>
      </w:r>
    </w:p>
    <w:p w14:paraId="34A53FBB">
      <w:pPr>
        <w:spacing w:line="480" w:lineRule="exact"/>
        <w:ind w:firstLine="560" w:firstLineChars="200"/>
        <w:rPr>
          <w:rFonts w:ascii="仿宋_GB2312" w:eastAsia="仿宋_GB2312"/>
          <w:sz w:val="28"/>
          <w:szCs w:val="32"/>
        </w:rPr>
      </w:pPr>
      <w:r>
        <w:rPr>
          <w:rFonts w:hint="eastAsia" w:ascii="仿宋_GB2312" w:eastAsia="仿宋_GB2312"/>
          <w:sz w:val="28"/>
          <w:szCs w:val="32"/>
        </w:rPr>
        <w:t>②</w:t>
      </w:r>
      <w:r>
        <w:rPr>
          <w:rFonts w:ascii="仿宋_GB2312" w:eastAsia="仿宋_GB2312"/>
          <w:sz w:val="28"/>
          <w:szCs w:val="32"/>
        </w:rPr>
        <w:t>研究资金保障机制</w:t>
      </w:r>
      <w:r>
        <w:rPr>
          <w:rFonts w:hint="eastAsia" w:ascii="仿宋_GB2312" w:eastAsia="仿宋_GB2312"/>
          <w:sz w:val="28"/>
          <w:szCs w:val="32"/>
        </w:rPr>
        <w:t>。探索社会资本参与模式，激发多元市场主体投资活力和创新活力，研究城市更新收益分配机制和税收金融支持政策，探索创新城市更新区域统筹与资金平衡，保障城市更新资金落实。建立财政资金与项目库联动机制，根据项目成熟度合理分配资金，确保项目推进与规划目标、更新时序、片区发展需求协同。</w:t>
      </w:r>
    </w:p>
    <w:p w14:paraId="4D3E9AC0">
      <w:pPr>
        <w:spacing w:line="480" w:lineRule="exact"/>
        <w:ind w:firstLine="560" w:firstLineChars="200"/>
        <w:outlineLvl w:val="2"/>
        <w:rPr>
          <w:rFonts w:ascii="仿宋_GB2312" w:eastAsia="仿宋_GB2312"/>
          <w:sz w:val="28"/>
          <w:szCs w:val="32"/>
        </w:rPr>
      </w:pPr>
      <w:r>
        <w:rPr>
          <w:rFonts w:hint="eastAsia" w:ascii="仿宋_GB2312" w:eastAsia="仿宋_GB2312"/>
          <w:sz w:val="28"/>
          <w:szCs w:val="32"/>
        </w:rPr>
        <w:t>7、规划成果内容</w:t>
      </w:r>
    </w:p>
    <w:p w14:paraId="629A25C9">
      <w:pPr>
        <w:spacing w:line="480" w:lineRule="exact"/>
        <w:ind w:firstLine="560" w:firstLineChars="200"/>
        <w:rPr>
          <w:rFonts w:ascii="仿宋_GB2312" w:eastAsia="仿宋_GB2312"/>
          <w:sz w:val="28"/>
          <w:szCs w:val="32"/>
        </w:rPr>
      </w:pPr>
      <w:r>
        <w:rPr>
          <w:rFonts w:hint="eastAsia" w:ascii="仿宋_GB2312" w:eastAsia="仿宋_GB2312"/>
          <w:sz w:val="28"/>
          <w:szCs w:val="32"/>
        </w:rPr>
        <w:t>城市更新专项规划成果由规划文本、规划图表、其他支撑材料三部分组成。</w:t>
      </w:r>
    </w:p>
    <w:p w14:paraId="6C457AEE">
      <w:pPr>
        <w:spacing w:line="480" w:lineRule="exact"/>
        <w:ind w:firstLine="560" w:firstLineChars="200"/>
        <w:rPr>
          <w:rFonts w:ascii="仿宋_GB2312" w:eastAsia="仿宋_GB2312"/>
          <w:sz w:val="28"/>
          <w:szCs w:val="32"/>
        </w:rPr>
      </w:pPr>
      <w:r>
        <w:rPr>
          <w:rFonts w:hint="eastAsia" w:ascii="仿宋_GB2312" w:eastAsia="仿宋_GB2312"/>
          <w:sz w:val="28"/>
          <w:szCs w:val="32"/>
        </w:rPr>
        <w:t>①规划文本。规划文本应包括总体目标、重点区域、重点任务、片区指引、项目库、保障措施等内容。</w:t>
      </w:r>
    </w:p>
    <w:p w14:paraId="1D59C0C0">
      <w:pPr>
        <w:spacing w:line="480" w:lineRule="exact"/>
        <w:ind w:firstLine="560" w:firstLineChars="200"/>
        <w:rPr>
          <w:rFonts w:ascii="仿宋_GB2312" w:eastAsia="仿宋_GB2312"/>
          <w:sz w:val="28"/>
          <w:szCs w:val="32"/>
        </w:rPr>
      </w:pPr>
      <w:r>
        <w:rPr>
          <w:rFonts w:hint="eastAsia" w:ascii="仿宋_GB2312" w:eastAsia="仿宋_GB2312"/>
          <w:sz w:val="28"/>
          <w:szCs w:val="32"/>
        </w:rPr>
        <w:t>②规划图表。规划图表是规划文本的空间化、可视化表达，需与文本内容一一对应，应包括更新对象分布图、更新任务规划图、更新片区划分图、更新片区指引图、更新项目实施计划表等。</w:t>
      </w:r>
    </w:p>
    <w:p w14:paraId="1C14B3D7">
      <w:pPr>
        <w:spacing w:line="480" w:lineRule="exact"/>
        <w:ind w:firstLine="560" w:firstLineChars="200"/>
        <w:rPr>
          <w:rFonts w:ascii="仿宋_GB2312" w:eastAsia="仿宋_GB2312"/>
          <w:sz w:val="28"/>
          <w:szCs w:val="32"/>
        </w:rPr>
      </w:pPr>
      <w:r>
        <w:rPr>
          <w:rFonts w:hint="eastAsia" w:ascii="仿宋_GB2312" w:eastAsia="仿宋_GB2312"/>
          <w:sz w:val="28"/>
          <w:szCs w:val="32"/>
        </w:rPr>
        <w:t>③其他支撑材料。会议纪要、部门意见、专家论证意见等。</w:t>
      </w:r>
    </w:p>
    <w:p w14:paraId="71B01E90">
      <w:bookmarkStart w:id="5" w:name="_GoBack"/>
      <w:bookmarkEnd w:id="5"/>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B3942"/>
    <w:multiLevelType w:val="multilevel"/>
    <w:tmpl w:val="453B3942"/>
    <w:lvl w:ilvl="0" w:tentative="0">
      <w:start w:val="1"/>
      <w:numFmt w:val="decimal"/>
      <w:lvlText w:val="第%1章"/>
      <w:lvlJc w:val="left"/>
      <w:pPr>
        <w:tabs>
          <w:tab w:val="left" w:pos="851"/>
        </w:tabs>
        <w:ind w:left="0" w:firstLine="0"/>
      </w:pPr>
      <w:rPr>
        <w:rFonts w:hint="eastAsia"/>
      </w:rPr>
    </w:lvl>
    <w:lvl w:ilvl="1" w:tentative="0">
      <w:start w:val="1"/>
      <w:numFmt w:val="decimalZero"/>
      <w:pStyle w:val="2"/>
      <w:isLgl/>
      <w:lvlText w:val="节 %1.%2"/>
      <w:lvlJc w:val="left"/>
      <w:pPr>
        <w:tabs>
          <w:tab w:val="left" w:pos="720"/>
        </w:tabs>
        <w:ind w:left="0" w:firstLine="0"/>
      </w:pPr>
      <w:rPr>
        <w:rFonts w:hint="eastAsia"/>
      </w:rPr>
    </w:lvl>
    <w:lvl w:ilvl="2" w:tentative="0">
      <w:start w:val="1"/>
      <w:numFmt w:val="lowerLetter"/>
      <w:lvlText w:val="(%3)"/>
      <w:lvlJc w:val="left"/>
      <w:pPr>
        <w:tabs>
          <w:tab w:val="left" w:pos="720"/>
        </w:tabs>
        <w:ind w:left="720" w:hanging="432"/>
      </w:pPr>
      <w:rPr>
        <w:rFonts w:hint="eastAsia"/>
      </w:rPr>
    </w:lvl>
    <w:lvl w:ilvl="3" w:tentative="0">
      <w:start w:val="1"/>
      <w:numFmt w:val="lowerRoman"/>
      <w:lvlText w:val="(%4)"/>
      <w:lvlJc w:val="right"/>
      <w:pPr>
        <w:tabs>
          <w:tab w:val="left" w:pos="864"/>
        </w:tabs>
        <w:ind w:left="864" w:hanging="144"/>
      </w:pPr>
      <w:rPr>
        <w:rFonts w:hint="eastAsia"/>
      </w:rPr>
    </w:lvl>
    <w:lvl w:ilvl="4" w:tentative="0">
      <w:start w:val="1"/>
      <w:numFmt w:val="decimal"/>
      <w:lvlText w:val="%5)"/>
      <w:lvlJc w:val="left"/>
      <w:pPr>
        <w:tabs>
          <w:tab w:val="left" w:pos="1008"/>
        </w:tabs>
        <w:ind w:left="1008" w:hanging="432"/>
      </w:pPr>
      <w:rPr>
        <w:rFonts w:hint="eastAsia"/>
      </w:rPr>
    </w:lvl>
    <w:lvl w:ilvl="5" w:tentative="0">
      <w:start w:val="1"/>
      <w:numFmt w:val="lowerLetter"/>
      <w:lvlText w:val="%6)"/>
      <w:lvlJc w:val="left"/>
      <w:pPr>
        <w:tabs>
          <w:tab w:val="left" w:pos="1152"/>
        </w:tabs>
        <w:ind w:left="1152" w:hanging="432"/>
      </w:pPr>
      <w:rPr>
        <w:rFonts w:hint="eastAsia"/>
      </w:rPr>
    </w:lvl>
    <w:lvl w:ilvl="6" w:tentative="0">
      <w:start w:val="1"/>
      <w:numFmt w:val="lowerRoman"/>
      <w:lvlText w:val="%7)"/>
      <w:lvlJc w:val="right"/>
      <w:pPr>
        <w:tabs>
          <w:tab w:val="left" w:pos="1296"/>
        </w:tabs>
        <w:ind w:left="1296" w:hanging="288"/>
      </w:pPr>
      <w:rPr>
        <w:rFonts w:hint="eastAsia"/>
      </w:rPr>
    </w:lvl>
    <w:lvl w:ilvl="7" w:tentative="0">
      <w:start w:val="1"/>
      <w:numFmt w:val="lowerLetter"/>
      <w:lvlText w:val="%8."/>
      <w:lvlJc w:val="left"/>
      <w:pPr>
        <w:tabs>
          <w:tab w:val="left" w:pos="1440"/>
        </w:tabs>
        <w:ind w:left="1440" w:hanging="432"/>
      </w:pPr>
      <w:rPr>
        <w:rFonts w:hint="eastAsia"/>
      </w:rPr>
    </w:lvl>
    <w:lvl w:ilvl="8" w:tentative="0">
      <w:start w:val="1"/>
      <w:numFmt w:val="lowerRoman"/>
      <w:lvlText w:val="%9."/>
      <w:lvlJc w:val="right"/>
      <w:pPr>
        <w:tabs>
          <w:tab w:val="left" w:pos="1584"/>
        </w:tabs>
        <w:ind w:left="1584" w:hanging="14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NmMGEyZTU5Mjg0N2EzMTFmMzA5YzY2ZGY4NjNiMjAifQ=="/>
  </w:docVars>
  <w:rsids>
    <w:rsidRoot w:val="00000000"/>
    <w:rsid w:val="550D5AC6"/>
    <w:rsid w:val="59A715D8"/>
    <w:rsid w:val="7C870E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uto"/>
      <w:jc w:val="both"/>
      <w:textAlignment w:val="baseline"/>
    </w:pPr>
    <w:rPr>
      <w:rFonts w:ascii="宋体" w:hAnsi="Times New Roman" w:eastAsia="仿宋" w:cs="Times New Roman"/>
      <w:sz w:val="28"/>
      <w:szCs w:val="21"/>
      <w:lang w:val="en-US" w:eastAsia="zh-CN" w:bidi="ar-SA"/>
    </w:rPr>
  </w:style>
  <w:style w:type="paragraph" w:styleId="2">
    <w:name w:val="heading 2"/>
    <w:basedOn w:val="1"/>
    <w:next w:val="1"/>
    <w:qFormat/>
    <w:uiPriority w:val="0"/>
    <w:pPr>
      <w:keepNext/>
      <w:keepLines/>
      <w:numPr>
        <w:ilvl w:val="1"/>
        <w:numId w:val="1"/>
      </w:numPr>
      <w:spacing w:before="260" w:after="260" w:line="416" w:lineRule="atLeast"/>
      <w:outlineLvl w:val="1"/>
    </w:pPr>
    <w:rPr>
      <w:rFonts w:ascii="Arial" w:hAnsi="Arial" w:eastAsia="黑体"/>
      <w:b/>
      <w:bCs/>
      <w:sz w:val="32"/>
      <w:szCs w:val="32"/>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pPr>
      <w:spacing w:after="120"/>
    </w:pPr>
    <w:rPr>
      <w:sz w:val="24"/>
    </w:rPr>
  </w:style>
  <w:style w:type="paragraph" w:customStyle="1" w:styleId="4">
    <w:name w:val="自动更正"/>
    <w:qFormat/>
    <w:uiPriority w:val="99"/>
    <w:pPr>
      <w:widowControl w:val="0"/>
    </w:pPr>
    <w:rPr>
      <w:rFonts w:ascii="Times New Roman" w:hAnsi="Times New Roman" w:eastAsia="宋体" w:cs="Times New Roman"/>
      <w:kern w:val="2"/>
      <w:sz w:val="24"/>
      <w:szCs w:val="24"/>
      <w:lang w:val="en-US" w:eastAsia="zh-CN" w:bidi="ar-SA"/>
    </w:rPr>
  </w:style>
  <w:style w:type="paragraph" w:styleId="5">
    <w:name w:val="Body Text Indent"/>
    <w:basedOn w:val="1"/>
    <w:next w:val="6"/>
    <w:qFormat/>
    <w:uiPriority w:val="0"/>
    <w:pPr>
      <w:spacing w:after="120"/>
      <w:ind w:left="420" w:leftChars="200"/>
    </w:pPr>
    <w:rPr>
      <w:sz w:val="24"/>
    </w:rPr>
  </w:style>
  <w:style w:type="paragraph" w:styleId="6">
    <w:name w:val="Body Text Indent 2"/>
    <w:basedOn w:val="1"/>
    <w:qFormat/>
    <w:uiPriority w:val="0"/>
    <w:pPr>
      <w:spacing w:after="120" w:line="480" w:lineRule="auto"/>
      <w:ind w:left="420" w:leftChars="200"/>
    </w:pPr>
    <w:rPr>
      <w:sz w:val="24"/>
    </w:rPr>
  </w:style>
  <w:style w:type="paragraph" w:styleId="7">
    <w:name w:val="Normal (Web)"/>
    <w:basedOn w:val="1"/>
    <w:qFormat/>
    <w:uiPriority w:val="99"/>
    <w:rPr>
      <w:rFonts w:ascii="Times New Roman"/>
      <w:szCs w:val="24"/>
    </w:rPr>
  </w:style>
  <w:style w:type="table" w:styleId="9">
    <w:name w:val="Table Grid"/>
    <w:basedOn w:val="8"/>
    <w:qFormat/>
    <w:uiPriority w:val="0"/>
    <w:pPr>
      <w:widowControl w:val="0"/>
      <w:adjustRightInd w:val="0"/>
      <w:spacing w:line="312" w:lineRule="atLeast"/>
      <w:jc w:val="both"/>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bC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1515</Words>
  <Characters>1565</Characters>
  <Lines>0</Lines>
  <Paragraphs>0</Paragraphs>
  <TotalTime>0</TotalTime>
  <ScaleCrop>false</ScaleCrop>
  <LinksUpToDate>false</LinksUpToDate>
  <CharactersWithSpaces>1589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2024-05-14T08:45:00Z</dcterms:created>
  <dc:creator>Administrator</dc:creator>
  <cp:lastModifiedBy>Administrator</cp:lastModifiedBy>
  <dcterms:modified xsi:type="dcterms:W3CDTF">2026-05-20T08:40:40Z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E7BF755884D547FD8CDF443C2698354A_12</vt:lpwstr>
  </property>
  <property fmtid="{D5CDD505-2E9C-101B-9397-08002B2CF9AE}" pid="4" name="KSOTemplateDocerSaveRecord">
    <vt:lpwstr>eyJoZGlkIjoiYWUxOWMzNDM1MGY2MTgwMjczOTM0YjE3MzNiMjhkYTYiLCJ1c2VySWQiOiIzNjQzMjE1MDcifQ==</vt:lpwstr>
  </property>
</Properties>
</file>