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47CF8">
      <w:pPr>
        <w:keepNext w:val="0"/>
        <w:keepLines w:val="0"/>
        <w:pageBreakBefore w:val="0"/>
        <w:widowControl w:val="0"/>
        <w:wordWrap/>
        <w:overflowPunct/>
        <w:topLinePunct w:val="0"/>
        <w:bidi w:val="0"/>
        <w:spacing w:before="78" w:line="360" w:lineRule="auto"/>
        <w:outlineLvl w:val="2"/>
        <w:rPr>
          <w:rFonts w:hint="eastAsia" w:ascii="宋体" w:hAnsi="宋体" w:eastAsia="宋体" w:cs="宋体"/>
          <w:color w:val="auto"/>
          <w:sz w:val="24"/>
          <w:szCs w:val="24"/>
          <w:lang w:eastAsia="zh-CN"/>
        </w:rPr>
      </w:pPr>
      <w:bookmarkStart w:id="0" w:name="_Toc5372"/>
      <w:bookmarkStart w:id="1" w:name="_Toc16676"/>
      <w:r>
        <w:rPr>
          <w:rFonts w:hint="eastAsia" w:ascii="宋体" w:hAnsi="宋体" w:eastAsia="宋体" w:cs="宋体"/>
          <w:b/>
          <w:bCs/>
          <w:color w:val="auto"/>
          <w:spacing w:val="-5"/>
          <w:sz w:val="24"/>
          <w:szCs w:val="24"/>
          <w:lang w:eastAsia="zh-CN"/>
        </w:rPr>
        <w:t>（一）</w:t>
      </w:r>
      <w:r>
        <w:rPr>
          <w:rFonts w:hint="eastAsia" w:ascii="宋体" w:hAnsi="宋体" w:eastAsia="宋体" w:cs="宋体"/>
          <w:b/>
          <w:bCs/>
          <w:color w:val="auto"/>
          <w:spacing w:val="25"/>
          <w:sz w:val="24"/>
          <w:szCs w:val="24"/>
          <w:lang w:eastAsia="zh-CN"/>
        </w:rPr>
        <w:t xml:space="preserve"> </w:t>
      </w:r>
      <w:r>
        <w:rPr>
          <w:rFonts w:hint="eastAsia" w:ascii="宋体" w:hAnsi="宋体" w:eastAsia="宋体" w:cs="宋体"/>
          <w:b/>
          <w:bCs/>
          <w:color w:val="auto"/>
          <w:spacing w:val="-5"/>
          <w:sz w:val="24"/>
          <w:szCs w:val="24"/>
          <w:lang w:eastAsia="zh-CN"/>
        </w:rPr>
        <w:t>服务</w:t>
      </w:r>
      <w:r>
        <w:rPr>
          <w:rFonts w:hint="eastAsia" w:ascii="宋体" w:hAnsi="宋体" w:eastAsia="宋体" w:cs="宋体"/>
          <w:b/>
          <w:bCs/>
          <w:color w:val="auto"/>
          <w:spacing w:val="-5"/>
          <w:sz w:val="24"/>
          <w:szCs w:val="24"/>
          <w:lang w:val="en-US" w:eastAsia="zh-CN"/>
        </w:rPr>
        <w:t>要</w:t>
      </w:r>
      <w:r>
        <w:rPr>
          <w:rFonts w:hint="eastAsia" w:ascii="宋体" w:hAnsi="宋体" w:eastAsia="宋体" w:cs="宋体"/>
          <w:b/>
          <w:bCs/>
          <w:color w:val="auto"/>
          <w:spacing w:val="-5"/>
          <w:sz w:val="24"/>
          <w:szCs w:val="24"/>
          <w:lang w:eastAsia="zh-CN"/>
        </w:rPr>
        <w:t>求</w:t>
      </w:r>
      <w:bookmarkEnd w:id="0"/>
      <w:bookmarkEnd w:id="1"/>
    </w:p>
    <w:p w14:paraId="0E4C4B93">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b w:val="0"/>
          <w:bCs w:val="0"/>
          <w:i w:val="0"/>
          <w:iCs w:val="0"/>
          <w:caps w:val="0"/>
          <w:color w:val="auto"/>
          <w:spacing w:val="0"/>
          <w:sz w:val="24"/>
          <w:szCs w:val="24"/>
          <w:lang w:eastAsia="zh-CN"/>
        </w:rPr>
      </w:pPr>
      <w:bookmarkStart w:id="2" w:name="_Toc31111"/>
      <w:r>
        <w:rPr>
          <w:rFonts w:hint="eastAsia" w:ascii="宋体" w:hAnsi="宋体" w:eastAsia="宋体" w:cs="宋体"/>
          <w:color w:val="auto"/>
          <w:sz w:val="24"/>
          <w:szCs w:val="24"/>
          <w:lang w:val="en-US" w:eastAsia="zh-CN"/>
        </w:rPr>
        <w:t>1、投保对象：为省交通运输执法局所属单位2025年购置的78台无人机采购机身险、第三者责任险，78台无人机具体型号为：</w:t>
      </w:r>
      <w:r>
        <w:rPr>
          <w:rFonts w:hint="eastAsia" w:ascii="宋体" w:hAnsi="宋体" w:eastAsia="宋体" w:cs="宋体"/>
          <w:b w:val="0"/>
          <w:bCs w:val="0"/>
          <w:i w:val="0"/>
          <w:iCs w:val="0"/>
          <w:caps w:val="0"/>
          <w:color w:val="auto"/>
          <w:spacing w:val="0"/>
          <w:sz w:val="24"/>
          <w:szCs w:val="24"/>
          <w:shd w:val="clear"/>
          <w:lang w:eastAsia="zh-CN"/>
        </w:rPr>
        <w:t>12台浙江华飞DH-UAV-R20-XX（</w:t>
      </w:r>
      <w:r>
        <w:rPr>
          <w:rFonts w:hint="eastAsia" w:ascii="宋体" w:hAnsi="宋体" w:eastAsia="宋体" w:cs="宋体"/>
          <w:b w:val="0"/>
          <w:bCs w:val="0"/>
          <w:i w:val="0"/>
          <w:iCs w:val="0"/>
          <w:caps w:val="0"/>
          <w:color w:val="auto"/>
          <w:spacing w:val="0"/>
          <w:sz w:val="24"/>
          <w:szCs w:val="24"/>
          <w:shd w:val="clear"/>
          <w:lang w:val="en-US" w:eastAsia="zh-CN"/>
        </w:rPr>
        <w:t>采购价格：</w:t>
      </w:r>
      <w:r>
        <w:rPr>
          <w:rFonts w:hint="eastAsia" w:ascii="宋体" w:hAnsi="宋体" w:eastAsia="宋体" w:cs="宋体"/>
          <w:b w:val="0"/>
          <w:bCs w:val="0"/>
          <w:i w:val="0"/>
          <w:iCs w:val="0"/>
          <w:caps w:val="0"/>
          <w:color w:val="auto"/>
          <w:spacing w:val="0"/>
          <w:sz w:val="24"/>
          <w:szCs w:val="24"/>
          <w:shd w:val="clear"/>
          <w:lang w:eastAsia="zh-CN"/>
        </w:rPr>
        <w:t>每台</w:t>
      </w:r>
      <w:r>
        <w:rPr>
          <w:rFonts w:hint="eastAsia" w:ascii="宋体" w:hAnsi="宋体" w:eastAsia="宋体" w:cs="宋体"/>
          <w:b w:val="0"/>
          <w:bCs w:val="0"/>
          <w:i w:val="0"/>
          <w:iCs w:val="0"/>
          <w:caps w:val="0"/>
          <w:color w:val="auto"/>
          <w:spacing w:val="0"/>
          <w:sz w:val="24"/>
          <w:szCs w:val="24"/>
          <w:shd w:val="clear"/>
          <w:lang w:val="en-US" w:eastAsia="zh-CN"/>
        </w:rPr>
        <w:t>164000元</w:t>
      </w:r>
      <w:r>
        <w:rPr>
          <w:rFonts w:hint="eastAsia" w:ascii="宋体" w:hAnsi="宋体" w:eastAsia="宋体" w:cs="宋体"/>
          <w:b w:val="0"/>
          <w:bCs w:val="0"/>
          <w:i w:val="0"/>
          <w:iCs w:val="0"/>
          <w:caps w:val="0"/>
          <w:color w:val="auto"/>
          <w:spacing w:val="0"/>
          <w:sz w:val="24"/>
          <w:szCs w:val="24"/>
          <w:shd w:val="clear"/>
          <w:lang w:eastAsia="zh-CN"/>
        </w:rPr>
        <w:t>），7台海康威视UAV-MX6150B（</w:t>
      </w:r>
      <w:r>
        <w:rPr>
          <w:rFonts w:hint="eastAsia" w:ascii="宋体" w:hAnsi="宋体" w:eastAsia="宋体" w:cs="宋体"/>
          <w:b w:val="0"/>
          <w:bCs w:val="0"/>
          <w:i w:val="0"/>
          <w:iCs w:val="0"/>
          <w:caps w:val="0"/>
          <w:color w:val="auto"/>
          <w:spacing w:val="0"/>
          <w:sz w:val="24"/>
          <w:szCs w:val="24"/>
          <w:shd w:val="clear"/>
          <w:lang w:val="en-US" w:eastAsia="zh-CN"/>
        </w:rPr>
        <w:t>采购价格：</w:t>
      </w:r>
      <w:r>
        <w:rPr>
          <w:rFonts w:hint="eastAsia" w:ascii="宋体" w:hAnsi="宋体" w:eastAsia="宋体" w:cs="宋体"/>
          <w:b w:val="0"/>
          <w:bCs w:val="0"/>
          <w:i w:val="0"/>
          <w:iCs w:val="0"/>
          <w:caps w:val="0"/>
          <w:color w:val="auto"/>
          <w:spacing w:val="0"/>
          <w:sz w:val="24"/>
          <w:szCs w:val="24"/>
          <w:shd w:val="clear"/>
          <w:lang w:eastAsia="zh-CN"/>
        </w:rPr>
        <w:t>每台</w:t>
      </w:r>
      <w:r>
        <w:rPr>
          <w:rFonts w:hint="eastAsia" w:ascii="宋体" w:hAnsi="宋体" w:eastAsia="宋体" w:cs="宋体"/>
          <w:b w:val="0"/>
          <w:bCs w:val="0"/>
          <w:i w:val="0"/>
          <w:iCs w:val="0"/>
          <w:caps w:val="0"/>
          <w:color w:val="auto"/>
          <w:spacing w:val="0"/>
          <w:sz w:val="24"/>
          <w:szCs w:val="24"/>
          <w:shd w:val="clear"/>
          <w:lang w:val="en-US" w:eastAsia="zh-CN"/>
        </w:rPr>
        <w:t>274000元</w:t>
      </w:r>
      <w:r>
        <w:rPr>
          <w:rFonts w:hint="eastAsia" w:ascii="宋体" w:hAnsi="宋体" w:eastAsia="宋体" w:cs="宋体"/>
          <w:b w:val="0"/>
          <w:bCs w:val="0"/>
          <w:i w:val="0"/>
          <w:iCs w:val="0"/>
          <w:caps w:val="0"/>
          <w:color w:val="auto"/>
          <w:spacing w:val="0"/>
          <w:sz w:val="24"/>
          <w:szCs w:val="24"/>
          <w:shd w:val="clear"/>
          <w:lang w:eastAsia="zh-CN"/>
        </w:rPr>
        <w:t>），35台大疆M3T&amp;RM510B （</w:t>
      </w:r>
      <w:r>
        <w:rPr>
          <w:rFonts w:hint="eastAsia" w:ascii="宋体" w:hAnsi="宋体" w:eastAsia="宋体" w:cs="宋体"/>
          <w:b w:val="0"/>
          <w:bCs w:val="0"/>
          <w:i w:val="0"/>
          <w:iCs w:val="0"/>
          <w:caps w:val="0"/>
          <w:color w:val="auto"/>
          <w:spacing w:val="0"/>
          <w:sz w:val="24"/>
          <w:szCs w:val="24"/>
          <w:shd w:val="clear"/>
          <w:lang w:val="en-US" w:eastAsia="zh-CN"/>
        </w:rPr>
        <w:t>采购价格：</w:t>
      </w:r>
      <w:r>
        <w:rPr>
          <w:rFonts w:hint="eastAsia" w:ascii="宋体" w:hAnsi="宋体" w:eastAsia="宋体" w:cs="宋体"/>
          <w:b w:val="0"/>
          <w:bCs w:val="0"/>
          <w:i w:val="0"/>
          <w:iCs w:val="0"/>
          <w:caps w:val="0"/>
          <w:color w:val="auto"/>
          <w:spacing w:val="0"/>
          <w:sz w:val="24"/>
          <w:szCs w:val="24"/>
          <w:shd w:val="clear"/>
          <w:lang w:eastAsia="zh-CN"/>
        </w:rPr>
        <w:t>每台</w:t>
      </w:r>
      <w:r>
        <w:rPr>
          <w:rFonts w:hint="eastAsia" w:ascii="宋体" w:hAnsi="宋体" w:eastAsia="宋体" w:cs="宋体"/>
          <w:b w:val="0"/>
          <w:bCs w:val="0"/>
          <w:i w:val="0"/>
          <w:iCs w:val="0"/>
          <w:caps w:val="0"/>
          <w:color w:val="auto"/>
          <w:spacing w:val="0"/>
          <w:sz w:val="24"/>
          <w:szCs w:val="24"/>
          <w:shd w:val="clear"/>
          <w:lang w:val="en-US" w:eastAsia="zh-CN"/>
        </w:rPr>
        <w:t>40050元</w:t>
      </w:r>
      <w:r>
        <w:rPr>
          <w:rFonts w:hint="eastAsia" w:ascii="宋体" w:hAnsi="宋体" w:eastAsia="宋体" w:cs="宋体"/>
          <w:b w:val="0"/>
          <w:bCs w:val="0"/>
          <w:i w:val="0"/>
          <w:iCs w:val="0"/>
          <w:caps w:val="0"/>
          <w:color w:val="auto"/>
          <w:spacing w:val="0"/>
          <w:sz w:val="24"/>
          <w:szCs w:val="24"/>
          <w:shd w:val="clear"/>
          <w:lang w:eastAsia="zh-CN"/>
        </w:rPr>
        <w:t>），24台大疆</w:t>
      </w:r>
      <w:r>
        <w:rPr>
          <w:rFonts w:hint="eastAsia" w:ascii="宋体" w:hAnsi="宋体" w:eastAsia="宋体" w:cs="宋体"/>
          <w:b w:val="0"/>
          <w:bCs w:val="0"/>
          <w:i w:val="0"/>
          <w:iCs w:val="0"/>
          <w:color w:val="auto"/>
          <w:kern w:val="0"/>
          <w:sz w:val="24"/>
          <w:szCs w:val="24"/>
          <w:u w:val="none"/>
          <w:lang w:val="en-US" w:eastAsia="zh-CN" w:bidi="ar"/>
        </w:rPr>
        <w:t>Matrice 4T（</w:t>
      </w:r>
      <w:r>
        <w:rPr>
          <w:rFonts w:hint="eastAsia" w:ascii="宋体" w:hAnsi="宋体" w:eastAsia="宋体" w:cs="宋体"/>
          <w:b w:val="0"/>
          <w:bCs w:val="0"/>
          <w:i w:val="0"/>
          <w:iCs w:val="0"/>
          <w:caps w:val="0"/>
          <w:color w:val="auto"/>
          <w:spacing w:val="0"/>
          <w:sz w:val="24"/>
          <w:szCs w:val="24"/>
          <w:shd w:val="clear"/>
          <w:lang w:val="en-US" w:eastAsia="zh-CN"/>
        </w:rPr>
        <w:t>采购价格：</w:t>
      </w:r>
      <w:r>
        <w:rPr>
          <w:rFonts w:hint="eastAsia" w:ascii="宋体" w:hAnsi="宋体" w:eastAsia="宋体" w:cs="宋体"/>
          <w:b w:val="0"/>
          <w:bCs w:val="0"/>
          <w:i w:val="0"/>
          <w:iCs w:val="0"/>
          <w:color w:val="auto"/>
          <w:kern w:val="0"/>
          <w:sz w:val="24"/>
          <w:szCs w:val="24"/>
          <w:u w:val="none"/>
          <w:lang w:val="en-US" w:eastAsia="zh-CN" w:bidi="ar"/>
        </w:rPr>
        <w:t>每台39750元），无人机序列号以采购人提供为准</w:t>
      </w:r>
      <w:r>
        <w:rPr>
          <w:rFonts w:hint="eastAsia" w:ascii="宋体" w:hAnsi="宋体" w:eastAsia="宋体" w:cs="宋体"/>
          <w:b w:val="0"/>
          <w:bCs w:val="0"/>
          <w:i w:val="0"/>
          <w:iCs w:val="0"/>
          <w:caps w:val="0"/>
          <w:color w:val="auto"/>
          <w:spacing w:val="0"/>
          <w:sz w:val="24"/>
          <w:szCs w:val="24"/>
          <w:shd w:val="clear"/>
          <w:lang w:eastAsia="zh-CN"/>
        </w:rPr>
        <w:t>。</w:t>
      </w:r>
    </w:p>
    <w:p w14:paraId="285F8E51">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保费计算时间:按照不同无人机型号计算保费时间，</w:t>
      </w:r>
      <w:r>
        <w:rPr>
          <w:rFonts w:hint="eastAsia" w:ascii="宋体" w:hAnsi="宋体" w:eastAsia="宋体" w:cs="宋体"/>
          <w:b w:val="0"/>
          <w:bCs w:val="0"/>
          <w:i w:val="0"/>
          <w:iCs w:val="0"/>
          <w:caps w:val="0"/>
          <w:color w:val="auto"/>
          <w:spacing w:val="0"/>
          <w:sz w:val="24"/>
          <w:szCs w:val="24"/>
          <w:shd w:val="clear"/>
          <w:lang w:eastAsia="zh-CN"/>
        </w:rPr>
        <w:t>12台浙江华飞DH-UAV-R20-XX，7台海康威视UAV-MX6150B，35台大疆M3T&amp;RM510B的保费时间为</w:t>
      </w:r>
      <w:r>
        <w:rPr>
          <w:rFonts w:hint="eastAsia" w:ascii="宋体" w:hAnsi="宋体" w:eastAsia="宋体" w:cs="宋体"/>
          <w:b w:val="0"/>
          <w:bCs w:val="0"/>
          <w:i w:val="0"/>
          <w:iCs w:val="0"/>
          <w:caps w:val="0"/>
          <w:color w:val="auto"/>
          <w:spacing w:val="0"/>
          <w:sz w:val="24"/>
          <w:szCs w:val="24"/>
          <w:shd w:val="clear"/>
          <w:lang w:val="en-US" w:eastAsia="zh-CN"/>
        </w:rPr>
        <w:t>13个月</w:t>
      </w: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color w:val="auto"/>
          <w:sz w:val="24"/>
          <w:szCs w:val="24"/>
          <w:lang w:eastAsia="zh-CN"/>
        </w:rPr>
        <w:t>以签订合同正式履约时间为准；</w:t>
      </w:r>
      <w:r>
        <w:rPr>
          <w:rFonts w:hint="eastAsia" w:ascii="宋体" w:hAnsi="宋体" w:eastAsia="宋体" w:cs="宋体"/>
          <w:b w:val="0"/>
          <w:bCs w:val="0"/>
          <w:i w:val="0"/>
          <w:iCs w:val="0"/>
          <w:caps w:val="0"/>
          <w:color w:val="auto"/>
          <w:spacing w:val="0"/>
          <w:sz w:val="24"/>
          <w:szCs w:val="24"/>
          <w:shd w:val="clear"/>
          <w:lang w:eastAsia="zh-CN"/>
        </w:rPr>
        <w:t>2</w:t>
      </w:r>
      <w:r>
        <w:rPr>
          <w:rFonts w:hint="eastAsia" w:ascii="宋体" w:hAnsi="宋体" w:eastAsia="宋体" w:cs="宋体"/>
          <w:b w:val="0"/>
          <w:bCs w:val="0"/>
          <w:i w:val="0"/>
          <w:iCs w:val="0"/>
          <w:caps w:val="0"/>
          <w:color w:val="auto"/>
          <w:spacing w:val="0"/>
          <w:sz w:val="24"/>
          <w:szCs w:val="24"/>
          <w:shd w:val="clear"/>
          <w:lang w:val="en-US" w:eastAsia="zh-CN"/>
        </w:rPr>
        <w:t>3</w:t>
      </w:r>
      <w:r>
        <w:rPr>
          <w:rFonts w:hint="eastAsia" w:ascii="宋体" w:hAnsi="宋体" w:eastAsia="宋体" w:cs="宋体"/>
          <w:b w:val="0"/>
          <w:bCs w:val="0"/>
          <w:i w:val="0"/>
          <w:iCs w:val="0"/>
          <w:caps w:val="0"/>
          <w:color w:val="auto"/>
          <w:spacing w:val="0"/>
          <w:sz w:val="24"/>
          <w:szCs w:val="24"/>
          <w:shd w:val="clear"/>
          <w:lang w:eastAsia="zh-CN"/>
        </w:rPr>
        <w:t>台大疆</w:t>
      </w:r>
      <w:r>
        <w:rPr>
          <w:rFonts w:hint="eastAsia" w:ascii="宋体" w:hAnsi="宋体" w:eastAsia="宋体" w:cs="宋体"/>
          <w:b w:val="0"/>
          <w:bCs w:val="0"/>
          <w:i w:val="0"/>
          <w:iCs w:val="0"/>
          <w:color w:val="auto"/>
          <w:kern w:val="0"/>
          <w:sz w:val="24"/>
          <w:szCs w:val="24"/>
          <w:u w:val="none"/>
          <w:lang w:val="en-US" w:eastAsia="zh-CN" w:bidi="ar"/>
        </w:rPr>
        <w:t>Matrice 4T</w:t>
      </w:r>
      <w:r>
        <w:rPr>
          <w:rFonts w:hint="eastAsia" w:ascii="宋体" w:hAnsi="宋体" w:eastAsia="宋体" w:cs="宋体"/>
          <w:b w:val="0"/>
          <w:bCs w:val="0"/>
          <w:i w:val="0"/>
          <w:iCs w:val="0"/>
          <w:caps w:val="0"/>
          <w:color w:val="auto"/>
          <w:spacing w:val="0"/>
          <w:sz w:val="24"/>
          <w:szCs w:val="24"/>
          <w:shd w:val="clear"/>
          <w:lang w:eastAsia="zh-CN"/>
        </w:rPr>
        <w:t xml:space="preserve"> 的保费时间为</w:t>
      </w:r>
      <w:r>
        <w:rPr>
          <w:rFonts w:hint="eastAsia" w:ascii="宋体" w:hAnsi="宋体" w:eastAsia="宋体" w:cs="宋体"/>
          <w:b w:val="0"/>
          <w:bCs w:val="0"/>
          <w:i w:val="0"/>
          <w:iCs w:val="0"/>
          <w:caps w:val="0"/>
          <w:color w:val="auto"/>
          <w:spacing w:val="0"/>
          <w:sz w:val="24"/>
          <w:szCs w:val="24"/>
          <w:shd w:val="clear"/>
          <w:lang w:val="en-US" w:eastAsia="zh-CN"/>
        </w:rPr>
        <w:t>11个月</w:t>
      </w: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color w:val="auto"/>
          <w:sz w:val="24"/>
          <w:szCs w:val="24"/>
          <w:lang w:eastAsia="zh-CN"/>
        </w:rPr>
        <w:t>以签订合同正式履约时间为准；</w:t>
      </w:r>
      <w:r>
        <w:rPr>
          <w:rFonts w:hint="eastAsia" w:ascii="宋体" w:hAnsi="宋体" w:eastAsia="宋体" w:cs="宋体"/>
          <w:b w:val="0"/>
          <w:bCs w:val="0"/>
          <w:i w:val="0"/>
          <w:iCs w:val="0"/>
          <w:caps w:val="0"/>
          <w:color w:val="auto"/>
          <w:spacing w:val="0"/>
          <w:sz w:val="24"/>
          <w:szCs w:val="24"/>
          <w:shd w:val="clear"/>
          <w:lang w:val="en-US" w:eastAsia="zh-CN"/>
        </w:rPr>
        <w:t>1</w:t>
      </w:r>
      <w:r>
        <w:rPr>
          <w:rFonts w:hint="eastAsia" w:ascii="宋体" w:hAnsi="宋体" w:eastAsia="宋体" w:cs="宋体"/>
          <w:b w:val="0"/>
          <w:bCs w:val="0"/>
          <w:i w:val="0"/>
          <w:iCs w:val="0"/>
          <w:caps w:val="0"/>
          <w:color w:val="auto"/>
          <w:spacing w:val="0"/>
          <w:sz w:val="24"/>
          <w:szCs w:val="24"/>
          <w:shd w:val="clear"/>
          <w:lang w:eastAsia="zh-CN"/>
        </w:rPr>
        <w:t>台大疆</w:t>
      </w:r>
      <w:r>
        <w:rPr>
          <w:rFonts w:hint="eastAsia" w:ascii="宋体" w:hAnsi="宋体" w:eastAsia="宋体" w:cs="宋体"/>
          <w:b w:val="0"/>
          <w:bCs w:val="0"/>
          <w:i w:val="0"/>
          <w:iCs w:val="0"/>
          <w:color w:val="auto"/>
          <w:kern w:val="0"/>
          <w:sz w:val="24"/>
          <w:szCs w:val="24"/>
          <w:u w:val="none"/>
          <w:lang w:val="en-US" w:eastAsia="zh-CN" w:bidi="ar"/>
        </w:rPr>
        <w:t>Matrice 4T</w:t>
      </w:r>
      <w:r>
        <w:rPr>
          <w:rFonts w:hint="eastAsia" w:ascii="宋体" w:hAnsi="宋体" w:eastAsia="宋体" w:cs="宋体"/>
          <w:b w:val="0"/>
          <w:bCs w:val="0"/>
          <w:i w:val="0"/>
          <w:iCs w:val="0"/>
          <w:caps w:val="0"/>
          <w:color w:val="auto"/>
          <w:spacing w:val="0"/>
          <w:sz w:val="24"/>
          <w:szCs w:val="24"/>
          <w:shd w:val="clear"/>
          <w:lang w:eastAsia="zh-CN"/>
        </w:rPr>
        <w:t xml:space="preserve"> 的保费时间为</w:t>
      </w:r>
      <w:r>
        <w:rPr>
          <w:rFonts w:hint="eastAsia" w:ascii="宋体" w:hAnsi="宋体" w:eastAsia="宋体" w:cs="宋体"/>
          <w:b w:val="0"/>
          <w:bCs w:val="0"/>
          <w:i w:val="0"/>
          <w:iCs w:val="0"/>
          <w:caps w:val="0"/>
          <w:color w:val="auto"/>
          <w:spacing w:val="0"/>
          <w:sz w:val="24"/>
          <w:szCs w:val="24"/>
          <w:shd w:val="clear"/>
          <w:lang w:val="en-US" w:eastAsia="zh-CN"/>
        </w:rPr>
        <w:t>7个月</w:t>
      </w: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color w:val="auto"/>
          <w:sz w:val="24"/>
          <w:szCs w:val="24"/>
          <w:lang w:eastAsia="zh-CN"/>
        </w:rPr>
        <w:t>以签订合同正式履约时间为准；</w:t>
      </w:r>
    </w:p>
    <w:p w14:paraId="2D8CB70A">
      <w:pPr>
        <w:keepNext w:val="0"/>
        <w:keepLines w:val="0"/>
        <w:pageBreakBefore w:val="0"/>
        <w:widowControl w:val="0"/>
        <w:numPr>
          <w:ilvl w:val="0"/>
          <w:numId w:val="0"/>
        </w:numPr>
        <w:wordWrap/>
        <w:overflowPunct/>
        <w:topLinePunct w:val="0"/>
        <w:bidi w:val="0"/>
        <w:spacing w:before="0" w:line="360" w:lineRule="auto"/>
        <w:ind w:firstLine="480" w:firstLineChars="2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3、单次无人机机身保险的</w:t>
      </w:r>
      <w:r>
        <w:rPr>
          <w:rFonts w:hint="eastAsia" w:ascii="宋体" w:hAnsi="宋体" w:eastAsia="宋体" w:cs="宋体"/>
          <w:color w:val="auto"/>
          <w:sz w:val="24"/>
          <w:szCs w:val="24"/>
          <w:lang w:eastAsia="zh-CN"/>
        </w:rPr>
        <w:t>保险金额:根据每台无人机的情况据实核算，</w:t>
      </w:r>
      <w:r>
        <w:rPr>
          <w:rFonts w:hint="eastAsia" w:ascii="宋体" w:hAnsi="宋体" w:eastAsia="宋体" w:cs="宋体"/>
          <w:color w:val="auto"/>
          <w:sz w:val="24"/>
          <w:szCs w:val="24"/>
          <w:lang w:val="en-US" w:eastAsia="zh-CN"/>
        </w:rPr>
        <w:t>最高额度不超过单台无人机采购价格。</w:t>
      </w:r>
      <w:r>
        <w:rPr>
          <w:rFonts w:hint="eastAsia" w:ascii="宋体" w:hAnsi="宋体" w:eastAsia="宋体" w:cs="宋体"/>
          <w:color w:val="auto"/>
          <w:sz w:val="24"/>
          <w:szCs w:val="24"/>
          <w:lang w:eastAsia="zh-CN"/>
        </w:rPr>
        <w:t>单次无人机第三者责任保险的保险金额</w:t>
      </w:r>
      <w:r>
        <w:rPr>
          <w:rFonts w:hint="default"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100 万元。</w:t>
      </w:r>
    </w:p>
    <w:p w14:paraId="62FF5807">
      <w:pPr>
        <w:widowControl w:val="0"/>
        <w:numPr>
          <w:ilvl w:val="0"/>
          <w:numId w:val="0"/>
        </w:numPr>
        <w:spacing w:line="360" w:lineRule="auto"/>
        <w:ind w:firstLine="480" w:firstLineChars="200"/>
        <w:outlineLvl w:val="9"/>
        <w:rPr>
          <w:rFonts w:hint="eastAsia" w:ascii="宋体" w:hAnsi="宋体" w:eastAsia="宋体" w:cs="宋体"/>
          <w:b w:val="0"/>
          <w:bCs w:val="0"/>
          <w:color w:val="auto"/>
          <w:sz w:val="24"/>
          <w:szCs w:val="24"/>
          <w:lang w:val="en-US" w:eastAsia="zh-CN"/>
        </w:rPr>
      </w:pPr>
      <w:r>
        <w:rPr>
          <w:rFonts w:hint="eastAsia" w:ascii="宋体" w:hAnsi="宋体" w:eastAsia="宋体" w:cs="宋体"/>
          <w:color w:val="auto"/>
          <w:sz w:val="24"/>
          <w:szCs w:val="24"/>
          <w:lang w:val="en-US" w:eastAsia="zh-CN"/>
        </w:rPr>
        <w:t>4、机身险每次事故绝对免赔额度600元或损失金额10%，以低为准。</w:t>
      </w:r>
      <w:bookmarkStart w:id="3" w:name="_Toc20700"/>
      <w:bookmarkStart w:id="4" w:name="_Toc28017"/>
      <w:bookmarkStart w:id="5" w:name="_Toc9349"/>
    </w:p>
    <w:p w14:paraId="0CCBE613">
      <w:pPr>
        <w:widowControl w:val="0"/>
        <w:numPr>
          <w:ilvl w:val="0"/>
          <w:numId w:val="0"/>
        </w:numPr>
        <w:spacing w:line="360" w:lineRule="auto"/>
        <w:ind w:firstLine="480" w:firstLineChars="200"/>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val="en-US" w:eastAsia="zh-CN"/>
        </w:rPr>
        <w:t>5、</w:t>
      </w:r>
      <w:r>
        <w:rPr>
          <w:rFonts w:hint="eastAsia" w:ascii="宋体" w:hAnsi="宋体" w:eastAsia="宋体" w:cs="宋体"/>
          <w:b w:val="0"/>
          <w:bCs w:val="0"/>
          <w:color w:val="auto"/>
          <w:sz w:val="24"/>
          <w:szCs w:val="24"/>
          <w:lang w:eastAsia="zh-CN"/>
        </w:rPr>
        <w:t>投保险种及责任</w:t>
      </w:r>
      <w:bookmarkEnd w:id="3"/>
      <w:bookmarkEnd w:id="4"/>
      <w:bookmarkEnd w:id="5"/>
    </w:p>
    <w:p w14:paraId="7A9DB210">
      <w:pPr>
        <w:widowControl w:val="0"/>
        <w:numPr>
          <w:ilvl w:val="0"/>
          <w:numId w:val="0"/>
        </w:numPr>
        <w:spacing w:line="360" w:lineRule="auto"/>
        <w:ind w:firstLine="480" w:firstLineChars="200"/>
        <w:outlineLvl w:val="9"/>
        <w:rPr>
          <w:rFonts w:hint="eastAsia" w:ascii="宋体" w:hAnsi="宋体" w:eastAsia="宋体" w:cs="宋体"/>
          <w:bCs w:val="0"/>
          <w:color w:val="auto"/>
          <w:kern w:val="0"/>
          <w:sz w:val="24"/>
          <w:szCs w:val="24"/>
          <w:lang w:eastAsia="zh-CN"/>
        </w:rPr>
      </w:pPr>
      <w:r>
        <w:rPr>
          <w:rFonts w:hint="eastAsia" w:ascii="宋体" w:hAnsi="宋体" w:eastAsia="宋体" w:cs="宋体"/>
          <w:snapToGrid w:val="0"/>
          <w:color w:val="auto"/>
          <w:kern w:val="0"/>
          <w:sz w:val="24"/>
          <w:szCs w:val="24"/>
          <w:lang w:val="en-US" w:eastAsia="zh-CN" w:bidi="ar"/>
        </w:rPr>
        <w:t>机身险：</w:t>
      </w:r>
      <w:r>
        <w:rPr>
          <w:rFonts w:hint="eastAsia" w:ascii="宋体" w:hAnsi="宋体" w:eastAsia="宋体" w:cs="宋体"/>
          <w:i w:val="0"/>
          <w:iCs w:val="0"/>
          <w:caps w:val="0"/>
          <w:snapToGrid w:val="0"/>
          <w:color w:val="auto"/>
          <w:spacing w:val="0"/>
          <w:kern w:val="0"/>
          <w:sz w:val="24"/>
          <w:szCs w:val="24"/>
          <w:shd w:val="clear"/>
          <w:lang w:val="en-US" w:eastAsia="zh-CN" w:bidi="ar"/>
        </w:rPr>
        <w:t>按照无人机机身实际价值足额投保，承保由于自然灾害或意外事故导致的无人机机身及配套设备的损失，</w:t>
      </w:r>
      <w:r>
        <w:rPr>
          <w:rFonts w:hint="eastAsia" w:ascii="宋体" w:hAnsi="宋体" w:eastAsia="宋体" w:cs="宋体"/>
          <w:snapToGrid w:val="0"/>
          <w:color w:val="auto"/>
          <w:kern w:val="0"/>
          <w:sz w:val="24"/>
          <w:szCs w:val="24"/>
          <w:shd w:val="clear"/>
          <w:lang w:val="en-US" w:eastAsia="zh-CN" w:bidi="ar"/>
        </w:rPr>
        <w:t>覆盖</w:t>
      </w:r>
      <w:r>
        <w:rPr>
          <w:rFonts w:hint="eastAsia" w:ascii="宋体" w:hAnsi="宋体" w:eastAsia="宋体" w:cs="宋体"/>
          <w:b w:val="0"/>
          <w:bCs w:val="0"/>
          <w:snapToGrid w:val="0"/>
          <w:color w:val="auto"/>
          <w:kern w:val="0"/>
          <w:sz w:val="24"/>
          <w:szCs w:val="24"/>
          <w:shd w:val="clear"/>
          <w:lang w:val="en-US" w:eastAsia="zh-CN" w:bidi="ar"/>
        </w:rPr>
        <w:t>坠落、碰撞、倾覆、火灾、爆炸、雷击、暴风、暴雨、洪水、冰雹、意外损毁</w:t>
      </w:r>
      <w:r>
        <w:rPr>
          <w:rFonts w:hint="eastAsia" w:ascii="宋体" w:hAnsi="宋体" w:eastAsia="宋体" w:cs="宋体"/>
          <w:snapToGrid w:val="0"/>
          <w:color w:val="auto"/>
          <w:kern w:val="0"/>
          <w:sz w:val="24"/>
          <w:szCs w:val="24"/>
          <w:shd w:val="clear"/>
          <w:lang w:val="en-US" w:eastAsia="zh-CN" w:bidi="ar"/>
        </w:rPr>
        <w:t>等；含</w:t>
      </w:r>
      <w:r>
        <w:rPr>
          <w:rFonts w:hint="eastAsia" w:ascii="宋体" w:hAnsi="宋体" w:eastAsia="宋体" w:cs="宋体"/>
          <w:b w:val="0"/>
          <w:bCs w:val="0"/>
          <w:snapToGrid w:val="0"/>
          <w:color w:val="auto"/>
          <w:kern w:val="0"/>
          <w:sz w:val="24"/>
          <w:szCs w:val="24"/>
          <w:shd w:val="clear"/>
          <w:lang w:val="en-US" w:eastAsia="zh-CN" w:bidi="ar"/>
        </w:rPr>
        <w:t>电池、云台、相机、图传、遥控器</w:t>
      </w:r>
      <w:r>
        <w:rPr>
          <w:rFonts w:hint="eastAsia" w:ascii="宋体" w:hAnsi="宋体" w:eastAsia="宋体" w:cs="宋体"/>
          <w:snapToGrid w:val="0"/>
          <w:color w:val="auto"/>
          <w:kern w:val="0"/>
          <w:sz w:val="24"/>
          <w:szCs w:val="24"/>
          <w:shd w:val="clear"/>
          <w:lang w:val="en-US" w:eastAsia="zh-CN" w:bidi="ar"/>
        </w:rPr>
        <w:t>等标配设备；</w:t>
      </w:r>
    </w:p>
    <w:p w14:paraId="681B015A">
      <w:pPr>
        <w:widowControl w:val="0"/>
        <w:numPr>
          <w:ilvl w:val="0"/>
          <w:numId w:val="0"/>
        </w:numPr>
        <w:spacing w:line="360" w:lineRule="auto"/>
        <w:ind w:firstLine="480" w:firstLineChars="200"/>
        <w:outlineLvl w:val="9"/>
        <w:rPr>
          <w:rFonts w:hint="eastAsia" w:ascii="宋体" w:hAnsi="宋体" w:eastAsia="宋体" w:cs="宋体"/>
          <w:bCs w:val="0"/>
          <w:color w:val="auto"/>
          <w:kern w:val="0"/>
          <w:sz w:val="24"/>
          <w:szCs w:val="24"/>
          <w:lang w:eastAsia="zh-CN"/>
        </w:rPr>
      </w:pPr>
      <w:r>
        <w:rPr>
          <w:rFonts w:hint="eastAsia" w:ascii="宋体" w:hAnsi="宋体" w:eastAsia="宋体" w:cs="宋体"/>
          <w:bCs w:val="0"/>
          <w:color w:val="auto"/>
          <w:kern w:val="0"/>
          <w:sz w:val="24"/>
          <w:szCs w:val="24"/>
          <w:lang w:eastAsia="zh-CN"/>
        </w:rPr>
        <w:t>第三者责任险：保险期间内保险额为不低于100万元的第三责任险，保险人负责赔偿对于由被保险无人机或从被保险无人机上坠落的任何物品对第三者造成的人身伤亡或财产损失，被保险人应当承担的法律赔偿责任（包括被保险人被判决需要支付的费用，但不包括惩罚性赔款）。</w:t>
      </w:r>
    </w:p>
    <w:p w14:paraId="2F47950E">
      <w:pPr>
        <w:widowControl w:val="0"/>
        <w:numPr>
          <w:ilvl w:val="0"/>
          <w:numId w:val="0"/>
        </w:numPr>
        <w:spacing w:line="360" w:lineRule="auto"/>
        <w:ind w:firstLine="480" w:firstLineChars="200"/>
        <w:outlineLvl w:val="9"/>
        <w:rPr>
          <w:rFonts w:hint="eastAsia" w:ascii="宋体" w:hAnsi="宋体" w:eastAsia="宋体" w:cs="宋体"/>
          <w:bCs w:val="0"/>
          <w:color w:val="auto"/>
          <w:kern w:val="0"/>
          <w:sz w:val="24"/>
          <w:szCs w:val="24"/>
          <w:highlight w:val="none"/>
          <w:lang w:eastAsia="zh-CN"/>
        </w:rPr>
      </w:pPr>
      <w:r>
        <w:rPr>
          <w:rFonts w:hint="eastAsia" w:ascii="宋体" w:hAnsi="宋体" w:eastAsia="宋体" w:cs="宋体"/>
          <w:bCs w:val="0"/>
          <w:color w:val="auto"/>
          <w:kern w:val="0"/>
          <w:sz w:val="24"/>
          <w:szCs w:val="24"/>
          <w:lang w:eastAsia="zh-CN"/>
        </w:rPr>
        <w:t>理赔时间要求：在理赔材料齐全的情况下，理赔时效不</w:t>
      </w:r>
      <w:r>
        <w:rPr>
          <w:rFonts w:hint="eastAsia" w:ascii="宋体" w:hAnsi="宋体" w:eastAsia="宋体" w:cs="宋体"/>
          <w:bCs w:val="0"/>
          <w:color w:val="auto"/>
          <w:kern w:val="0"/>
          <w:sz w:val="24"/>
          <w:szCs w:val="24"/>
          <w:highlight w:val="none"/>
          <w:lang w:eastAsia="zh-CN"/>
        </w:rPr>
        <w:t>超过1</w:t>
      </w:r>
      <w:r>
        <w:rPr>
          <w:rFonts w:hint="eastAsia" w:ascii="宋体" w:hAnsi="宋体" w:eastAsia="宋体" w:cs="宋体"/>
          <w:bCs w:val="0"/>
          <w:color w:val="auto"/>
          <w:kern w:val="0"/>
          <w:sz w:val="24"/>
          <w:szCs w:val="24"/>
          <w:highlight w:val="none"/>
          <w:lang w:val="en-US" w:eastAsia="zh-CN"/>
        </w:rPr>
        <w:t>5</w:t>
      </w:r>
      <w:r>
        <w:rPr>
          <w:rFonts w:hint="eastAsia" w:ascii="宋体" w:hAnsi="宋体" w:eastAsia="宋体" w:cs="宋体"/>
          <w:bCs w:val="0"/>
          <w:color w:val="auto"/>
          <w:kern w:val="0"/>
          <w:sz w:val="24"/>
          <w:szCs w:val="24"/>
          <w:highlight w:val="none"/>
          <w:lang w:eastAsia="zh-CN"/>
        </w:rPr>
        <w:t>个工作日。</w:t>
      </w:r>
    </w:p>
    <w:p w14:paraId="45BB1AC6">
      <w:pPr>
        <w:widowControl w:val="0"/>
        <w:numPr>
          <w:ilvl w:val="0"/>
          <w:numId w:val="0"/>
        </w:numPr>
        <w:spacing w:line="360" w:lineRule="auto"/>
        <w:ind w:firstLine="480" w:firstLineChars="200"/>
        <w:outlineLvl w:val="9"/>
        <w:rPr>
          <w:rFonts w:hint="eastAsia" w:ascii="宋体" w:hAnsi="宋体" w:eastAsia="宋体" w:cs="宋体"/>
          <w:b w:val="0"/>
          <w:bCs w:val="0"/>
          <w:color w:val="auto"/>
          <w:sz w:val="24"/>
          <w:szCs w:val="24"/>
          <w:highlight w:val="none"/>
          <w:lang w:eastAsia="zh-CN"/>
        </w:rPr>
      </w:pPr>
      <w:bookmarkStart w:id="6" w:name="_Toc31443"/>
      <w:bookmarkStart w:id="7" w:name="_Toc12139"/>
      <w:bookmarkStart w:id="8" w:name="_Toc1026"/>
      <w:r>
        <w:rPr>
          <w:rFonts w:hint="eastAsia" w:ascii="宋体" w:hAnsi="宋体" w:eastAsia="宋体" w:cs="宋体"/>
          <w:color w:val="auto"/>
          <w:sz w:val="24"/>
          <w:szCs w:val="24"/>
          <w:highlight w:val="none"/>
          <w:lang w:val="en-US" w:eastAsia="zh-CN"/>
        </w:rPr>
        <w:t>6、</w:t>
      </w:r>
      <w:r>
        <w:rPr>
          <w:rFonts w:hint="eastAsia" w:ascii="宋体" w:hAnsi="宋体" w:eastAsia="宋体" w:cs="宋体"/>
          <w:b w:val="0"/>
          <w:bCs w:val="0"/>
          <w:color w:val="auto"/>
          <w:sz w:val="24"/>
          <w:szCs w:val="24"/>
          <w:highlight w:val="none"/>
          <w:lang w:eastAsia="zh-CN"/>
        </w:rPr>
        <w:t>承保方案及要求</w:t>
      </w:r>
      <w:bookmarkEnd w:id="6"/>
      <w:bookmarkEnd w:id="7"/>
      <w:bookmarkEnd w:id="8"/>
    </w:p>
    <w:p w14:paraId="56E1E9FD">
      <w:pPr>
        <w:widowControl w:val="0"/>
        <w:numPr>
          <w:ilvl w:val="0"/>
          <w:numId w:val="0"/>
        </w:numPr>
        <w:spacing w:line="360" w:lineRule="auto"/>
        <w:ind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供应商</w:t>
      </w:r>
      <w:r>
        <w:rPr>
          <w:rFonts w:hint="eastAsia" w:ascii="宋体" w:hAnsi="宋体" w:eastAsia="宋体" w:cs="宋体"/>
          <w:b/>
          <w:bCs/>
          <w:color w:val="auto"/>
          <w:sz w:val="24"/>
          <w:szCs w:val="24"/>
          <w:highlight w:val="none"/>
          <w:lang w:eastAsia="zh-CN"/>
        </w:rPr>
        <w:t>应根据采购人提出的保险要求，提出详尽的投标承保方案及有关服务条款和保证措施（</w:t>
      </w:r>
      <w:r>
        <w:rPr>
          <w:rFonts w:hint="eastAsia" w:ascii="宋体" w:hAnsi="宋体" w:eastAsia="宋体" w:cs="宋体"/>
          <w:b/>
          <w:bCs/>
          <w:color w:val="auto"/>
          <w:sz w:val="24"/>
          <w:szCs w:val="24"/>
          <w:highlight w:val="none"/>
          <w:lang w:val="en-US" w:eastAsia="zh-CN"/>
        </w:rPr>
        <w:t>投标文件未提供下述6.1-6.8内容视为无效响应</w:t>
      </w:r>
      <w:r>
        <w:rPr>
          <w:rFonts w:hint="eastAsia" w:ascii="宋体" w:hAnsi="宋体" w:eastAsia="宋体" w:cs="宋体"/>
          <w:b/>
          <w:bCs/>
          <w:color w:val="auto"/>
          <w:sz w:val="24"/>
          <w:szCs w:val="24"/>
          <w:highlight w:val="none"/>
          <w:lang w:eastAsia="zh-CN"/>
        </w:rPr>
        <w:t>）。</w:t>
      </w:r>
      <w:r>
        <w:rPr>
          <w:rFonts w:hint="eastAsia" w:ascii="宋体" w:hAnsi="宋体" w:eastAsia="宋体" w:cs="宋体"/>
          <w:color w:val="auto"/>
          <w:sz w:val="24"/>
          <w:szCs w:val="24"/>
          <w:highlight w:val="none"/>
          <w:lang w:eastAsia="zh-CN"/>
        </w:rPr>
        <w:t>至少包括，但不限于以下要求：</w:t>
      </w:r>
    </w:p>
    <w:p w14:paraId="0B878A2E">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6.1</w:t>
      </w:r>
      <w:r>
        <w:rPr>
          <w:rFonts w:hint="eastAsia" w:ascii="宋体" w:hAnsi="宋体" w:eastAsia="宋体" w:cs="宋体"/>
          <w:color w:val="auto"/>
          <w:sz w:val="24"/>
          <w:szCs w:val="24"/>
          <w:lang w:eastAsia="zh-CN"/>
        </w:rPr>
        <w:t>每架无人机机身险、第三者责任险最高赔付保险金金额；</w:t>
      </w:r>
    </w:p>
    <w:p w14:paraId="698EE6D0">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6.2</w:t>
      </w:r>
      <w:r>
        <w:rPr>
          <w:rFonts w:hint="eastAsia" w:ascii="宋体" w:hAnsi="宋体" w:eastAsia="宋体" w:cs="宋体"/>
          <w:color w:val="auto"/>
          <w:sz w:val="24"/>
          <w:szCs w:val="24"/>
          <w:lang w:eastAsia="zh-CN"/>
        </w:rPr>
        <w:t>保费的缴纳方式和缴纳时间；</w:t>
      </w:r>
    </w:p>
    <w:p w14:paraId="60DC4751">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6.3</w:t>
      </w:r>
      <w:r>
        <w:rPr>
          <w:rFonts w:hint="eastAsia" w:ascii="宋体" w:hAnsi="宋体" w:eastAsia="宋体" w:cs="宋体"/>
          <w:color w:val="auto"/>
          <w:sz w:val="24"/>
          <w:szCs w:val="24"/>
          <w:lang w:eastAsia="zh-CN"/>
        </w:rPr>
        <w:t>承保内容和承保条款；</w:t>
      </w:r>
    </w:p>
    <w:p w14:paraId="7ED3F31D">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4保险金赔付的办理程序；</w:t>
      </w:r>
    </w:p>
    <w:p w14:paraId="12390FEA">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5理赔范围和理赔方案清晰明确。</w:t>
      </w:r>
    </w:p>
    <w:p w14:paraId="6B183E1D">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6有稳定的理赔负责人，有完善的理赔工作流程。</w:t>
      </w:r>
    </w:p>
    <w:p w14:paraId="7AC0513B">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7在突发事件或集体事件发生时，有应急处理方案。</w:t>
      </w:r>
    </w:p>
    <w:p w14:paraId="393D2126">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8保险其他附加内容的详细说明。</w:t>
      </w:r>
    </w:p>
    <w:p w14:paraId="5D76F98C">
      <w:pPr>
        <w:widowControl w:val="0"/>
        <w:numPr>
          <w:ilvl w:val="0"/>
          <w:numId w:val="0"/>
        </w:numPr>
        <w:spacing w:line="360" w:lineRule="auto"/>
        <w:ind w:firstLine="480" w:firstLineChars="200"/>
        <w:outlineLvl w:val="9"/>
        <w:rPr>
          <w:b w:val="0"/>
          <w:bCs w:val="0"/>
          <w:highlight w:val="none"/>
        </w:rPr>
      </w:pPr>
      <w:bookmarkStart w:id="9" w:name="_Toc9429"/>
      <w:bookmarkStart w:id="10" w:name="_Toc14584"/>
      <w:bookmarkStart w:id="11" w:name="_Toc22907"/>
      <w:r>
        <w:rPr>
          <w:rFonts w:hint="eastAsia" w:ascii="宋体" w:hAnsi="宋体" w:eastAsia="宋体" w:cs="宋体"/>
          <w:b w:val="0"/>
          <w:bCs w:val="0"/>
          <w:color w:val="auto"/>
          <w:sz w:val="24"/>
          <w:szCs w:val="24"/>
          <w:lang w:val="en-US" w:eastAsia="zh-CN"/>
        </w:rPr>
        <w:t>7.</w:t>
      </w:r>
      <w:r>
        <w:rPr>
          <w:rFonts w:hint="eastAsia" w:ascii="宋体" w:hAnsi="宋体" w:eastAsia="宋体" w:cs="宋体"/>
          <w:b w:val="0"/>
          <w:bCs w:val="0"/>
          <w:color w:val="auto"/>
          <w:sz w:val="24"/>
          <w:szCs w:val="24"/>
          <w:highlight w:val="none"/>
          <w:lang w:eastAsia="zh-CN"/>
        </w:rPr>
        <w:t>保险理赔承诺</w:t>
      </w:r>
      <w:bookmarkEnd w:id="9"/>
      <w:bookmarkEnd w:id="10"/>
      <w:bookmarkEnd w:id="11"/>
    </w:p>
    <w:p w14:paraId="14D17D62">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7.</w:t>
      </w:r>
      <w:r>
        <w:rPr>
          <w:rFonts w:hint="eastAsia" w:ascii="宋体" w:hAnsi="宋体" w:eastAsia="宋体" w:cs="宋体"/>
          <w:color w:val="auto"/>
          <w:sz w:val="24"/>
          <w:szCs w:val="24"/>
          <w:lang w:eastAsia="zh-CN"/>
        </w:rPr>
        <w:t>1.费率执行标准确保公允。</w:t>
      </w:r>
    </w:p>
    <w:p w14:paraId="0EC85260">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7.</w:t>
      </w:r>
      <w:r>
        <w:rPr>
          <w:rFonts w:hint="eastAsia" w:ascii="宋体" w:hAnsi="宋体" w:eastAsia="宋体" w:cs="宋体"/>
          <w:color w:val="auto"/>
          <w:sz w:val="24"/>
          <w:szCs w:val="24"/>
          <w:lang w:eastAsia="zh-CN"/>
        </w:rPr>
        <w:t>2.服务采取属地原则，确保理赔服务时效快捷。</w:t>
      </w:r>
    </w:p>
    <w:p w14:paraId="502EE421">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7.</w:t>
      </w:r>
      <w:r>
        <w:rPr>
          <w:rFonts w:hint="eastAsia" w:ascii="宋体" w:hAnsi="宋体" w:eastAsia="宋体" w:cs="宋体"/>
          <w:color w:val="auto"/>
          <w:sz w:val="24"/>
          <w:szCs w:val="24"/>
          <w:lang w:eastAsia="zh-CN"/>
        </w:rPr>
        <w:t>3.定期向采购人上报理赔等服务情况，确保每次理赔申请在采购人指定处室备案，并定期上报理赔情况。</w:t>
      </w:r>
    </w:p>
    <w:p w14:paraId="051CDE31">
      <w:pPr>
        <w:widowControl w:val="0"/>
        <w:numPr>
          <w:ilvl w:val="0"/>
          <w:numId w:val="0"/>
        </w:numPr>
        <w:spacing w:line="360" w:lineRule="auto"/>
        <w:ind w:firstLine="480" w:firstLineChars="200"/>
        <w:outlineLvl w:val="9"/>
        <w:rPr>
          <w:rFonts w:hint="eastAsia" w:ascii="宋体" w:hAnsi="宋体" w:eastAsia="宋体" w:cs="宋体"/>
          <w:b w:val="0"/>
          <w:bCs w:val="0"/>
          <w:color w:val="auto"/>
          <w:sz w:val="24"/>
          <w:szCs w:val="24"/>
          <w:lang w:eastAsia="zh-CN"/>
        </w:rPr>
      </w:pPr>
      <w:bookmarkStart w:id="12" w:name="_Toc2883"/>
      <w:bookmarkStart w:id="13" w:name="_Toc25526"/>
      <w:bookmarkStart w:id="14" w:name="_Toc17807"/>
      <w:r>
        <w:rPr>
          <w:rFonts w:hint="eastAsia" w:ascii="宋体" w:hAnsi="宋体" w:eastAsia="宋体" w:cs="宋体"/>
          <w:b w:val="0"/>
          <w:bCs w:val="0"/>
          <w:color w:val="auto"/>
          <w:sz w:val="24"/>
          <w:szCs w:val="24"/>
          <w:lang w:val="en-US" w:eastAsia="zh-CN"/>
        </w:rPr>
        <w:t>8.</w:t>
      </w:r>
      <w:r>
        <w:rPr>
          <w:rFonts w:hint="eastAsia" w:ascii="宋体" w:hAnsi="宋体" w:eastAsia="宋体" w:cs="宋体"/>
          <w:b w:val="0"/>
          <w:bCs w:val="0"/>
          <w:color w:val="auto"/>
          <w:sz w:val="24"/>
          <w:szCs w:val="24"/>
          <w:lang w:eastAsia="zh-CN"/>
        </w:rPr>
        <w:t>咨询及投诉服务</w:t>
      </w:r>
      <w:bookmarkEnd w:id="12"/>
      <w:bookmarkEnd w:id="13"/>
      <w:bookmarkEnd w:id="14"/>
    </w:p>
    <w:p w14:paraId="1934913B">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8.</w:t>
      </w:r>
      <w:r>
        <w:rPr>
          <w:rFonts w:hint="eastAsia" w:ascii="宋体" w:hAnsi="宋体" w:eastAsia="宋体" w:cs="宋体"/>
          <w:color w:val="auto"/>
          <w:sz w:val="24"/>
          <w:szCs w:val="24"/>
          <w:lang w:eastAsia="zh-CN"/>
        </w:rPr>
        <w:t>1提供服务专员联系方式，确保相关咨询的渠道畅通无阻；</w:t>
      </w:r>
    </w:p>
    <w:p w14:paraId="425AAD2C">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8.</w:t>
      </w:r>
      <w:r>
        <w:rPr>
          <w:rFonts w:hint="eastAsia" w:ascii="宋体" w:hAnsi="宋体" w:eastAsia="宋体" w:cs="宋体"/>
          <w:color w:val="auto"/>
          <w:sz w:val="24"/>
          <w:szCs w:val="24"/>
          <w:lang w:eastAsia="zh-CN"/>
        </w:rPr>
        <w:t>2设立投诉咨询专线电话，接受相关业务咨询及投诉；</w:t>
      </w:r>
    </w:p>
    <w:p w14:paraId="47D2B7AD">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8.</w:t>
      </w:r>
      <w:r>
        <w:rPr>
          <w:rFonts w:hint="eastAsia" w:ascii="宋体" w:hAnsi="宋体" w:eastAsia="宋体" w:cs="宋体"/>
          <w:color w:val="auto"/>
          <w:sz w:val="24"/>
          <w:szCs w:val="24"/>
          <w:lang w:eastAsia="zh-CN"/>
        </w:rPr>
        <w:t>3一般咨询件，无论是专线咨询电话接待人员或服务专员，当天给予回复；复杂咨询件48小时内给予回复，并进行专项服务咨询记录；</w:t>
      </w:r>
    </w:p>
    <w:p w14:paraId="58BF6EC8">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8.</w:t>
      </w:r>
      <w:r>
        <w:rPr>
          <w:rFonts w:hint="eastAsia" w:ascii="宋体" w:hAnsi="宋体" w:eastAsia="宋体" w:cs="宋体"/>
          <w:color w:val="auto"/>
          <w:sz w:val="24"/>
          <w:szCs w:val="24"/>
          <w:lang w:eastAsia="zh-CN"/>
        </w:rPr>
        <w:t>4所有投诉件由供应商指定专人专项负责追踪，一般投诉一个工作日之内反馈解决办法及处理意见，特殊投诉两个工作日之内反馈解决办法及处理意见，建议投诉台账记录并定期检视问题解决效果。</w:t>
      </w:r>
    </w:p>
    <w:p w14:paraId="11A9D3D7">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z w:val="24"/>
          <w:szCs w:val="24"/>
          <w:lang w:val="en-US" w:eastAsia="zh-CN"/>
        </w:rPr>
      </w:pPr>
      <w:bookmarkStart w:id="15" w:name="_Toc15999"/>
      <w:bookmarkStart w:id="16" w:name="_Toc20508"/>
      <w:bookmarkStart w:id="17" w:name="_Toc5684"/>
      <w:r>
        <w:rPr>
          <w:rFonts w:hint="eastAsia" w:ascii="宋体" w:hAnsi="宋体" w:eastAsia="宋体" w:cs="宋体"/>
          <w:color w:val="auto"/>
          <w:sz w:val="24"/>
          <w:szCs w:val="24"/>
          <w:lang w:val="en-US" w:eastAsia="zh-CN"/>
        </w:rPr>
        <w:t>9.服务承诺要求:</w:t>
      </w:r>
    </w:p>
    <w:p w14:paraId="4384A327">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b w:val="0"/>
          <w:bCs w:val="0"/>
          <w:i w:val="0"/>
          <w:iCs w:val="0"/>
          <w:caps w:val="0"/>
          <w:color w:val="auto"/>
          <w:spacing w:val="0"/>
          <w:sz w:val="24"/>
          <w:szCs w:val="24"/>
          <w:shd w:val="clear"/>
          <w:lang w:val="en-US" w:eastAsia="zh-CN"/>
        </w:rPr>
        <w:t>1</w:t>
      </w:r>
      <w:r>
        <w:rPr>
          <w:rFonts w:hint="eastAsia" w:ascii="宋体" w:hAnsi="宋体" w:eastAsia="宋体" w:cs="宋体"/>
          <w:b w:val="0"/>
          <w:bCs w:val="0"/>
          <w:i w:val="0"/>
          <w:iCs w:val="0"/>
          <w:caps w:val="0"/>
          <w:color w:val="auto"/>
          <w:spacing w:val="0"/>
          <w:sz w:val="24"/>
          <w:szCs w:val="24"/>
          <w:shd w:val="clear"/>
          <w:lang w:eastAsia="zh-CN"/>
        </w:rPr>
        <w:t>）7×24小时报案受理承诺</w:t>
      </w:r>
      <w:r>
        <w:rPr>
          <w:rFonts w:hint="eastAsia" w:ascii="宋体" w:hAnsi="宋体" w:eastAsia="宋体" w:cs="宋体"/>
          <w:b w:val="0"/>
          <w:bCs w:val="0"/>
          <w:i w:val="0"/>
          <w:iCs w:val="0"/>
          <w:caps w:val="0"/>
          <w:color w:val="auto"/>
          <w:spacing w:val="0"/>
          <w:sz w:val="24"/>
          <w:szCs w:val="24"/>
          <w:shd w:val="clear"/>
          <w:lang w:val="en-US" w:eastAsia="zh-CN"/>
        </w:rPr>
        <w:t>。</w:t>
      </w:r>
      <w:r>
        <w:rPr>
          <w:rFonts w:hint="eastAsia" w:ascii="宋体" w:hAnsi="宋体" w:eastAsia="宋体" w:cs="宋体"/>
          <w:i w:val="0"/>
          <w:iCs w:val="0"/>
          <w:caps w:val="0"/>
          <w:color w:val="auto"/>
          <w:spacing w:val="0"/>
          <w:sz w:val="24"/>
          <w:szCs w:val="24"/>
          <w:shd w:val="clear"/>
          <w:lang w:eastAsia="zh-CN"/>
        </w:rPr>
        <w:t>供应商须提供7×24小时接报案服务，设立专属理赔服务团队，为采购人提供一对一理赔对接。</w:t>
      </w:r>
    </w:p>
    <w:p w14:paraId="751A672E">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b w:val="0"/>
          <w:bCs w:val="0"/>
          <w:i w:val="0"/>
          <w:iCs w:val="0"/>
          <w:caps w:val="0"/>
          <w:color w:val="auto"/>
          <w:spacing w:val="0"/>
          <w:sz w:val="24"/>
          <w:szCs w:val="24"/>
          <w:shd w:val="clear"/>
          <w:lang w:val="en-US" w:eastAsia="zh-CN"/>
        </w:rPr>
        <w:t>2</w:t>
      </w:r>
      <w:r>
        <w:rPr>
          <w:rFonts w:hint="eastAsia" w:ascii="宋体" w:hAnsi="宋体" w:eastAsia="宋体" w:cs="宋体"/>
          <w:b w:val="0"/>
          <w:bCs w:val="0"/>
          <w:i w:val="0"/>
          <w:iCs w:val="0"/>
          <w:caps w:val="0"/>
          <w:color w:val="auto"/>
          <w:spacing w:val="0"/>
          <w:sz w:val="24"/>
          <w:szCs w:val="24"/>
          <w:shd w:val="clear"/>
          <w:lang w:eastAsia="zh-CN"/>
        </w:rPr>
        <w:t>）现场查勘时效承诺。</w:t>
      </w:r>
      <w:r>
        <w:rPr>
          <w:rFonts w:hint="eastAsia" w:ascii="宋体" w:hAnsi="宋体" w:eastAsia="宋体" w:cs="宋体"/>
          <w:i w:val="0"/>
          <w:iCs w:val="0"/>
          <w:caps w:val="0"/>
          <w:color w:val="auto"/>
          <w:spacing w:val="0"/>
          <w:sz w:val="24"/>
          <w:szCs w:val="24"/>
          <w:shd w:val="clear"/>
          <w:lang w:eastAsia="zh-CN"/>
        </w:rPr>
        <w:t>供应商须承诺：接到报案后，在以下时限内到达事故现场或完成远程定损：</w:t>
      </w:r>
    </w:p>
    <w:p w14:paraId="55B6DB85">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i w:val="0"/>
          <w:iCs w:val="0"/>
          <w:caps w:val="0"/>
          <w:color w:val="auto"/>
          <w:spacing w:val="0"/>
          <w:sz w:val="24"/>
          <w:szCs w:val="24"/>
          <w:shd w:val="clear"/>
          <w:lang w:eastAsia="zh-CN"/>
        </w:rPr>
        <w:t>事故发生地在省会城市/设区市城区范围内：6小时内到达；</w:t>
      </w:r>
    </w:p>
    <w:p w14:paraId="71EA4689">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i w:val="0"/>
          <w:iCs w:val="0"/>
          <w:caps w:val="0"/>
          <w:color w:val="auto"/>
          <w:spacing w:val="0"/>
          <w:sz w:val="24"/>
          <w:szCs w:val="24"/>
          <w:shd w:val="clear"/>
          <w:lang w:eastAsia="zh-CN"/>
        </w:rPr>
        <w:t>事故发生地在县域范围内：2</w:t>
      </w:r>
      <w:r>
        <w:rPr>
          <w:rFonts w:hint="eastAsia" w:ascii="宋体" w:hAnsi="宋体" w:eastAsia="宋体" w:cs="宋体"/>
          <w:i w:val="0"/>
          <w:iCs w:val="0"/>
          <w:caps w:val="0"/>
          <w:color w:val="auto"/>
          <w:spacing w:val="0"/>
          <w:sz w:val="24"/>
          <w:szCs w:val="24"/>
          <w:shd w:val="clear"/>
          <w:lang w:val="en-US" w:eastAsia="zh-CN"/>
        </w:rPr>
        <w:t>4</w:t>
      </w:r>
      <w:r>
        <w:rPr>
          <w:rFonts w:hint="eastAsia" w:ascii="宋体" w:hAnsi="宋体" w:eastAsia="宋体" w:cs="宋体"/>
          <w:i w:val="0"/>
          <w:iCs w:val="0"/>
          <w:caps w:val="0"/>
          <w:color w:val="auto"/>
          <w:spacing w:val="0"/>
          <w:sz w:val="24"/>
          <w:szCs w:val="24"/>
          <w:shd w:val="clear"/>
          <w:lang w:eastAsia="zh-CN"/>
        </w:rPr>
        <w:t>小时内到达；</w:t>
      </w:r>
    </w:p>
    <w:p w14:paraId="74DD1DD9">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i w:val="0"/>
          <w:iCs w:val="0"/>
          <w:caps w:val="0"/>
          <w:color w:val="auto"/>
          <w:spacing w:val="0"/>
          <w:sz w:val="24"/>
          <w:szCs w:val="24"/>
          <w:shd w:val="clear"/>
          <w:lang w:eastAsia="zh-CN"/>
        </w:rPr>
        <w:t>偏远地区（山区、水域等）：可依据采购人提供的视频、照片等影像资料实行远程定损，影像资料提交后2</w:t>
      </w:r>
      <w:r>
        <w:rPr>
          <w:rFonts w:hint="eastAsia" w:ascii="宋体" w:hAnsi="宋体" w:eastAsia="宋体" w:cs="宋体"/>
          <w:i w:val="0"/>
          <w:iCs w:val="0"/>
          <w:caps w:val="0"/>
          <w:color w:val="auto"/>
          <w:spacing w:val="0"/>
          <w:sz w:val="24"/>
          <w:szCs w:val="24"/>
          <w:shd w:val="clear"/>
          <w:lang w:val="en-US" w:eastAsia="zh-CN"/>
        </w:rPr>
        <w:t>4</w:t>
      </w:r>
      <w:r>
        <w:rPr>
          <w:rFonts w:hint="eastAsia" w:ascii="宋体" w:hAnsi="宋体" w:eastAsia="宋体" w:cs="宋体"/>
          <w:i w:val="0"/>
          <w:iCs w:val="0"/>
          <w:caps w:val="0"/>
          <w:color w:val="auto"/>
          <w:spacing w:val="0"/>
          <w:sz w:val="24"/>
          <w:szCs w:val="24"/>
          <w:shd w:val="clear"/>
          <w:lang w:eastAsia="zh-CN"/>
        </w:rPr>
        <w:t>小时内完成初步定损。</w:t>
      </w:r>
    </w:p>
    <w:p w14:paraId="1C4E9BA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b w:val="0"/>
          <w:bCs w:val="0"/>
          <w:i w:val="0"/>
          <w:iCs w:val="0"/>
          <w:caps w:val="0"/>
          <w:color w:val="auto"/>
          <w:spacing w:val="0"/>
          <w:sz w:val="24"/>
          <w:szCs w:val="24"/>
          <w:shd w:val="clear"/>
          <w:lang w:val="en-US" w:eastAsia="zh-CN"/>
        </w:rPr>
        <w:t>3</w:t>
      </w:r>
      <w:r>
        <w:rPr>
          <w:rFonts w:hint="eastAsia" w:ascii="宋体" w:hAnsi="宋体" w:eastAsia="宋体" w:cs="宋体"/>
          <w:b w:val="0"/>
          <w:bCs w:val="0"/>
          <w:i w:val="0"/>
          <w:iCs w:val="0"/>
          <w:caps w:val="0"/>
          <w:color w:val="auto"/>
          <w:spacing w:val="0"/>
          <w:sz w:val="24"/>
          <w:szCs w:val="24"/>
          <w:shd w:val="clear"/>
          <w:lang w:eastAsia="zh-CN"/>
        </w:rPr>
        <w:t>）人伤急救费用垫付承诺。</w:t>
      </w:r>
      <w:r>
        <w:rPr>
          <w:rFonts w:hint="eastAsia" w:ascii="宋体" w:hAnsi="宋体" w:eastAsia="宋体" w:cs="宋体"/>
          <w:i w:val="0"/>
          <w:iCs w:val="0"/>
          <w:caps w:val="0"/>
          <w:color w:val="auto"/>
          <w:spacing w:val="0"/>
          <w:sz w:val="24"/>
          <w:szCs w:val="24"/>
          <w:shd w:val="clear"/>
          <w:lang w:eastAsia="zh-CN"/>
        </w:rPr>
        <w:t>涉及第三者人伤需要抢救的，供应商须承诺在接到采购人或空中交通管理部门通知后，依照保险合同约定，在责任限额内先行垫付急救医疗费用。</w:t>
      </w:r>
    </w:p>
    <w:p w14:paraId="53948A5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项目服务期内,不允许中标供应商更换项目负责人。如果中标供应商确因无法抗拒的原因必须更换项目负责人时,必须向采购人提交书面申请,经同意后,提供一名具有同等或更高资历、熟悉相关业务的人员替换该职位。</w:t>
      </w:r>
    </w:p>
    <w:p w14:paraId="42E2D27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（5）投标人拟投入本项目的服务团队人员须≥2 名。</w:t>
      </w:r>
    </w:p>
    <w:p w14:paraId="2F79AC01">
      <w:pPr>
        <w:widowControl w:val="0"/>
        <w:numPr>
          <w:ilvl w:val="0"/>
          <w:numId w:val="0"/>
        </w:numPr>
        <w:spacing w:line="360" w:lineRule="auto"/>
        <w:ind w:firstLine="480" w:firstLineChars="200"/>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val="en-US" w:eastAsia="zh-CN"/>
        </w:rPr>
        <w:t>10.其他</w:t>
      </w:r>
      <w:r>
        <w:rPr>
          <w:rFonts w:hint="eastAsia" w:ascii="宋体" w:hAnsi="宋体" w:eastAsia="宋体" w:cs="宋体"/>
          <w:b w:val="0"/>
          <w:bCs w:val="0"/>
          <w:color w:val="auto"/>
          <w:sz w:val="24"/>
          <w:szCs w:val="24"/>
          <w:lang w:eastAsia="zh-CN"/>
        </w:rPr>
        <w:t>要求</w:t>
      </w:r>
      <w:bookmarkEnd w:id="15"/>
      <w:bookmarkEnd w:id="16"/>
      <w:bookmarkEnd w:id="17"/>
    </w:p>
    <w:p w14:paraId="3CEA44E2">
      <w:pPr>
        <w:widowControl w:val="0"/>
        <w:numPr>
          <w:ilvl w:val="0"/>
          <w:numId w:val="0"/>
        </w:numPr>
        <w:spacing w:line="360" w:lineRule="auto"/>
        <w:ind w:firstLine="480" w:firstLineChars="200"/>
        <w:jc w:val="left"/>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w:t>
      </w:r>
      <w:r>
        <w:rPr>
          <w:rFonts w:hint="eastAsia" w:ascii="宋体" w:hAnsi="宋体" w:eastAsia="宋体" w:cs="宋体"/>
          <w:color w:val="auto"/>
          <w:sz w:val="24"/>
          <w:szCs w:val="24"/>
          <w:lang w:eastAsia="zh-CN"/>
        </w:rPr>
        <w:t>1成交供应商针对本项目成立健全的专门服务小组（应有具体成员名单，包括姓名、所在公司、职务、职称、工作职责、联系方式等），指派专人负责，理赔事件过程中，专人上门指导</w:t>
      </w:r>
      <w:r>
        <w:rPr>
          <w:rFonts w:hint="eastAsia" w:ascii="宋体" w:hAnsi="宋体" w:eastAsia="宋体" w:cs="宋体"/>
          <w:color w:val="auto"/>
          <w:sz w:val="24"/>
          <w:szCs w:val="24"/>
          <w:lang w:val="en-US" w:eastAsia="zh-CN"/>
        </w:rPr>
        <w:t>采购人或使用单位</w:t>
      </w:r>
      <w:r>
        <w:rPr>
          <w:rFonts w:hint="eastAsia" w:ascii="宋体" w:hAnsi="宋体" w:eastAsia="宋体" w:cs="宋体"/>
          <w:color w:val="auto"/>
          <w:sz w:val="24"/>
          <w:szCs w:val="24"/>
          <w:lang w:eastAsia="zh-CN"/>
        </w:rPr>
        <w:t>办理理赔业务，提交理赔资料。</w:t>
      </w:r>
    </w:p>
    <w:p w14:paraId="2FEA1E89">
      <w:pPr>
        <w:widowControl w:val="0"/>
        <w:numPr>
          <w:ilvl w:val="0"/>
          <w:numId w:val="0"/>
        </w:numPr>
        <w:spacing w:line="360" w:lineRule="auto"/>
        <w:ind w:firstLine="480" w:firstLineChars="200"/>
        <w:jc w:val="left"/>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w:t>
      </w:r>
      <w:r>
        <w:rPr>
          <w:rFonts w:hint="eastAsia" w:ascii="宋体" w:hAnsi="宋体" w:eastAsia="宋体" w:cs="宋体"/>
          <w:color w:val="auto"/>
          <w:sz w:val="24"/>
          <w:szCs w:val="24"/>
          <w:lang w:eastAsia="zh-CN"/>
        </w:rPr>
        <w:t>2成交供应商的专门服务小组，必须安排专人专户集中办理保险业务。指定的采购业务联络员（人数由各成交供应商根据业务来确定）负责承保前的通知、承保资料的收集、保单、报表打印及传送、情况调度；理赔专管员（人数由各成交供应商根据业务来确定）负责理赔资料的收集、咨询及提供理赔方面服务。并派专人办理出险施救业务。</w:t>
      </w:r>
    </w:p>
    <w:p w14:paraId="0E29F49A">
      <w:pPr>
        <w:widowControl w:val="0"/>
        <w:numPr>
          <w:ilvl w:val="0"/>
          <w:numId w:val="0"/>
        </w:numPr>
        <w:spacing w:line="360" w:lineRule="auto"/>
        <w:ind w:firstLine="480" w:firstLineChars="200"/>
        <w:jc w:val="left"/>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工作中各项资料要准确、完整，作好档案管理工作，方便采购人及相关部门使用。在未得到许可的情况下，不得向任何第三方泄漏有关项目的技术资料和其他信息；</w:t>
      </w:r>
    </w:p>
    <w:p w14:paraId="3689E443">
      <w:pPr>
        <w:widowControl w:val="0"/>
        <w:numPr>
          <w:ilvl w:val="0"/>
          <w:numId w:val="0"/>
        </w:numPr>
        <w:spacing w:line="360" w:lineRule="auto"/>
        <w:ind w:firstLine="480" w:firstLineChars="200"/>
        <w:jc w:val="left"/>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保证在规定时间内完成服务工作，保证成果质量；</w:t>
      </w:r>
    </w:p>
    <w:p w14:paraId="02AA4931">
      <w:pPr>
        <w:widowControl w:val="0"/>
        <w:numPr>
          <w:ilvl w:val="0"/>
          <w:numId w:val="0"/>
        </w:numPr>
        <w:spacing w:line="360" w:lineRule="auto"/>
        <w:ind w:firstLine="480" w:firstLineChars="200"/>
        <w:jc w:val="left"/>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10.5</w:t>
      </w:r>
      <w:r>
        <w:rPr>
          <w:rFonts w:hint="eastAsia" w:ascii="宋体" w:hAnsi="宋体" w:eastAsia="宋体" w:cs="宋体"/>
          <w:color w:val="auto"/>
          <w:sz w:val="24"/>
          <w:szCs w:val="24"/>
          <w:lang w:eastAsia="zh-CN"/>
        </w:rPr>
        <w:t>成交供应商不得将文件内规定的服务工作进行分包和转包，否则采购人有权取消其成交资格。</w:t>
      </w:r>
    </w:p>
    <w:p w14:paraId="03B9D25B">
      <w:pPr>
        <w:widowControl w:val="0"/>
        <w:numPr>
          <w:ilvl w:val="0"/>
          <w:numId w:val="0"/>
        </w:numPr>
        <w:spacing w:line="360" w:lineRule="auto"/>
        <w:ind w:firstLine="480" w:firstLineChars="2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10.6</w:t>
      </w:r>
      <w:r>
        <w:rPr>
          <w:rFonts w:hint="eastAsia" w:ascii="宋体" w:hAnsi="宋体" w:eastAsia="宋体" w:cs="宋体"/>
          <w:color w:val="auto"/>
          <w:sz w:val="24"/>
          <w:szCs w:val="24"/>
          <w:lang w:eastAsia="zh-CN"/>
        </w:rPr>
        <w:t>被保险无人机出险后，对于属保险责任范围内的事故，在被保险人无责任的情况下，应由第三方负责赔偿时，成交供应商按照保险合同予以赔偿，由被保险人授权成交供应商行使代位求偿权，在被保险人的积极配合下，负责向第三方进行追偿。</w:t>
      </w:r>
    </w:p>
    <w:p w14:paraId="7E838E8C">
      <w:pPr>
        <w:keepNext w:val="0"/>
        <w:keepLines w:val="0"/>
        <w:pageBreakBefore w:val="0"/>
        <w:widowControl w:val="0"/>
        <w:wordWrap/>
        <w:overflowPunct/>
        <w:topLinePunct w:val="0"/>
        <w:bidi w:val="0"/>
        <w:spacing w:before="78" w:line="360" w:lineRule="auto"/>
        <w:ind w:firstLine="458" w:firstLineChars="200"/>
        <w:outlineLvl w:val="2"/>
        <w:rPr>
          <w:rFonts w:hint="default" w:ascii="宋体" w:hAnsi="宋体" w:eastAsia="宋体" w:cs="宋体"/>
          <w:b/>
          <w:bCs/>
          <w:color w:val="auto"/>
          <w:spacing w:val="-6"/>
          <w:sz w:val="24"/>
          <w:szCs w:val="24"/>
          <w:lang w:val="en-US" w:eastAsia="zh-CN"/>
        </w:rPr>
      </w:pPr>
      <w:bookmarkStart w:id="18" w:name="_Toc4187"/>
      <w:r>
        <w:rPr>
          <w:rFonts w:hint="eastAsia" w:ascii="宋体" w:hAnsi="宋体" w:eastAsia="宋体" w:cs="宋体"/>
          <w:b/>
          <w:bCs/>
          <w:color w:val="auto"/>
          <w:spacing w:val="-6"/>
          <w:sz w:val="24"/>
          <w:szCs w:val="24"/>
          <w:lang w:val="en-US" w:eastAsia="zh-CN"/>
        </w:rPr>
        <w:t>注：以上（一）服务要求需完全满足或优于，否则视为无效响应。</w:t>
      </w:r>
      <w:bookmarkEnd w:id="2"/>
      <w:bookmarkEnd w:id="18"/>
    </w:p>
    <w:p w14:paraId="3E0D954C">
      <w:bookmarkStart w:id="19" w:name="_GoBack"/>
      <w:bookmarkEnd w:id="19"/>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D"/>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AC22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2026-06-18T07:43:03Z</dcterms:created>
  <dc:creator>这台电脑能飞么</dc:creator>
  <cp:lastModifiedBy>这台电脑能飞么</cp:lastModifiedBy>
  <dcterms:modified xsi:type="dcterms:W3CDTF">2026-06-18T07:43:23Z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CBA44D23DDDA4C3CA9CD4ABCC0978A67_12</vt:lpwstr>
  </property>
</Properties>
</file>