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0F7355">
      <w:pPr>
        <w:keepLines w:val="0"/>
        <w:pageBreakBefore w:val="0"/>
        <w:widowControl w:val="0"/>
        <w:wordWrap/>
        <w:overflowPunct/>
        <w:topLinePunct/>
        <w:bidi w:val="0"/>
        <w:spacing w:before="63" w:line="224" w:lineRule="auto"/>
        <w:ind w:left="7035" w:leftChars="0" w:hanging="7035" w:hangingChars="1599"/>
        <w:jc w:val="center"/>
        <w:outlineLvl w:val="0"/>
        <w:rPr>
          <w:rFonts w:hint="eastAsia" w:ascii="仿宋" w:hAnsi="仿宋" w:eastAsia="仿宋" w:cs="仿宋"/>
          <w:color w:val="auto"/>
          <w:spacing w:val="0"/>
          <w:position w:val="0"/>
          <w:sz w:val="44"/>
          <w:szCs w:val="44"/>
          <w:highlight w:val="none"/>
          <w:lang w:eastAsia="zh-CN"/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44"/>
          <w:szCs w:val="44"/>
          <w:highlight w:val="none"/>
          <w:lang w:eastAsia="zh-CN"/>
        </w:rPr>
        <w:t>采购需求</w:t>
      </w:r>
    </w:p>
    <w:p w14:paraId="18189C77">
      <w:pPr>
        <w:keepLines w:val="0"/>
        <w:pageBreakBefore w:val="0"/>
        <w:kinsoku w:val="0"/>
        <w:wordWrap/>
        <w:overflowPunct/>
        <w:topLinePunct/>
        <w:autoSpaceDE w:val="0"/>
        <w:autoSpaceDN w:val="0"/>
        <w:bidi w:val="0"/>
        <w:spacing w:before="101" w:after="0" w:line="228" w:lineRule="auto"/>
        <w:ind w:left="3752"/>
        <w:textAlignment w:val="baseline"/>
        <w:outlineLvl w:val="9"/>
        <w:rPr>
          <w:rFonts w:ascii="仿宋" w:hAnsi="仿宋" w:eastAsia="仿宋" w:cs="仿宋"/>
          <w:snapToGrid w:val="0"/>
          <w:color w:val="000000"/>
          <w:spacing w:val="7"/>
          <w:sz w:val="31"/>
          <w:szCs w:val="31"/>
          <w:lang w:eastAsia="en-US"/>
        </w:rPr>
      </w:pPr>
      <w:bookmarkStart w:id="0" w:name="_Toc8127"/>
      <w:bookmarkStart w:id="1" w:name="_Toc9523"/>
    </w:p>
    <w:p w14:paraId="06DC1E14">
      <w:pPr>
        <w:keepLines w:val="0"/>
        <w:pageBreakBefore w:val="0"/>
        <w:wordWrap/>
        <w:overflowPunct/>
        <w:topLinePunct/>
        <w:bidi w:val="0"/>
        <w:jc w:val="center"/>
        <w:rPr>
          <w:rFonts w:hint="eastAsia" w:ascii="黑体" w:hAnsi="黑体" w:eastAsia="黑体" w:cs="黑体"/>
          <w:sz w:val="36"/>
          <w:szCs w:val="36"/>
          <w:lang w:eastAsia="en-US"/>
        </w:rPr>
      </w:pPr>
      <w:r>
        <w:rPr>
          <w:rFonts w:hint="eastAsia" w:ascii="黑体" w:hAnsi="黑体" w:eastAsia="黑体" w:cs="黑体"/>
          <w:sz w:val="36"/>
          <w:szCs w:val="36"/>
          <w:lang w:eastAsia="en-US"/>
        </w:rPr>
        <w:t>一、采购需求表</w:t>
      </w:r>
      <w:bookmarkEnd w:id="0"/>
      <w:bookmarkEnd w:id="1"/>
    </w:p>
    <w:p w14:paraId="2A0BD22B">
      <w:pPr>
        <w:keepLines w:val="0"/>
        <w:pageBreakBefore w:val="0"/>
        <w:kinsoku w:val="0"/>
        <w:wordWrap/>
        <w:overflowPunct/>
        <w:topLinePunct/>
        <w:autoSpaceDE w:val="0"/>
        <w:autoSpaceDN w:val="0"/>
        <w:bidi w:val="0"/>
        <w:spacing w:before="31" w:after="0"/>
        <w:textAlignment w:val="baseline"/>
        <w:rPr>
          <w:rFonts w:ascii="Arial" w:hAnsi="Arial" w:eastAsia="Arial" w:cs="Arial"/>
          <w:snapToGrid w:val="0"/>
          <w:color w:val="000000"/>
          <w:sz w:val="21"/>
          <w:szCs w:val="21"/>
          <w:lang w:eastAsia="en-US"/>
        </w:rPr>
      </w:pPr>
    </w:p>
    <w:tbl>
      <w:tblPr>
        <w:tblStyle w:val="5"/>
        <w:tblW w:w="8819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65"/>
        <w:gridCol w:w="5954"/>
      </w:tblGrid>
      <w:tr w14:paraId="0DFF65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3" w:hRule="atLeast"/>
          <w:jc w:val="center"/>
        </w:trPr>
        <w:tc>
          <w:tcPr>
            <w:tcW w:w="2865" w:type="dxa"/>
          </w:tcPr>
          <w:p w14:paraId="41B4A27D">
            <w:pPr>
              <w:keepLines w:val="0"/>
              <w:pageBreakBefore w:val="0"/>
              <w:tabs>
                <w:tab w:val="left" w:pos="2009"/>
              </w:tabs>
              <w:kinsoku w:val="0"/>
              <w:wordWrap/>
              <w:overflowPunct/>
              <w:topLinePunct/>
              <w:autoSpaceDE w:val="0"/>
              <w:autoSpaceDN w:val="0"/>
              <w:bidi w:val="0"/>
              <w:spacing w:after="0"/>
              <w:ind w:firstLine="150" w:firstLineChars="50"/>
              <w:textAlignment w:val="baseline"/>
              <w:rPr>
                <w:rFonts w:ascii="仿宋" w:hAnsi="仿宋" w:eastAsia="仿宋" w:cs="仿宋"/>
                <w:snapToGrid w:val="0"/>
                <w:color w:val="000000"/>
                <w:sz w:val="30"/>
                <w:szCs w:val="30"/>
              </w:rPr>
            </w:pPr>
            <w:bookmarkStart w:id="4" w:name="_GoBack"/>
            <w:r>
              <w:rPr>
                <w:rFonts w:ascii="仿宋" w:hAnsi="仿宋" w:eastAsia="仿宋" w:cs="仿宋"/>
                <w:color w:val="000000"/>
                <w:sz w:val="30"/>
                <w:szCs w:val="30"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1816100" cy="1425575"/>
                      <wp:effectExtent l="3175" t="3810" r="9525" b="18415"/>
                      <wp:wrapNone/>
                      <wp:docPr id="1028" name="组合 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 rot="0">
                                <a:off x="0" y="0"/>
                                <a:ext cx="1816100" cy="1425575"/>
                                <a:chOff x="984" y="4273"/>
                                <a:chExt cx="2860" cy="2245"/>
                              </a:xfrm>
                              <a:effectLst/>
                            </wpg:grpSpPr>
                            <wps:wsp>
                              <wps:cNvPr id="1" name="直接连接符 1"/>
                              <wps:cNvCnPr/>
                              <wps:spPr>
                                <a:xfrm>
                                  <a:off x="984" y="4273"/>
                                  <a:ext cx="2860" cy="2245"/>
                                </a:xfrm>
                                <a:prstGeom prst="line">
                                  <a:avLst/>
                                </a:prstGeom>
                                <a:ln w="3175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 type="none" w="med" len="med"/>
                                  <a:tailEnd type="none" w="med" len="med"/>
                                </a:ln>
                                <a:effectLst/>
                              </wps:spPr>
                              <wps:bodyPr/>
                            </wps:wsp>
                            <wps:wsp>
                              <wps:cNvPr id="2" name="矩形 2"/>
                              <wps:cNvSpPr/>
                              <wps:spPr>
                                <a:xfrm>
                                  <a:off x="2285" y="4545"/>
                                  <a:ext cx="375" cy="3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ffectLst/>
                              </wps:spPr>
                              <wps:txbx>
                                <w:txbxContent>
                                  <w:p w14:paraId="59652871">
                                    <w:pPr>
                                      <w:rPr>
                                        <w:rFonts w:ascii="仿宋" w:hAnsi="仿宋" w:eastAsia="仿宋"/>
                                        <w:color w:val="000000"/>
                                        <w:sz w:val="30"/>
                                      </w:rPr>
                                    </w:pPr>
                                    <w:r>
                                      <w:rPr>
                                        <w:rFonts w:hint="eastAsia" w:ascii="仿宋" w:hAnsi="仿宋" w:eastAsia="仿宋" w:cs="宋体"/>
                                        <w:sz w:val="30"/>
                                      </w:rPr>
                                      <w:t>名</w:t>
                                    </w:r>
                                  </w:p>
                                </w:txbxContent>
                              </wps:txbx>
                              <wps:bodyPr lIns="0" tIns="0" rIns="0" bIns="0" upright="1"/>
                            </wps:wsp>
                            <wps:wsp>
                              <wps:cNvPr id="5" name="矩形 3"/>
                              <wps:cNvSpPr/>
                              <wps:spPr>
                                <a:xfrm>
                                  <a:off x="3074" y="5165"/>
                                  <a:ext cx="375" cy="3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ffectLst/>
                              </wps:spPr>
                              <wps:txbx>
                                <w:txbxContent>
                                  <w:p w14:paraId="35B699E4">
                                    <w:pPr>
                                      <w:rPr>
                                        <w:rFonts w:ascii="仿宋" w:hAnsi="仿宋" w:eastAsia="仿宋"/>
                                        <w:color w:val="000000"/>
                                        <w:sz w:val="30"/>
                                      </w:rPr>
                                    </w:pPr>
                                    <w:r>
                                      <w:rPr>
                                        <w:rFonts w:hint="eastAsia" w:ascii="仿宋" w:hAnsi="仿宋" w:eastAsia="仿宋" w:cs="宋体"/>
                                        <w:sz w:val="30"/>
                                      </w:rPr>
                                      <w:t>称</w:t>
                                    </w:r>
                                  </w:p>
                                </w:txbxContent>
                              </wps:txbx>
                              <wps:bodyPr lIns="0" tIns="0" rIns="0" bIns="0" upright="1"/>
                            </wps:wsp>
                            <wps:wsp>
                              <wps:cNvPr id="6" name="矩形 4"/>
                              <wps:cNvSpPr/>
                              <wps:spPr>
                                <a:xfrm>
                                  <a:off x="1387" y="5231"/>
                                  <a:ext cx="375" cy="3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ffectLst/>
                              </wps:spPr>
                              <wps:txbx>
                                <w:txbxContent>
                                  <w:p w14:paraId="42208639">
                                    <w:pPr>
                                      <w:rPr>
                                        <w:rFonts w:ascii="仿宋" w:hAnsi="仿宋" w:eastAsia="仿宋"/>
                                        <w:color w:val="000000"/>
                                        <w:sz w:val="30"/>
                                      </w:rPr>
                                    </w:pPr>
                                    <w:r>
                                      <w:rPr>
                                        <w:rFonts w:hint="eastAsia" w:ascii="仿宋" w:hAnsi="仿宋" w:eastAsia="仿宋" w:cs="宋体"/>
                                        <w:sz w:val="30"/>
                                      </w:rPr>
                                      <w:t>内</w:t>
                                    </w:r>
                                  </w:p>
                                </w:txbxContent>
                              </wps:txbx>
                              <wps:bodyPr lIns="0" tIns="0" rIns="0" bIns="0" upright="1"/>
                            </wps:wsp>
                            <wps:wsp>
                              <wps:cNvPr id="7" name="矩形 5"/>
                              <wps:cNvSpPr/>
                              <wps:spPr>
                                <a:xfrm>
                                  <a:off x="2194" y="5864"/>
                                  <a:ext cx="375" cy="3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ffectLst/>
                              </wps:spPr>
                              <wps:txbx>
                                <w:txbxContent>
                                  <w:p w14:paraId="79DE0C97">
                                    <w:pPr>
                                      <w:rPr>
                                        <w:rFonts w:ascii="仿宋" w:hAnsi="仿宋" w:eastAsia="仿宋"/>
                                        <w:color w:val="000000"/>
                                        <w:sz w:val="30"/>
                                      </w:rPr>
                                    </w:pPr>
                                    <w:r>
                                      <w:rPr>
                                        <w:rFonts w:hint="eastAsia" w:ascii="仿宋" w:hAnsi="仿宋" w:eastAsia="仿宋" w:cs="宋体"/>
                                        <w:sz w:val="30"/>
                                      </w:rPr>
                                      <w:t>容</w:t>
                                    </w:r>
                                  </w:p>
                                </w:txbxContent>
                              </wps:txbx>
                              <wps:bodyPr lIns="0" tIns="0" rIns="0" bIns="0" upright="1"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组合 8" o:spid="_x0000_s1026" o:spt="203" style="position:absolute;left:0pt;margin-left:0pt;margin-top:0pt;height:112.25pt;width:143pt;z-index:251659264;mso-width-relative:page;mso-height-relative:page;" coordorigin="984,4273" coordsize="2860,2245" o:gfxdata="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">
                      <o:lock v:ext="edit" aspectratio="f"/>
                      <v:line id="_x0000_s1026" o:spid="_x0000_s1026" o:spt="20" style="position:absolute;left:984;top:4273;height:2245;width:2860;" filled="f" stroked="t" coordsize="21600,21600" o:gfxdata="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rHpL3ugAAANoA&#10;AAAPAAAAAAAAAAEAIAAAACIAAABkcnMvZG93bnJldi54bWxQSwECFAAUAAAACACHTuJAMy8FnjsA&#10;AAA5AAAAEAAAAAAAAAABACAAAAAJAQAAZHJzL3NoYXBleG1sLnhtbFBLBQYAAAAABgAGAFsBAACz&#10;AwAAAAA=&#10;">
                        <v:fill on="f" focussize="0,0"/>
                        <v:stroke weight="0.25pt" color="#000000" joinstyle="round"/>
                        <v:imagedata o:title=""/>
                        <o:lock v:ext="edit" aspectratio="f"/>
                      </v:line>
                      <v:rect id="_x0000_s1026" o:spid="_x0000_s1026" o:spt="1" style="position:absolute;left:2285;top:4545;height:375;width:375;" filled="f" stroked="f" coordsize="21600,21600" o:gfxdata="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77nE5b4A&#10;AADaAAAADwAAAAAAAAABACAAAAAiAAAAZHJzL2Rvd25yZXYueG1sUEsBAhQAFAAAAAgAh07iQDMv&#10;BZ47AAAAOQAAABAAAAAAAAAAAQAgAAAADQEAAGRycy9zaGFwZXhtbC54bWxQSwUGAAAAAAYABgBb&#10;AQAAtwMAAAAA&#10;">
                        <v:fill on="f" focussize="0,0"/>
                        <v:stroke on="f"/>
                        <v:imagedata o:title=""/>
                        <o:lock v:ext="edit" aspectratio="f"/>
                        <v:textbox inset="0mm,0mm,0mm,0mm">
                          <w:txbxContent>
                            <w:p w14:paraId="59652871">
                              <w:pPr>
                                <w:rPr>
                                  <w:rFonts w:ascii="仿宋" w:hAnsi="仿宋" w:eastAsia="仿宋"/>
                                  <w:color w:val="000000"/>
                                  <w:sz w:val="30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宋体"/>
                                  <w:sz w:val="30"/>
                                </w:rPr>
                                <w:t>名</w:t>
                              </w:r>
                            </w:p>
                          </w:txbxContent>
                        </v:textbox>
                      </v:rect>
                      <v:rect id="矩形 3" o:spid="_x0000_s1026" o:spt="1" style="position:absolute;left:3074;top:5165;height:375;width:375;" filled="f" stroked="f" coordsize="21600,21600" o:gfxdata="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gUFyRvQAA&#10;ANoAAAAPAAAAAAAAAAEAIAAAACIAAABkcnMvZG93bnJldi54bWxQSwECFAAUAAAACACHTuJAMy8F&#10;njsAAAA5AAAAEAAAAAAAAAABACAAAAAMAQAAZHJzL3NoYXBleG1sLnhtbFBLBQYAAAAABgAGAFsB&#10;AAC2AwAAAAA=&#10;">
                        <v:fill on="f" focussize="0,0"/>
                        <v:stroke on="f"/>
                        <v:imagedata o:title=""/>
                        <o:lock v:ext="edit" aspectratio="f"/>
                        <v:textbox inset="0mm,0mm,0mm,0mm">
                          <w:txbxContent>
                            <w:p w14:paraId="35B699E4">
                              <w:pPr>
                                <w:rPr>
                                  <w:rFonts w:ascii="仿宋" w:hAnsi="仿宋" w:eastAsia="仿宋"/>
                                  <w:color w:val="000000"/>
                                  <w:sz w:val="30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宋体"/>
                                  <w:sz w:val="30"/>
                                </w:rPr>
                                <w:t>称</w:t>
                              </w:r>
                            </w:p>
                          </w:txbxContent>
                        </v:textbox>
                      </v:rect>
                      <v:rect id="矩形 4" o:spid="_x0000_s1026" o:spt="1" style="position:absolute;left:1387;top:5231;height:375;width:375;" filled="f" stroked="f" coordsize="21600,21600" o:gfxdata="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kILC5r4A&#10;AADaAAAADwAAAAAAAAABACAAAAAiAAAAZHJzL2Rvd25yZXYueG1sUEsBAhQAFAAAAAgAh07iQDMv&#10;BZ47AAAAOQAAABAAAAAAAAAAAQAgAAAADQEAAGRycy9zaGFwZXhtbC54bWxQSwUGAAAAAAYABgBb&#10;AQAAtwMAAAAA&#10;">
                        <v:fill on="f" focussize="0,0"/>
                        <v:stroke on="f"/>
                        <v:imagedata o:title=""/>
                        <o:lock v:ext="edit" aspectratio="f"/>
                        <v:textbox inset="0mm,0mm,0mm,0mm">
                          <w:txbxContent>
                            <w:p w14:paraId="42208639">
                              <w:pPr>
                                <w:rPr>
                                  <w:rFonts w:ascii="仿宋" w:hAnsi="仿宋" w:eastAsia="仿宋"/>
                                  <w:color w:val="000000"/>
                                  <w:sz w:val="30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宋体"/>
                                  <w:sz w:val="30"/>
                                </w:rPr>
                                <w:t>内</w:t>
                              </w:r>
                            </w:p>
                          </w:txbxContent>
                        </v:textbox>
                      </v:rect>
                      <v:rect id="矩形 5" o:spid="_x0000_s1026" o:spt="1" style="position:absolute;left:2194;top:5864;height:375;width:375;" filled="f" stroked="f" coordsize="21600,21600" o:gfxdata="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/zmd9vQAA&#10;ANoAAAAPAAAAAAAAAAEAIAAAACIAAABkcnMvZG93bnJldi54bWxQSwECFAAUAAAACACHTuJAMy8F&#10;njsAAAA5AAAAEAAAAAAAAAABACAAAAAMAQAAZHJzL3NoYXBleG1sLnhtbFBLBQYAAAAABgAGAFsB&#10;AAC2AwAAAAA=&#10;">
                        <v:fill on="f" focussize="0,0"/>
                        <v:stroke on="f"/>
                        <v:imagedata o:title=""/>
                        <o:lock v:ext="edit" aspectratio="f"/>
                        <v:textbox inset="0mm,0mm,0mm,0mm">
                          <w:txbxContent>
                            <w:p w14:paraId="79DE0C97">
                              <w:pPr>
                                <w:rPr>
                                  <w:rFonts w:ascii="仿宋" w:hAnsi="仿宋" w:eastAsia="仿宋"/>
                                  <w:color w:val="000000"/>
                                  <w:sz w:val="30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宋体"/>
                                  <w:sz w:val="30"/>
                                </w:rPr>
                                <w:t>容</w:t>
                              </w:r>
                            </w:p>
                          </w:txbxContent>
                        </v:textbox>
                      </v:rect>
                    </v:group>
                  </w:pict>
                </mc:Fallback>
              </mc:AlternateContent>
            </w:r>
            <w:bookmarkEnd w:id="4"/>
          </w:p>
        </w:tc>
        <w:tc>
          <w:tcPr>
            <w:tcW w:w="5954" w:type="dxa"/>
            <w:vAlign w:val="center"/>
          </w:tcPr>
          <w:p w14:paraId="33304753">
            <w:pPr>
              <w:keepLines w:val="0"/>
              <w:pageBreakBefore w:val="0"/>
              <w:widowControl w:val="0"/>
              <w:kinsoku w:val="0"/>
              <w:wordWrap/>
              <w:overflowPunct/>
              <w:topLinePunct/>
              <w:autoSpaceDE w:val="0"/>
              <w:autoSpaceDN w:val="0"/>
              <w:bidi w:val="0"/>
              <w:spacing w:after="0"/>
              <w:jc w:val="center"/>
              <w:textAlignment w:val="baseline"/>
              <w:rPr>
                <w:rFonts w:hint="default" w:ascii="仿宋" w:hAnsi="仿宋" w:eastAsia="仿宋" w:cs="仿宋"/>
                <w:snapToGrid w:val="0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z w:val="30"/>
                <w:szCs w:val="30"/>
              </w:rPr>
              <w:br w:type="textWrapping"/>
            </w:r>
            <w:r>
              <w:rPr>
                <w:rFonts w:hint="eastAsia" w:ascii="仿宋" w:hAnsi="仿宋" w:eastAsia="仿宋" w:cs="仿宋"/>
                <w:snapToGrid w:val="0"/>
                <w:color w:val="000000"/>
                <w:sz w:val="30"/>
                <w:szCs w:val="30"/>
                <w:lang w:eastAsia="zh-CN"/>
              </w:rPr>
              <w:t>樟树市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z w:val="30"/>
                <w:szCs w:val="30"/>
                <w:lang w:val="en-US" w:eastAsia="zh-CN"/>
              </w:rPr>
              <w:t>国土空间总体规划（2021-2035年）动态维护项目</w:t>
            </w:r>
          </w:p>
          <w:p w14:paraId="6F33306E">
            <w:pPr>
              <w:keepLines w:val="0"/>
              <w:pageBreakBefore w:val="0"/>
              <w:widowControl w:val="0"/>
              <w:kinsoku w:val="0"/>
              <w:wordWrap/>
              <w:overflowPunct/>
              <w:topLinePunct/>
              <w:autoSpaceDE w:val="0"/>
              <w:autoSpaceDN w:val="0"/>
              <w:bidi w:val="0"/>
              <w:spacing w:after="0"/>
              <w:jc w:val="both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z w:val="30"/>
                <w:szCs w:val="30"/>
                <w:lang w:eastAsia="zh-CN"/>
              </w:rPr>
            </w:pPr>
          </w:p>
        </w:tc>
      </w:tr>
      <w:tr w14:paraId="67FF52B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  <w:jc w:val="center"/>
        </w:trPr>
        <w:tc>
          <w:tcPr>
            <w:tcW w:w="2865" w:type="dxa"/>
          </w:tcPr>
          <w:p w14:paraId="4A300F84">
            <w:pPr>
              <w:keepLines w:val="0"/>
              <w:pageBreakBefore w:val="0"/>
              <w:widowControl w:val="0"/>
              <w:kinsoku w:val="0"/>
              <w:wordWrap/>
              <w:overflowPunct/>
              <w:topLinePunct/>
              <w:autoSpaceDE w:val="0"/>
              <w:autoSpaceDN w:val="0"/>
              <w:bidi w:val="0"/>
              <w:spacing w:before="253" w:after="0" w:line="219" w:lineRule="auto"/>
              <w:ind w:left="1188"/>
              <w:textAlignment w:val="baseline"/>
              <w:rPr>
                <w:rFonts w:ascii="仿宋" w:hAnsi="仿宋" w:eastAsia="仿宋" w:cs="仿宋"/>
                <w:snapToGrid w:val="0"/>
                <w:color w:val="00000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z w:val="30"/>
                <w:szCs w:val="30"/>
                <w:lang w:eastAsia="en-US"/>
              </w:rPr>
              <w:t>数量</w:t>
            </w:r>
          </w:p>
        </w:tc>
        <w:tc>
          <w:tcPr>
            <w:tcW w:w="5954" w:type="dxa"/>
            <w:vAlign w:val="center"/>
          </w:tcPr>
          <w:p w14:paraId="37879ADA">
            <w:pPr>
              <w:keepLines w:val="0"/>
              <w:pageBreakBefore w:val="0"/>
              <w:widowControl w:val="0"/>
              <w:kinsoku w:val="0"/>
              <w:wordWrap/>
              <w:overflowPunct/>
              <w:topLinePunct/>
              <w:autoSpaceDE w:val="0"/>
              <w:autoSpaceDN w:val="0"/>
              <w:bidi w:val="0"/>
              <w:spacing w:after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z w:val="30"/>
                <w:szCs w:val="30"/>
              </w:rPr>
              <w:t>1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z w:val="30"/>
                <w:szCs w:val="30"/>
                <w:lang w:val="en-US" w:eastAsia="zh-CN"/>
              </w:rPr>
              <w:t>项</w:t>
            </w:r>
          </w:p>
        </w:tc>
      </w:tr>
      <w:tr w14:paraId="345BCD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2" w:hRule="atLeast"/>
          <w:jc w:val="center"/>
        </w:trPr>
        <w:tc>
          <w:tcPr>
            <w:tcW w:w="2865" w:type="dxa"/>
          </w:tcPr>
          <w:p w14:paraId="0B9DC711">
            <w:pPr>
              <w:keepLines w:val="0"/>
              <w:pageBreakBefore w:val="0"/>
              <w:widowControl w:val="0"/>
              <w:kinsoku w:val="0"/>
              <w:wordWrap/>
              <w:overflowPunct/>
              <w:topLinePunct/>
              <w:autoSpaceDE w:val="0"/>
              <w:autoSpaceDN w:val="0"/>
              <w:bidi w:val="0"/>
              <w:spacing w:before="253" w:after="0" w:line="219" w:lineRule="auto"/>
              <w:ind w:left="1071"/>
              <w:textAlignment w:val="baseline"/>
              <w:rPr>
                <w:rFonts w:ascii="仿宋" w:hAnsi="仿宋" w:eastAsia="仿宋" w:cs="仿宋"/>
                <w:snapToGrid w:val="0"/>
                <w:color w:val="00000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z w:val="30"/>
                <w:szCs w:val="30"/>
              </w:rPr>
              <w:t>服务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z w:val="30"/>
                <w:szCs w:val="30"/>
                <w:lang w:eastAsia="en-US"/>
              </w:rPr>
              <w:t>期</w:t>
            </w:r>
          </w:p>
        </w:tc>
        <w:tc>
          <w:tcPr>
            <w:tcW w:w="5954" w:type="dxa"/>
            <w:vAlign w:val="center"/>
          </w:tcPr>
          <w:p w14:paraId="14EE6237">
            <w:pPr>
              <w:keepLines w:val="0"/>
              <w:pageBreakBefore w:val="0"/>
              <w:widowControl w:val="0"/>
              <w:kinsoku w:val="0"/>
              <w:wordWrap/>
              <w:overflowPunct/>
              <w:topLinePunct/>
              <w:autoSpaceDE w:val="0"/>
              <w:autoSpaceDN w:val="0"/>
              <w:bidi w:val="0"/>
              <w:spacing w:after="0"/>
              <w:jc w:val="center"/>
              <w:textAlignment w:val="baseline"/>
              <w:rPr>
                <w:rFonts w:hint="eastAsia" w:ascii="仿宋" w:hAnsi="仿宋" w:eastAsia="仿宋" w:cs="仿宋"/>
                <w:snapToGrid w:val="0"/>
                <w:color w:val="000000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pacing w:val="0"/>
                <w:position w:val="0"/>
                <w:sz w:val="24"/>
                <w:szCs w:val="24"/>
                <w:highlight w:val="none"/>
                <w:lang w:val="en-US" w:eastAsia="zh-CN"/>
              </w:rPr>
              <w:t>4个月</w:t>
            </w:r>
          </w:p>
        </w:tc>
      </w:tr>
      <w:tr w14:paraId="47C153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2" w:hRule="atLeast"/>
          <w:jc w:val="center"/>
        </w:trPr>
        <w:tc>
          <w:tcPr>
            <w:tcW w:w="2865" w:type="dxa"/>
          </w:tcPr>
          <w:p w14:paraId="23E45C34">
            <w:pPr>
              <w:keepLines w:val="0"/>
              <w:pageBreakBefore w:val="0"/>
              <w:widowControl w:val="0"/>
              <w:kinsoku w:val="0"/>
              <w:wordWrap/>
              <w:overflowPunct/>
              <w:topLinePunct/>
              <w:autoSpaceDE w:val="0"/>
              <w:autoSpaceDN w:val="0"/>
              <w:bidi w:val="0"/>
              <w:spacing w:before="256" w:after="0" w:line="219" w:lineRule="auto"/>
              <w:ind w:left="951"/>
              <w:textAlignment w:val="baseline"/>
              <w:rPr>
                <w:rFonts w:ascii="仿宋" w:hAnsi="仿宋" w:eastAsia="仿宋" w:cs="仿宋"/>
                <w:snapToGrid w:val="0"/>
                <w:color w:val="00000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z w:val="30"/>
                <w:szCs w:val="30"/>
              </w:rPr>
              <w:t>服务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z w:val="30"/>
                <w:szCs w:val="30"/>
                <w:lang w:eastAsia="en-US"/>
              </w:rPr>
              <w:t>地点</w:t>
            </w:r>
          </w:p>
        </w:tc>
        <w:tc>
          <w:tcPr>
            <w:tcW w:w="5954" w:type="dxa"/>
            <w:vAlign w:val="center"/>
          </w:tcPr>
          <w:p w14:paraId="1C8F19EA">
            <w:pPr>
              <w:keepLines w:val="0"/>
              <w:pageBreakBefore w:val="0"/>
              <w:widowControl w:val="0"/>
              <w:kinsoku w:val="0"/>
              <w:wordWrap/>
              <w:overflowPunct/>
              <w:topLinePunct/>
              <w:autoSpaceDE w:val="0"/>
              <w:autoSpaceDN w:val="0"/>
              <w:bidi w:val="0"/>
              <w:spacing w:after="0"/>
              <w:jc w:val="center"/>
              <w:textAlignment w:val="baseline"/>
              <w:rPr>
                <w:rFonts w:ascii="仿宋" w:hAnsi="仿宋" w:eastAsia="仿宋" w:cs="仿宋"/>
                <w:snapToGrid w:val="0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z w:val="30"/>
                <w:szCs w:val="30"/>
              </w:rPr>
              <w:t>采购人指定地点</w:t>
            </w:r>
          </w:p>
        </w:tc>
      </w:tr>
      <w:tr w14:paraId="19B855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2" w:hRule="atLeast"/>
          <w:jc w:val="center"/>
        </w:trPr>
        <w:tc>
          <w:tcPr>
            <w:tcW w:w="2865" w:type="dxa"/>
          </w:tcPr>
          <w:p w14:paraId="7C7AD4BE">
            <w:pPr>
              <w:keepLines w:val="0"/>
              <w:pageBreakBefore w:val="0"/>
              <w:widowControl w:val="0"/>
              <w:kinsoku w:val="0"/>
              <w:wordWrap/>
              <w:overflowPunct/>
              <w:topLinePunct/>
              <w:autoSpaceDE w:val="0"/>
              <w:autoSpaceDN w:val="0"/>
              <w:bidi w:val="0"/>
              <w:spacing w:before="256" w:after="0" w:line="221" w:lineRule="auto"/>
              <w:ind w:left="1189"/>
              <w:textAlignment w:val="baseline"/>
              <w:rPr>
                <w:rFonts w:ascii="仿宋" w:hAnsi="仿宋" w:eastAsia="仿宋" w:cs="仿宋"/>
                <w:snapToGrid w:val="0"/>
                <w:color w:val="000000"/>
                <w:sz w:val="30"/>
                <w:szCs w:val="30"/>
                <w:lang w:eastAsia="en-US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z w:val="30"/>
                <w:szCs w:val="30"/>
                <w:lang w:eastAsia="en-US"/>
              </w:rPr>
              <w:t>备注</w:t>
            </w:r>
          </w:p>
        </w:tc>
        <w:tc>
          <w:tcPr>
            <w:tcW w:w="5954" w:type="dxa"/>
            <w:vAlign w:val="center"/>
          </w:tcPr>
          <w:p w14:paraId="7CACDC83">
            <w:pPr>
              <w:keepLines w:val="0"/>
              <w:pageBreakBefore w:val="0"/>
              <w:widowControl w:val="0"/>
              <w:kinsoku w:val="0"/>
              <w:wordWrap/>
              <w:overflowPunct/>
              <w:topLinePunct/>
              <w:autoSpaceDE w:val="0"/>
              <w:autoSpaceDN w:val="0"/>
              <w:bidi w:val="0"/>
              <w:spacing w:after="0"/>
              <w:jc w:val="center"/>
              <w:textAlignment w:val="baseline"/>
              <w:rPr>
                <w:rFonts w:ascii="仿宋" w:hAnsi="仿宋" w:eastAsia="仿宋" w:cs="仿宋"/>
                <w:snapToGrid w:val="0"/>
                <w:color w:val="000000"/>
                <w:sz w:val="30"/>
                <w:szCs w:val="30"/>
                <w:lang w:eastAsia="en-US"/>
              </w:rPr>
            </w:pPr>
          </w:p>
        </w:tc>
      </w:tr>
    </w:tbl>
    <w:p w14:paraId="49495960">
      <w:pPr>
        <w:keepLines w:val="0"/>
        <w:pageBreakBefore w:val="0"/>
        <w:kinsoku w:val="0"/>
        <w:wordWrap/>
        <w:overflowPunct/>
        <w:topLinePunct/>
        <w:autoSpaceDE w:val="0"/>
        <w:autoSpaceDN w:val="0"/>
        <w:bidi w:val="0"/>
        <w:spacing w:after="0"/>
        <w:textAlignment w:val="baseline"/>
        <w:rPr>
          <w:rFonts w:ascii="Arial" w:hAnsi="Arial" w:eastAsia="Arial" w:cs="Arial"/>
          <w:snapToGrid w:val="0"/>
          <w:color w:val="000000"/>
          <w:sz w:val="21"/>
          <w:szCs w:val="21"/>
        </w:rPr>
      </w:pPr>
    </w:p>
    <w:p w14:paraId="67DE840A">
      <w:pPr>
        <w:keepLines w:val="0"/>
        <w:pageBreakBefore w:val="0"/>
        <w:kinsoku w:val="0"/>
        <w:wordWrap/>
        <w:overflowPunct/>
        <w:topLinePunct/>
        <w:autoSpaceDE w:val="0"/>
        <w:autoSpaceDN w:val="0"/>
        <w:bidi w:val="0"/>
        <w:spacing w:after="0"/>
        <w:textAlignment w:val="baseline"/>
        <w:rPr>
          <w:rFonts w:hint="eastAsia" w:ascii="Arial" w:hAnsi="Arial" w:eastAsia="宋体" w:cs="Arial"/>
          <w:snapToGrid w:val="0"/>
          <w:color w:val="000000"/>
          <w:sz w:val="21"/>
          <w:szCs w:val="21"/>
          <w:lang w:val="en-US" w:eastAsia="zh-CN"/>
        </w:rPr>
        <w:sectPr>
          <w:footerReference r:id="rId3" w:type="default"/>
          <w:pgSz w:w="11906" w:h="16839"/>
          <w:pgMar w:top="1431" w:right="1148" w:bottom="1238" w:left="1294" w:header="0" w:footer="976" w:gutter="0"/>
          <w:cols w:space="720" w:num="1"/>
        </w:sectPr>
      </w:pPr>
      <w:r>
        <w:rPr>
          <w:rFonts w:hint="eastAsia" w:eastAsia="宋体" w:cs="Arial"/>
          <w:snapToGrid w:val="0"/>
          <w:color w:val="000000"/>
          <w:sz w:val="21"/>
          <w:szCs w:val="21"/>
          <w:lang w:val="en-US" w:eastAsia="zh-CN"/>
        </w:rPr>
        <w:t xml:space="preserve"> </w:t>
      </w:r>
    </w:p>
    <w:p w14:paraId="2F5107DF">
      <w:pPr>
        <w:keepLines w:val="0"/>
        <w:pageBreakBefore w:val="0"/>
        <w:wordWrap/>
        <w:overflowPunct/>
        <w:topLinePunct/>
        <w:bidi w:val="0"/>
        <w:jc w:val="center"/>
        <w:rPr>
          <w:rFonts w:hint="eastAsia" w:ascii="黑体" w:hAnsi="黑体" w:eastAsia="黑体" w:cs="黑体"/>
          <w:sz w:val="36"/>
          <w:szCs w:val="36"/>
        </w:rPr>
      </w:pPr>
      <w:bookmarkStart w:id="2" w:name="_Toc25856"/>
      <w:bookmarkStart w:id="3" w:name="_Toc22572"/>
      <w:r>
        <w:rPr>
          <w:rFonts w:hint="eastAsia" w:ascii="黑体" w:hAnsi="黑体" w:eastAsia="黑体" w:cs="黑体"/>
          <w:sz w:val="36"/>
          <w:szCs w:val="36"/>
        </w:rPr>
        <w:t>二、采购</w:t>
      </w:r>
      <w:r>
        <w:rPr>
          <w:rFonts w:hint="eastAsia" w:ascii="黑体" w:hAnsi="黑体" w:eastAsia="黑体" w:cs="黑体"/>
          <w:sz w:val="36"/>
          <w:szCs w:val="36"/>
          <w:lang w:eastAsia="zh-CN"/>
        </w:rPr>
        <w:t>需</w:t>
      </w:r>
      <w:r>
        <w:rPr>
          <w:rFonts w:hint="eastAsia" w:ascii="黑体" w:hAnsi="黑体" w:eastAsia="黑体" w:cs="黑体"/>
          <w:sz w:val="36"/>
          <w:szCs w:val="36"/>
        </w:rPr>
        <w:t>求</w:t>
      </w:r>
      <w:bookmarkEnd w:id="2"/>
      <w:bookmarkEnd w:id="3"/>
    </w:p>
    <w:p w14:paraId="7D186E0F">
      <w:pPr>
        <w:keepNext w:val="0"/>
        <w:keepLines w:val="0"/>
        <w:pageBreakBefore w:val="0"/>
        <w:widowControl w:val="0"/>
        <w:kinsoku w:val="0"/>
        <w:wordWrap/>
        <w:overflowPunct/>
        <w:topLinePunct/>
        <w:autoSpaceDE w:val="0"/>
        <w:autoSpaceDN w:val="0"/>
        <w:bidi w:val="0"/>
        <w:adjustRightInd w:val="0"/>
        <w:snapToGrid w:val="0"/>
        <w:spacing w:line="240" w:lineRule="auto"/>
        <w:ind w:firstLine="560" w:firstLineChars="200"/>
        <w:textAlignment w:val="baseline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 w:bidi="ar"/>
        </w:rPr>
        <w:t>（一）所有服务的知识产权问题，由各供应商自行负责。</w:t>
      </w:r>
    </w:p>
    <w:p w14:paraId="122C6269">
      <w:pPr>
        <w:keepNext w:val="0"/>
        <w:keepLines w:val="0"/>
        <w:pageBreakBefore w:val="0"/>
        <w:widowControl w:val="0"/>
        <w:kinsoku w:val="0"/>
        <w:wordWrap/>
        <w:overflowPunct/>
        <w:topLinePunct/>
        <w:autoSpaceDE w:val="0"/>
        <w:autoSpaceDN w:val="0"/>
        <w:bidi w:val="0"/>
        <w:adjustRightInd w:val="0"/>
        <w:snapToGrid w:val="0"/>
        <w:spacing w:line="240" w:lineRule="auto"/>
        <w:ind w:firstLine="560" w:firstLineChars="200"/>
        <w:textAlignment w:val="baseline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 w:bidi="ar"/>
        </w:rPr>
        <w:t xml:space="preserve">（二）本采购文件提出的采购需求均为实质性要求（特别注明为非实质性要求的除外），供应商的响应方案应达到或优于本采购文件要求，且符合国家有关标准和规范要求。 </w:t>
      </w:r>
    </w:p>
    <w:p w14:paraId="27A2AA2A">
      <w:pPr>
        <w:keepNext w:val="0"/>
        <w:keepLines w:val="0"/>
        <w:pageBreakBefore w:val="0"/>
        <w:widowControl w:val="0"/>
        <w:kinsoku w:val="0"/>
        <w:wordWrap/>
        <w:overflowPunct/>
        <w:topLinePunct/>
        <w:autoSpaceDE w:val="0"/>
        <w:autoSpaceDN w:val="0"/>
        <w:bidi w:val="0"/>
        <w:adjustRightInd w:val="0"/>
        <w:snapToGrid w:val="0"/>
        <w:spacing w:line="240" w:lineRule="auto"/>
        <w:ind w:firstLine="560" w:firstLineChars="200"/>
        <w:textAlignment w:val="baseline"/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 w:bidi="ar"/>
        </w:rPr>
        <w:t>（三）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val="en-US" w:eastAsia="zh-CN" w:bidi="ar"/>
        </w:rPr>
        <w:t>包含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highlight w:val="none"/>
          <w:lang w:eastAsia="zh-CN" w:bidi="ar"/>
        </w:rPr>
        <w:t>技术要求及商务要求。</w:t>
      </w:r>
    </w:p>
    <w:p w14:paraId="36B1A5AF">
      <w:pPr>
        <w:keepNext w:val="0"/>
        <w:keepLines w:val="0"/>
        <w:pageBreakBefore w:val="0"/>
        <w:widowControl/>
        <w:kinsoku w:val="0"/>
        <w:wordWrap/>
        <w:overflowPunct/>
        <w:topLinePunct/>
        <w:autoSpaceDE w:val="0"/>
        <w:autoSpaceDN w:val="0"/>
        <w:bidi w:val="0"/>
        <w:adjustRightInd w:val="0"/>
        <w:snapToGrid w:val="0"/>
        <w:spacing w:line="240" w:lineRule="auto"/>
        <w:jc w:val="center"/>
        <w:textAlignment w:val="baseline"/>
        <w:rPr>
          <w:rFonts w:hint="eastAsia" w:ascii="宋体" w:hAnsi="宋体" w:eastAsia="宋体"/>
          <w:b/>
          <w:color w:val="auto"/>
          <w:sz w:val="36"/>
          <w:szCs w:val="36"/>
          <w:highlight w:val="none"/>
          <w:lang w:eastAsia="zh-CN"/>
        </w:rPr>
      </w:pPr>
    </w:p>
    <w:p w14:paraId="35D3CCEB">
      <w:pPr>
        <w:keepNext w:val="0"/>
        <w:keepLines w:val="0"/>
        <w:pageBreakBefore w:val="0"/>
        <w:widowControl/>
        <w:kinsoku w:val="0"/>
        <w:wordWrap/>
        <w:overflowPunct/>
        <w:topLinePunct/>
        <w:autoSpaceDE w:val="0"/>
        <w:autoSpaceDN w:val="0"/>
        <w:bidi w:val="0"/>
        <w:adjustRightInd w:val="0"/>
        <w:snapToGrid w:val="0"/>
        <w:spacing w:line="240" w:lineRule="auto"/>
        <w:jc w:val="center"/>
        <w:textAlignment w:val="baseline"/>
        <w:rPr>
          <w:rFonts w:hint="eastAsia" w:ascii="宋体" w:hAnsi="宋体" w:eastAsia="宋体"/>
          <w:b/>
          <w:color w:val="auto"/>
          <w:sz w:val="36"/>
          <w:szCs w:val="36"/>
          <w:highlight w:val="none"/>
          <w:lang w:eastAsia="zh-CN"/>
        </w:rPr>
      </w:pPr>
      <w:r>
        <w:rPr>
          <w:rFonts w:hint="eastAsia" w:ascii="宋体" w:hAnsi="宋体" w:eastAsia="宋体"/>
          <w:b/>
          <w:color w:val="auto"/>
          <w:sz w:val="36"/>
          <w:szCs w:val="36"/>
          <w:highlight w:val="none"/>
          <w:lang w:eastAsia="zh-CN"/>
        </w:rPr>
        <w:t>（一）技术要求</w:t>
      </w:r>
    </w:p>
    <w:p w14:paraId="3F9FA378">
      <w:pPr>
        <w:keepNext/>
        <w:keepLines w:val="0"/>
        <w:pageBreakBefore w:val="0"/>
        <w:numPr>
          <w:ilvl w:val="0"/>
          <w:numId w:val="0"/>
        </w:numPr>
        <w:kinsoku w:val="0"/>
        <w:wordWrap/>
        <w:overflowPunct/>
        <w:topLinePunct/>
        <w:autoSpaceDE w:val="0"/>
        <w:autoSpaceDN w:val="0"/>
        <w:bidi w:val="0"/>
        <w:adjustRightInd w:val="0"/>
        <w:snapToGrid w:val="0"/>
        <w:spacing w:line="360" w:lineRule="auto"/>
        <w:ind w:leftChars="0"/>
        <w:textAlignment w:val="baseline"/>
        <w:outlineLvl w:val="9"/>
        <w:rPr>
          <w:rFonts w:ascii="Calibri" w:hAnsi="Calibri" w:eastAsia="Arial" w:cs="Arial"/>
          <w:b/>
          <w:snapToGrid w:val="0"/>
          <w:color w:val="000000"/>
          <w:kern w:val="44"/>
          <w:sz w:val="28"/>
          <w:szCs w:val="28"/>
          <w:lang w:val="en-US" w:eastAsia="zh-CN" w:bidi="ar-SA"/>
        </w:rPr>
      </w:pPr>
    </w:p>
    <w:p w14:paraId="2F6A6A9B">
      <w:pPr>
        <w:keepNext w:val="0"/>
        <w:keepLines w:val="0"/>
        <w:pageBreakBefore w:val="0"/>
        <w:widowControl w:val="0"/>
        <w:kinsoku w:val="0"/>
        <w:wordWrap/>
        <w:overflowPunct/>
        <w:topLinePunct/>
        <w:autoSpaceDE w:val="0"/>
        <w:autoSpaceDN w:val="0"/>
        <w:bidi w:val="0"/>
        <w:adjustRightInd w:val="0"/>
        <w:snapToGrid w:val="0"/>
        <w:spacing w:before="156" w:beforeLines="50" w:after="156" w:afterLines="50" w:line="240" w:lineRule="auto"/>
        <w:textAlignment w:val="baseline"/>
        <w:rPr>
          <w:rFonts w:hint="default" w:asciiTheme="minorEastAsia" w:hAnsiTheme="minorEastAsia" w:eastAsiaTheme="minorEastAsia" w:cstheme="minorEastAsia"/>
          <w:b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sz w:val="28"/>
          <w:szCs w:val="28"/>
        </w:rPr>
        <w:t>一、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  <w:lang w:val="en-US" w:eastAsia="zh-CN"/>
        </w:rPr>
        <w:t>总体要求</w:t>
      </w:r>
    </w:p>
    <w:p w14:paraId="3E00F6F7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firstLine="560" w:firstLineChars="200"/>
        <w:jc w:val="both"/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为保障“十五五”重点项目空间需求，按照自然资源部、国家林业和草原局《关于进一步做好自然要素保障的通知》（自然资源资发[2026]38号）和江西省自然资源厅办公室《关于组织开展市县国土空间总体规划动态调整完善工作的通知》（赣自然资办发〔2026〕7号）有关工作部署，基于樟树市国土空间总计规划（2021-2035年）体检评估结果，开展国土空间总体规划动态维护。</w:t>
      </w:r>
      <w:r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在严守空间安全底线，不突破</w:t>
      </w:r>
      <w:r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樟树市</w:t>
      </w:r>
      <w:r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国土空间总体规划确定的保护目标任务、不改变总体规划确定的空间结构和格局的前提下，主动对接保障“十五五”规划和重点项目空间需求，对国土空间总体规划的三条控制线（耕地和永久基本农田保护红线、生态保护红线、城镇开发边界）、城市重要控制线（城市绿线、城市蓝线、城市黄线、城市紫线）、重点建设项目清单等开展动态维护。</w:t>
      </w:r>
    </w:p>
    <w:p w14:paraId="24871144">
      <w:pPr>
        <w:keepNext w:val="0"/>
        <w:keepLines w:val="0"/>
        <w:pageBreakBefore w:val="0"/>
        <w:widowControl w:val="0"/>
        <w:kinsoku w:val="0"/>
        <w:wordWrap/>
        <w:overflowPunct/>
        <w:topLinePunct/>
        <w:autoSpaceDE w:val="0"/>
        <w:autoSpaceDN w:val="0"/>
        <w:bidi w:val="0"/>
        <w:adjustRightInd w:val="0"/>
        <w:snapToGrid w:val="0"/>
        <w:spacing w:before="156" w:beforeLines="50" w:after="156" w:afterLines="50" w:line="240" w:lineRule="auto"/>
        <w:textAlignment w:val="baseline"/>
        <w:rPr>
          <w:rFonts w:hint="default" w:asciiTheme="minorEastAsia" w:hAnsiTheme="minorEastAsia" w:eastAsiaTheme="minorEastAsia" w:cstheme="minorEastAsia"/>
          <w:b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sz w:val="28"/>
          <w:szCs w:val="28"/>
          <w:lang w:val="en-US" w:eastAsia="zh-CN"/>
        </w:rPr>
        <w:t>二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</w:rPr>
        <w:t>、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  <w:lang w:val="en-US" w:eastAsia="zh-CN"/>
        </w:rPr>
        <w:t>主要任务</w:t>
      </w:r>
    </w:p>
    <w:p w14:paraId="6D5CBA56">
      <w:pPr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ind w:firstLine="560" w:firstLineChars="200"/>
        <w:jc w:val="both"/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按照国家和省市有关工作要求，对《樟树市国土空间总体规划（2021-2035年）》开展动态维护，编制规划动态维护方案。</w:t>
      </w:r>
    </w:p>
    <w:p w14:paraId="79BF5D32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firstLine="560" w:firstLineChars="200"/>
        <w:jc w:val="both"/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动态维护方案编制应立足对国家和省级重大战略的支撑与适应，基于国土空间总体规划年度体检评估结论，严格落实“数量、质量、生态”三位一体耕地保护要求，确保不突破市县城镇开发边界扩展倍数和城镇建设用地规模，重点对三条控制线、规划分区、城市重要控制线、中心城区用地规划布局和重点建设项目清单等内容进行动态维护，提升空间治理系统性、协调性和科学性。</w:t>
      </w:r>
    </w:p>
    <w:p w14:paraId="65F6EF75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before="78" w:line="560" w:lineRule="exact"/>
        <w:ind w:firstLine="562" w:firstLineChars="200"/>
        <w:rPr>
          <w:rFonts w:hint="eastAsia" w:ascii="宋体" w:hAnsi="宋体" w:eastAsia="宋体" w:cs="宋体"/>
          <w:b/>
          <w:bCs/>
          <w:color w:val="000000" w:themeColor="text1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8"/>
          <w:szCs w:val="28"/>
          <w:highlight w:val="none"/>
          <w:lang w:eastAsia="zh-CN"/>
          <w14:textFill>
            <w14:solidFill>
              <w14:schemeClr w14:val="tx1"/>
            </w14:solidFill>
          </w14:textFill>
        </w:rPr>
        <w:t>三、成果要求</w:t>
      </w:r>
    </w:p>
    <w:p w14:paraId="372D0789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firstLine="560" w:firstLineChars="200"/>
        <w:jc w:val="both"/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成果内容须符合国家、省级相关技术规程与规范要求，根据采购人实际需求调整最终评估报告和规划完善方案、制作成果数据库，并按省自然资源厅工作规定通过最终审查。（最终报告需提交纸质成果6套，电子成果2套【刻录光盘】）</w:t>
      </w:r>
    </w:p>
    <w:p w14:paraId="6BA8C604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firstLine="560" w:firstLineChars="200"/>
        <w:jc w:val="both"/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依据《江西省市县级国土空间总体规划动态调整完善方案编制指南（试行）》编制樟树市国土空间总体规划动态维护方案，主要包括但不限于以下内容：</w:t>
      </w:r>
    </w:p>
    <w:p w14:paraId="0AAE8B7A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firstLine="560" w:firstLineChars="200"/>
        <w:jc w:val="both"/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1.规划评估。依据《国土空间规划城市体检评估规程（2025年修订版）》、《江西省国土空间规划城市体检评估技术规程（试行）》等要求，在历年国土空间规划城市体检评估成果基础上，对发现需要调整完善的规划内容进行补充评估，剖析规划实施成效、存在问题、产生原因，提出相关建议。</w:t>
      </w:r>
    </w:p>
    <w:p w14:paraId="1B37C63C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firstLine="560" w:firstLineChars="200"/>
        <w:jc w:val="both"/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2.三条控制线。按照自然资源部有关正向优化标准要求对“三条控制线”进行优化完善。一是确保耕地和永久基本农田保护红线面积不减少、布局更集中连片、质量有提升；二是依据自然保护地整合优化方案，在生态保护红线总面积不突破的前提下对其边界进行合理调整；三是确保城镇开发边界总面积和扩展倍数不增加，推动布局更加集聚、功能持续优化。</w:t>
      </w:r>
    </w:p>
    <w:p w14:paraId="16026FFB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firstLine="560" w:firstLineChars="200"/>
        <w:jc w:val="both"/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3.规划分区。在确保各分区主导功能基本稳定的前提下，对生态保护区、生态控制区、农田保护区、城镇发展区、乡村发展区及矿产能源发展区等进行科学合理的布局优化。</w:t>
      </w:r>
    </w:p>
    <w:p w14:paraId="26AE5B73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firstLine="560" w:firstLineChars="200"/>
        <w:jc w:val="both"/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4.中心城区用地规划布局。在不涉及规划强制性内容、确保用地布局规模与空间结构基本稳定的基础上，对中心城区的用地规划布局及详细规划单元划分进行优化调整，更好地保障本地区重大战略、重大政策、重大改革与重大项目的落地实施。</w:t>
      </w:r>
    </w:p>
    <w:p w14:paraId="63D0D614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firstLine="560" w:firstLineChars="200"/>
        <w:jc w:val="both"/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5.城市“四线”。结合各类专项规划，在确保其布局、规模、功能及服务范围稳定的前提下，对城市绿线、蓝线、黄线、紫线的具体边界进行优化。</w:t>
      </w:r>
    </w:p>
    <w:p w14:paraId="4501D39E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firstLine="560" w:firstLineChars="200"/>
        <w:jc w:val="both"/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6.其他重要控制线。根据文物、水利、矿产等主管部门最新确定的管控范围，对历史文化保护线、洪涝风险控制线、矿产资源控制线等其他各类重要控制线进行同步更新与完善。</w:t>
      </w:r>
    </w:p>
    <w:p w14:paraId="487082AE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firstLine="560" w:firstLineChars="200"/>
        <w:jc w:val="both"/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7.重点建设项目清单。结合“十五五”规划、国土空间规划以及产业发展实际，对总体规划中重点建设项目清单进行更新。</w:t>
      </w:r>
    </w:p>
    <w:p w14:paraId="118F32D9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560" w:lineRule="exact"/>
        <w:ind w:firstLine="560" w:firstLineChars="200"/>
        <w:jc w:val="both"/>
        <w:rPr>
          <w:rFonts w:hint="eastAsia" w:ascii="仿宋" w:hAnsi="仿宋" w:eastAsia="仿宋" w:cs="仿宋"/>
          <w:color w:val="000000" w:themeColor="text1"/>
          <w:sz w:val="30"/>
          <w:szCs w:val="30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8"/>
          <w:szCs w:val="28"/>
          <w:highlight w:val="none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8.其他动态维护情形。如因地形差异、权属范围衔接、比例尺精度、遥感影像解译误差等技术原因，对三条控制线、城市重要控制线、规划分区等进行技术修正。</w:t>
      </w:r>
    </w:p>
    <w:p w14:paraId="25D9737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FA71D2">
    <w:pPr>
      <w:spacing w:line="179" w:lineRule="auto"/>
      <w:jc w:val="right"/>
      <w:rPr>
        <w:rFonts w:ascii="宋体" w:hAnsi="宋体" w:eastAsia="宋体" w:cs="宋体"/>
        <w:sz w:val="26"/>
        <w:szCs w:val="26"/>
      </w:rPr>
    </w:pPr>
    <w:r>
      <w:rPr>
        <w:rFonts w:ascii="Arial" w:hAnsi="Arial" w:eastAsia="Arial" w:cs="Arial"/>
        <w:snapToGrid w:val="0"/>
        <w:sz w:val="21"/>
        <w:szCs w:val="21"/>
        <w:lang w:eastAsia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15" name="文本框 4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FC2940E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45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C5dblS0AAAAAUBAAAPAAAAAAAAAAEAIAAAACIAAABkcnMvZG93bnJldi54bWxQ&#10;SwECFAAUAAAACACHTuJAXinh4sYBAACVAwAADgAAAAAAAAABACAAAAAf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FC2940E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  <w:r>
      <w:rPr>
        <w:rFonts w:ascii="Arial" w:hAnsi="Arial" w:eastAsia="Arial" w:cs="Arial"/>
        <w:snapToGrid w:val="0"/>
        <w:sz w:val="21"/>
        <w:szCs w:val="21"/>
        <w:lang w:eastAsia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3013075</wp:posOffset>
              </wp:positionH>
              <wp:positionV relativeFrom="paragraph">
                <wp:posOffset>2540</wp:posOffset>
              </wp:positionV>
              <wp:extent cx="139065" cy="128905"/>
              <wp:effectExtent l="0" t="0" r="0" b="0"/>
              <wp:wrapNone/>
              <wp:docPr id="4116" name="文本框 4214850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9064" cy="1289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23D05C3F">
                          <w:pPr>
                            <w:spacing w:before="20" w:line="188" w:lineRule="auto"/>
                            <w:ind w:left="20"/>
                            <w:rPr>
                              <w:rFonts w:ascii="Times New Roman" w:hAnsi="Times New Roman" w:eastAsia="Times New Roman" w:cs="Times New Roman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vert="horz" wrap="square" lIns="0" tIns="0" r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文本框 42148502" o:spid="_x0000_s1026" o:spt="1" style="position:absolute;left:0pt;margin-left:237.25pt;margin-top:0.2pt;height:10.15pt;width:10.95pt;z-index:251659264;mso-width-relative:page;mso-height-relative:page;" filled="f" stroked="f" coordsize="21600,21600" o:gfxdata="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43MFN9cA&#10;AAAHAQAADwAAAAAAAAABACAAAAAiAAAAZHJzL2Rvd25yZXYueG1sUEsBAhQAFAAAAAgAh07iQMi+&#10;dzbnAQAAvgMAAA4AAAAAAAAAAQAgAAAAJgEAAGRycy9lMm9Eb2MueG1sUEsFBgAAAAAGAAYAWQEA&#10;AH8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23D05C3F">
                    <w:pPr>
                      <w:spacing w:before="20" w:line="188" w:lineRule="auto"/>
                      <w:ind w:left="20"/>
                      <w:rPr>
                        <w:rFonts w:ascii="Times New Roman" w:hAnsi="Times New Roman" w:eastAsia="Times New Roman" w:cs="Times New Roman"/>
                        <w:sz w:val="18"/>
                        <w:szCs w:val="18"/>
                      </w:rPr>
                    </w:pP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D8A1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customStyle="1" w:styleId="5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2026-06-18T07:56:16Z</dcterms:created>
  <dc:creator>Administrator</dc:creator>
  <cp:lastModifiedBy>Administrator</cp:lastModifiedBy>
  <dcterms:modified xsi:type="dcterms:W3CDTF">2026-06-18T07:57:22Z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eyJoZGlkIjoiOGM2NDFlNTE2MDIyNjNlMzY5ODNiMjlkYTBlMGMyNDUiLCJ1c2VySWQiOiI0Njc1NzM3NDIifQ==</vt:lpwstr>
  </property>
  <property fmtid="{D5CDD505-2E9C-101B-9397-08002B2CF9AE}" pid="4" name="ICV">
    <vt:lpwstr>E9CA3348DD8848F1A8E0C53F34D16C7E_12</vt:lpwstr>
  </property>
</Properties>
</file>