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rPr>
      </w:pPr>
    </w:p>
    <w:tbl>
      <w:tblPr>
        <w:tblStyle w:val="5"/>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color w:val="auto"/>
                <w:spacing w:val="0"/>
                <w:position w:val="0"/>
                <w:sz w:val="24"/>
                <w:szCs w:val="24"/>
              </w:rPr>
              <w:t>名</w:t>
            </w:r>
          </w:p>
          <w:p w14:paraId="7F4DE6C5">
            <w:pPr>
              <w:pStyle w:val="6"/>
              <w:pageBreakBefore w:val="0"/>
              <w:widowControl w:val="0"/>
              <w:wordWrap/>
              <w:overflowPunct/>
              <w:topLinePunct w:val="0"/>
              <w:bidi w:val="0"/>
              <w:spacing w:line="245" w:lineRule="auto"/>
              <w:rPr>
                <w:color w:val="auto"/>
                <w:spacing w:val="0"/>
                <w:position w:val="0"/>
              </w:rPr>
            </w:pPr>
          </w:p>
          <w:p w14:paraId="48CD3627">
            <w:pPr>
              <w:pStyle w:val="6"/>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6"/>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6"/>
              <w:pageBreakBefore w:val="0"/>
              <w:widowControl w:val="0"/>
              <w:wordWrap/>
              <w:overflowPunct/>
              <w:topLinePunct w:val="0"/>
              <w:bidi w:val="0"/>
              <w:spacing w:line="263" w:lineRule="auto"/>
              <w:rPr>
                <w:color w:val="auto"/>
                <w:spacing w:val="0"/>
                <w:position w:val="0"/>
              </w:rPr>
            </w:pPr>
          </w:p>
          <w:p w14:paraId="05E0F17E">
            <w:pPr>
              <w:pStyle w:val="6"/>
              <w:pageBreakBefore w:val="0"/>
              <w:widowControl w:val="0"/>
              <w:wordWrap/>
              <w:overflowPunct/>
              <w:topLinePunct w:val="0"/>
              <w:bidi w:val="0"/>
              <w:spacing w:line="263" w:lineRule="auto"/>
              <w:rPr>
                <w:color w:val="auto"/>
                <w:spacing w:val="0"/>
                <w:position w:val="0"/>
              </w:rPr>
            </w:pPr>
          </w:p>
          <w:p w14:paraId="309D1F5B">
            <w:pPr>
              <w:pStyle w:val="6"/>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0E11B00B">
            <w:pPr>
              <w:pStyle w:val="6"/>
              <w:pageBreakBefore w:val="0"/>
              <w:widowControl w:val="0"/>
              <w:wordWrap/>
              <w:overflowPunct/>
              <w:topLinePunct w:val="0"/>
              <w:bidi w:val="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“十五五”农业节水增效制度政策体系实施方案编制</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2F349A5E">
            <w:pPr>
              <w:pStyle w:val="6"/>
              <w:pageBreakBefore w:val="0"/>
              <w:widowControl w:val="0"/>
              <w:wordWrap/>
              <w:overflowPunct/>
              <w:topLinePunct w:val="0"/>
              <w:bidi w:val="0"/>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vAlign w:val="center"/>
          </w:tcPr>
          <w:p w14:paraId="25152DAD">
            <w:pPr>
              <w:pStyle w:val="6"/>
              <w:pageBreakBefore w:val="0"/>
              <w:widowControl w:val="0"/>
              <w:wordWrap/>
              <w:overflowPunct/>
              <w:topLinePunct w:val="0"/>
              <w:bidi w:val="0"/>
              <w:jc w:val="center"/>
              <w:rPr>
                <w:rFonts w:hint="eastAsia"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rPr>
              <w:t>自合同签订之日起6个月内交付成果文件。</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vAlign w:val="center"/>
          </w:tcPr>
          <w:p w14:paraId="6AF95DC6">
            <w:pPr>
              <w:pStyle w:val="6"/>
              <w:pageBreakBefore w:val="0"/>
              <w:widowControl w:val="0"/>
              <w:wordWrap/>
              <w:overflowPunct/>
              <w:topLinePunct w:val="0"/>
              <w:bidi w:val="0"/>
              <w:jc w:val="center"/>
              <w:rPr>
                <w:rFonts w:hint="eastAsia" w:ascii="宋体" w:hAnsi="宋体" w:eastAsia="宋体" w:cs="宋体"/>
                <w:color w:val="auto"/>
                <w:spacing w:val="0"/>
                <w:position w:val="0"/>
                <w:sz w:val="24"/>
                <w:szCs w:val="24"/>
              </w:rPr>
            </w:pPr>
            <w:r>
              <w:rPr>
                <w:rFonts w:hint="eastAsia" w:ascii="宋体" w:hAnsi="宋体"/>
                <w:sz w:val="24"/>
                <w:szCs w:val="24"/>
              </w:rPr>
              <w:t>采购人指定</w:t>
            </w:r>
            <w:r>
              <w:rPr>
                <w:rFonts w:ascii="宋体" w:hAnsi="宋体"/>
                <w:sz w:val="24"/>
                <w:szCs w:val="24"/>
              </w:rPr>
              <w:t>地点</w:t>
            </w:r>
            <w:r>
              <w:rPr>
                <w:rFonts w:hint="eastAsia" w:ascii="宋体" w:hAnsi="宋体"/>
                <w:sz w:val="24"/>
                <w:szCs w:val="24"/>
              </w:rPr>
              <w:t>。</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25" w:hRule="atLeast"/>
        </w:trPr>
        <w:tc>
          <w:tcPr>
            <w:tcW w:w="2865" w:type="dxa"/>
            <w:gridSpan w:val="2"/>
            <w:vAlign w:val="center"/>
          </w:tcPr>
          <w:p w14:paraId="54F338C6">
            <w:pPr>
              <w:pageBreakBefore w:val="0"/>
              <w:widowControl w:val="0"/>
              <w:wordWrap/>
              <w:overflowPunct/>
              <w:topLinePunct w:val="0"/>
              <w:bidi w:val="0"/>
              <w:spacing w:before="256" w:line="221" w:lineRule="auto"/>
              <w:jc w:val="center"/>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vAlign w:val="center"/>
          </w:tcPr>
          <w:p w14:paraId="378D6734">
            <w:pPr>
              <w:pStyle w:val="6"/>
              <w:pageBreakBefore w:val="0"/>
              <w:widowControl w:val="0"/>
              <w:wordWrap/>
              <w:overflowPunct/>
              <w:topLinePunct w:val="0"/>
              <w:bidi w:val="0"/>
              <w:jc w:val="center"/>
              <w:rPr>
                <w:rFonts w:hint="eastAsia" w:ascii="宋体" w:hAnsi="宋体" w:eastAsia="宋体" w:cs="宋体"/>
                <w:color w:val="auto"/>
                <w:spacing w:val="0"/>
                <w:position w:val="0"/>
                <w:sz w:val="24"/>
                <w:szCs w:val="24"/>
                <w:lang w:eastAsia="zh-CN"/>
              </w:rPr>
            </w:pPr>
            <w:r>
              <w:rPr>
                <w:rFonts w:hint="eastAsia" w:ascii="宋体" w:hAnsi="宋体"/>
                <w:sz w:val="24"/>
                <w:szCs w:val="24"/>
                <w:lang w:val="en-US" w:eastAsia="zh-CN"/>
              </w:rPr>
              <w:t>无</w:t>
            </w: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24"/>
          <w:szCs w:val="24"/>
        </w:rPr>
      </w:pPr>
      <w:bookmarkStart w:id="0" w:name="bookmark81"/>
      <w:bookmarkEnd w:id="0"/>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1A86D866">
      <w:pPr>
        <w:pageBreakBefore w:val="0"/>
        <w:widowControl w:val="0"/>
        <w:wordWrap/>
        <w:overflowPunct/>
        <w:topLinePunct w:val="0"/>
        <w:bidi w:val="0"/>
        <w:spacing w:line="258" w:lineRule="auto"/>
        <w:rPr>
          <w:color w:val="auto"/>
          <w:spacing w:val="0"/>
          <w:position w:val="0"/>
        </w:rPr>
      </w:pPr>
    </w:p>
    <w:p w14:paraId="2A7D631F">
      <w:pPr>
        <w:adjustRightInd w:val="0"/>
        <w:snapToGrid w:val="0"/>
        <w:spacing w:line="360" w:lineRule="auto"/>
        <w:jc w:val="left"/>
        <w:rPr>
          <w:rFonts w:hint="eastAsia" w:ascii="宋体" w:hAnsi="宋体" w:eastAsia="宋体"/>
          <w:b/>
          <w:bCs/>
          <w:sz w:val="24"/>
          <w:szCs w:val="24"/>
          <w:lang w:val="en-US" w:eastAsia="zh-CN"/>
        </w:rPr>
      </w:pPr>
      <w:r>
        <w:rPr>
          <w:rFonts w:hint="eastAsia" w:ascii="宋体" w:hAnsi="宋体" w:eastAsia="宋体"/>
          <w:b/>
          <w:bCs/>
          <w:sz w:val="24"/>
          <w:szCs w:val="24"/>
          <w:lang w:eastAsia="zh-CN"/>
        </w:rPr>
        <w:t>（</w:t>
      </w:r>
      <w:r>
        <w:rPr>
          <w:rFonts w:hint="eastAsia" w:ascii="宋体" w:hAnsi="宋体" w:eastAsia="宋体"/>
          <w:b/>
          <w:bCs/>
          <w:sz w:val="24"/>
          <w:szCs w:val="24"/>
          <w:lang w:val="en-US" w:eastAsia="zh-CN"/>
        </w:rPr>
        <w:t>一）服务需求</w:t>
      </w:r>
    </w:p>
    <w:p w14:paraId="058C884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1.工作内容：</w:t>
      </w:r>
    </w:p>
    <w:p w14:paraId="1C0B9D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编制《“十五五”农业节水增效制度政策体系实施方案》和《江西省落实农业节水增效制度政策体系灌区试点实施方案》，明确我省农田精准灌溉制度构建与灌区供水保障能力提升、农业用水计量监测全覆盖与智能化升级、农业水价改革与精准补贴机制、农业用水权交易市场建设与节水激励、节水灌溉技术推广与专业化服务体系建设等具体工作举措。</w:t>
      </w:r>
    </w:p>
    <w:p w14:paraId="44BC2C9D">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2.工作要求</w:t>
      </w:r>
    </w:p>
    <w:p w14:paraId="1CFBB2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（1）时间要求：在规定时间内保质保量完成相关任务，符合行业规范及项目要求，并达到预期目标，项目成果通过江西省水利厅验收。</w:t>
      </w:r>
    </w:p>
    <w:p w14:paraId="037991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（2）人员要求：须配备水利类专业中级及以上职称人员不少于6人（含项目负责人）。</w:t>
      </w:r>
    </w:p>
    <w:p w14:paraId="32A1DF0C">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3.主要成果：</w:t>
      </w:r>
    </w:p>
    <w:p w14:paraId="655BD28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（1）《“十五五”农业节水增效制度政策体系实施方案》；</w:t>
      </w:r>
    </w:p>
    <w:p w14:paraId="491132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（2）江西省落实农业节水增效制度政策体系灌区试点实施方案》。</w:t>
      </w:r>
    </w:p>
    <w:p w14:paraId="3762F43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Theme="minorEastAsia" w:hAnsiTheme="minorEastAsia" w:eastAsiaTheme="minorEastAsia" w:cstheme="minorEastAsia"/>
          <w:b/>
          <w:bCs/>
          <w:color w:val="auto"/>
          <w:spacing w:val="-6"/>
          <w:sz w:val="24"/>
          <w:szCs w:val="24"/>
          <w:highlight w:val="none"/>
          <w:lang w:val="en-US" w:eastAsia="zh-CN"/>
        </w:rPr>
      </w:pPr>
    </w:p>
    <w:p w14:paraId="7A99B1F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firstLine="458" w:firstLineChars="200"/>
        <w:textAlignment w:val="auto"/>
        <w:rPr>
          <w:rFonts w:hint="eastAsia" w:asciiTheme="minorEastAsia" w:hAnsiTheme="minorEastAsia" w:eastAsiaTheme="minorEastAsia" w:cstheme="minorEastAsia"/>
          <w:b/>
          <w:bCs/>
          <w:color w:val="auto"/>
          <w:spacing w:val="-6"/>
          <w:sz w:val="24"/>
          <w:szCs w:val="24"/>
          <w:highlight w:val="none"/>
          <w:lang w:eastAsia="zh-CN"/>
        </w:rPr>
      </w:pPr>
      <w:r>
        <w:rPr>
          <w:rFonts w:hint="eastAsia" w:asciiTheme="minorEastAsia" w:hAnsiTheme="minorEastAsia" w:eastAsiaTheme="minorEastAsia" w:cstheme="minorEastAsia"/>
          <w:b/>
          <w:bCs/>
          <w:color w:val="auto"/>
          <w:spacing w:val="-6"/>
          <w:sz w:val="24"/>
          <w:szCs w:val="24"/>
          <w:highlight w:val="none"/>
          <w:lang w:val="en-US" w:eastAsia="zh-CN"/>
        </w:rPr>
        <w:t>注：</w:t>
      </w:r>
      <w:r>
        <w:rPr>
          <w:rFonts w:hint="eastAsia" w:asciiTheme="minorEastAsia" w:hAnsiTheme="minorEastAsia" w:eastAsiaTheme="minorEastAsia" w:cstheme="minorEastAsia"/>
          <w:b/>
          <w:bCs/>
          <w:color w:val="auto"/>
          <w:spacing w:val="-6"/>
          <w:sz w:val="24"/>
          <w:szCs w:val="24"/>
          <w:highlight w:val="none"/>
          <w:lang w:eastAsia="zh-CN"/>
        </w:rPr>
        <w:t>以上</w:t>
      </w:r>
      <w:r>
        <w:rPr>
          <w:rFonts w:hint="eastAsia" w:asciiTheme="minorEastAsia" w:hAnsiTheme="minorEastAsia" w:eastAsiaTheme="minorEastAsia" w:cstheme="minorEastAsia"/>
          <w:b/>
          <w:bCs/>
          <w:color w:val="auto"/>
          <w:spacing w:val="-6"/>
          <w:sz w:val="24"/>
          <w:szCs w:val="24"/>
          <w:highlight w:val="none"/>
          <w:lang w:val="en-US" w:eastAsia="zh-CN"/>
        </w:rPr>
        <w:t>服务需求响应</w:t>
      </w:r>
      <w:r>
        <w:rPr>
          <w:rFonts w:hint="eastAsia" w:asciiTheme="minorEastAsia" w:hAnsiTheme="minorEastAsia" w:eastAsiaTheme="minorEastAsia" w:cstheme="minorEastAsia"/>
          <w:b/>
          <w:bCs/>
          <w:color w:val="auto"/>
          <w:spacing w:val="-6"/>
          <w:sz w:val="24"/>
          <w:szCs w:val="24"/>
          <w:highlight w:val="none"/>
          <w:lang w:eastAsia="zh-CN"/>
        </w:rPr>
        <w:t>供应商必须完全响应或正偏离，任意一项不响应或负偏离投标无效。</w:t>
      </w:r>
    </w:p>
    <w:p w14:paraId="239A7C66">
      <w:pPr>
        <w:pageBreakBefore w:val="0"/>
        <w:widowControl w:val="0"/>
        <w:wordWrap/>
        <w:overflowPunct/>
        <w:topLinePunct w:val="0"/>
        <w:bidi w:val="0"/>
        <w:spacing w:line="249" w:lineRule="auto"/>
        <w:rPr>
          <w:color w:val="auto"/>
          <w:spacing w:val="0"/>
          <w:position w:val="0"/>
          <w:lang w:eastAsia="zh-CN"/>
        </w:rPr>
      </w:pPr>
    </w:p>
    <w:p w14:paraId="1894936E">
      <w:pPr>
        <w:pageBreakBefore w:val="0"/>
        <w:widowControl w:val="0"/>
        <w:wordWrap/>
        <w:overflowPunct/>
        <w:topLinePunct w:val="0"/>
        <w:bidi w:val="0"/>
        <w:spacing w:line="249" w:lineRule="auto"/>
        <w:rPr>
          <w:color w:val="auto"/>
          <w:spacing w:val="0"/>
          <w:position w:val="0"/>
          <w:lang w:eastAsia="zh-CN"/>
        </w:rPr>
      </w:pPr>
    </w:p>
    <w:p w14:paraId="15DAFB2D">
      <w:pPr>
        <w:pageBreakBefore w:val="0"/>
        <w:widowControl w:val="0"/>
        <w:wordWrap/>
        <w:overflowPunct/>
        <w:topLinePunct w:val="0"/>
        <w:bidi w:val="0"/>
        <w:spacing w:line="249" w:lineRule="auto"/>
        <w:rPr>
          <w:color w:val="auto"/>
          <w:spacing w:val="0"/>
          <w:position w:val="0"/>
          <w:lang w:eastAsia="zh-CN"/>
        </w:rPr>
      </w:pPr>
    </w:p>
    <w:p w14:paraId="19601F49">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3D55DABA">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0CF048A6">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6993DB79">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5F6EFD13">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588CC936">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p>
    <w:p w14:paraId="1D679A78">
      <w:pPr>
        <w:pageBreakBefore w:val="0"/>
        <w:widowControl w:val="0"/>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bookmarkStart w:id="1" w:name="_GoBack"/>
      <w:bookmarkEnd w:id="1"/>
    </w:p>
    <w:p w14:paraId="01306260">
      <w:pPr>
        <w:pageBreakBefore w:val="0"/>
        <w:widowControl w:val="0"/>
        <w:numPr>
          <w:ilvl w:val="0"/>
          <w:numId w:val="1"/>
        </w:numPr>
        <w:wordWrap/>
        <w:overflowPunct/>
        <w:topLinePunct w:val="0"/>
        <w:bidi w:val="0"/>
        <w:spacing w:before="78" w:line="360" w:lineRule="auto"/>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b/>
          <w:bCs/>
          <w:i w:val="0"/>
          <w:iCs w:val="0"/>
          <w:color w:val="auto"/>
          <w:kern w:val="0"/>
          <w:sz w:val="24"/>
          <w:szCs w:val="24"/>
          <w:highlight w:val="none"/>
          <w:u w:val="none"/>
          <w:lang w:val="en-US" w:eastAsia="zh-CN" w:bidi="ar"/>
        </w:rPr>
        <w:t>商务条件</w:t>
      </w:r>
    </w:p>
    <w:p w14:paraId="6D5B953A">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1.服务地点：</w:t>
      </w:r>
      <w:r>
        <w:rPr>
          <w:rFonts w:hint="eastAsia" w:ascii="宋体" w:hAnsi="宋体" w:eastAsia="宋体" w:cs="宋体"/>
          <w:sz w:val="24"/>
          <w:szCs w:val="24"/>
          <w:lang w:val="en-US" w:eastAsia="zh-CN"/>
        </w:rPr>
        <w:t>采购人指定地点。</w:t>
      </w:r>
    </w:p>
    <w:p w14:paraId="2F9FCFB5">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2.服务期限：</w:t>
      </w:r>
      <w:r>
        <w:rPr>
          <w:rFonts w:hint="eastAsia" w:ascii="宋体" w:hAnsi="宋体" w:eastAsia="宋体" w:cs="宋体"/>
          <w:sz w:val="24"/>
          <w:szCs w:val="24"/>
          <w:lang w:val="en-US" w:eastAsia="zh-CN"/>
        </w:rPr>
        <w:t>自合同签订之日起6个月内交付成果文件。</w:t>
      </w:r>
    </w:p>
    <w:p w14:paraId="5CC60A9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3.质量保证期：</w:t>
      </w:r>
      <w:r>
        <w:rPr>
          <w:rFonts w:hint="eastAsia" w:ascii="宋体" w:hAnsi="宋体" w:eastAsia="宋体" w:cs="宋体"/>
          <w:sz w:val="24"/>
          <w:szCs w:val="24"/>
          <w:lang w:val="en-US" w:eastAsia="zh-CN"/>
        </w:rPr>
        <w:t>成果文件经水利厅验收后3个月。</w:t>
      </w:r>
    </w:p>
    <w:p w14:paraId="24B06709">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4.付款方式：</w:t>
      </w:r>
      <w:r>
        <w:rPr>
          <w:rFonts w:hint="eastAsia" w:ascii="宋体" w:hAnsi="宋体" w:eastAsia="宋体" w:cs="宋体"/>
          <w:sz w:val="24"/>
          <w:szCs w:val="24"/>
          <w:lang w:val="en-US" w:eastAsia="zh-CN"/>
        </w:rPr>
        <w:t>合同签订后60天内支付合同款的60%，成果验收后30天内支付剩余合同款的40%。</w:t>
      </w:r>
    </w:p>
    <w:p w14:paraId="5EED55C4">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lang w:val="en-US" w:eastAsia="zh-CN"/>
        </w:rPr>
      </w:pPr>
      <w:r>
        <w:rPr>
          <w:rFonts w:hint="eastAsia" w:ascii="宋体" w:hAnsi="宋体" w:eastAsia="宋体" w:cs="宋体"/>
          <w:b/>
          <w:bCs/>
          <w:sz w:val="24"/>
          <w:szCs w:val="24"/>
          <w:lang w:val="en-US" w:eastAsia="zh-CN"/>
        </w:rPr>
        <w:t>5.检查验收：</w:t>
      </w:r>
      <w:r>
        <w:rPr>
          <w:rFonts w:hint="eastAsia" w:ascii="宋体" w:hAnsi="宋体" w:eastAsia="宋体" w:cs="宋体"/>
          <w:sz w:val="24"/>
          <w:szCs w:val="24"/>
          <w:lang w:val="en-US" w:eastAsia="zh-CN"/>
        </w:rPr>
        <w:t>投标人应严格按采购人指定地点、时间、标准完成服务项目，并保证所有的服务质量达到采购人的要求标准。</w:t>
      </w:r>
    </w:p>
    <w:p w14:paraId="538C2C7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6.检验标准：</w:t>
      </w:r>
    </w:p>
    <w:p w14:paraId="7F0D93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（1）在规定时间内保质保量完成采购人交给的任务、项目。</w:t>
      </w:r>
    </w:p>
    <w:p w14:paraId="1FCBCB3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（2）严格遵守采购人的所有的规定、制度，不给采购人造成经济和信誉的损失。</w:t>
      </w:r>
    </w:p>
    <w:p w14:paraId="677D7E6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（3）项目的执行能够达到采购人所要求的预期目标。</w:t>
      </w:r>
    </w:p>
    <w:p w14:paraId="5BAFCB9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（4）项目成果报告通过江西省水利厅验收。</w:t>
      </w:r>
    </w:p>
    <w:p w14:paraId="09767506">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7.知识产权：</w:t>
      </w:r>
    </w:p>
    <w:p w14:paraId="4F1679D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本项目所含成果的所有权归属和使用权归采购人所有。未经采购人书面同意，成交服务商不得在任何时间（合同履行期间及合同结束后）将项目成果（包括阶段性成果及最终成果）以任何形式提供给任何第三方。</w:t>
      </w:r>
    </w:p>
    <w:p w14:paraId="56FF5A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bCs/>
          <w:i w:val="0"/>
          <w:iCs w:val="0"/>
          <w:color w:val="auto"/>
          <w:kern w:val="0"/>
          <w:sz w:val="24"/>
          <w:szCs w:val="24"/>
          <w:highlight w:val="none"/>
          <w:u w:val="none"/>
          <w:lang w:val="en-US" w:eastAsia="zh-CN" w:bidi="ar"/>
        </w:rPr>
      </w:pPr>
      <w:r>
        <w:rPr>
          <w:rFonts w:hint="eastAsia" w:ascii="宋体" w:hAnsi="宋体" w:eastAsia="宋体" w:cs="宋体"/>
          <w:sz w:val="24"/>
          <w:szCs w:val="24"/>
          <w:lang w:val="en-US" w:eastAsia="zh-CN"/>
        </w:rPr>
        <w:t>（2）成交投标人应保证采购人在使用时不受任何关于侵犯所有权和著作权（版权）等知识产权的指控。如果任何第三方提出侵权指控，成交服务商承担一切与之有关的责任。</w:t>
      </w:r>
    </w:p>
    <w:p w14:paraId="476FDF6C">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firstLine="482" w:firstLineChars="200"/>
        <w:textAlignment w:val="baseline"/>
        <w:rPr>
          <w:rFonts w:ascii="宋体" w:hAnsi="宋体" w:eastAsia="宋体" w:cs="宋体"/>
          <w:b/>
          <w:bCs/>
          <w:color w:val="auto"/>
          <w:spacing w:val="-6"/>
          <w:sz w:val="24"/>
          <w:szCs w:val="24"/>
          <w:highlight w:val="none"/>
          <w:lang w:eastAsia="zh-CN"/>
        </w:rPr>
      </w:pPr>
      <w:r>
        <w:rPr>
          <w:rFonts w:hint="eastAsia" w:ascii="宋体" w:hAnsi="宋体" w:eastAsia="宋体" w:cs="宋体"/>
          <w:b/>
          <w:bCs/>
          <w:i w:val="0"/>
          <w:iCs w:val="0"/>
          <w:color w:val="auto"/>
          <w:kern w:val="0"/>
          <w:sz w:val="24"/>
          <w:szCs w:val="24"/>
          <w:highlight w:val="none"/>
          <w:u w:val="none"/>
          <w:lang w:val="en-US" w:eastAsia="zh-CN" w:bidi="ar"/>
        </w:rPr>
        <w:t>注：以上商务条件</w:t>
      </w:r>
      <w:r>
        <w:rPr>
          <w:rFonts w:hint="eastAsia" w:ascii="宋体" w:hAnsi="宋体" w:eastAsia="宋体" w:cs="宋体"/>
          <w:b/>
          <w:bCs/>
          <w:color w:val="auto"/>
          <w:spacing w:val="-6"/>
          <w:sz w:val="24"/>
          <w:szCs w:val="24"/>
          <w:highlight w:val="none"/>
          <w:lang w:val="en-US" w:eastAsia="zh-CN"/>
        </w:rPr>
        <w:t>响应</w:t>
      </w:r>
      <w:r>
        <w:rPr>
          <w:rFonts w:hint="eastAsia" w:ascii="宋体" w:hAnsi="宋体" w:eastAsia="宋体" w:cs="宋体"/>
          <w:b/>
          <w:bCs/>
          <w:color w:val="auto"/>
          <w:spacing w:val="-6"/>
          <w:sz w:val="24"/>
          <w:szCs w:val="24"/>
          <w:highlight w:val="none"/>
          <w:lang w:eastAsia="zh-CN"/>
        </w:rPr>
        <w:t>供应商必须完全响应或正偏离，任意一项不响应或负偏离投标无效。</w:t>
      </w:r>
    </w:p>
    <w:p w14:paraId="1EE6884D"/>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6B06B9"/>
    <w:multiLevelType w:val="singleLevel"/>
    <w:tmpl w:val="606B06B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4908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2026-06-18T07:37:59Z</dcterms:created>
  <dc:creator>admin</dc:creator>
  <cp:lastModifiedBy>admin</cp:lastModifiedBy>
  <dcterms:modified xsi:type="dcterms:W3CDTF">2026-06-18T07:38:08Z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eyJoZGlkIjoiZjhjZGQ2ZWRmZWQ5ZmNkZjJhNjg4ZDg1MjkwM2U2OWUiLCJ1c2VySWQiOiI2NDg3NzE4OTIifQ==</vt:lpwstr>
  </property>
  <property fmtid="{D5CDD505-2E9C-101B-9397-08002B2CF9AE}" pid="4" name="ICV">
    <vt:lpwstr>B163FC4D94EB4BC3BA560E59E37A5658_12</vt:lpwstr>
  </property>
</Properties>
</file>