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E4C285">
      <w:pPr>
        <w:pageBreakBefore w:val="0"/>
        <w:widowControl w:val="0"/>
        <w:wordWrap/>
        <w:overflowPunct/>
        <w:topLinePunct w:val="0"/>
        <w:bidi w:val="0"/>
        <w:spacing w:before="47" w:after="0" w:afterLines="201" w:afterAutospacing="0" w:line="219" w:lineRule="auto"/>
        <w:jc w:val="center"/>
        <w:outlineLvl w:val="1"/>
      </w:pP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采购要求</w:t>
      </w:r>
    </w:p>
    <w:p w14:paraId="3ED677DD">
      <w:pPr>
        <w:adjustRightInd w:val="0"/>
        <w:spacing w:beforeAutospacing="0" w:line="360" w:lineRule="auto"/>
        <w:jc w:val="both"/>
        <w:rPr>
          <w:rFonts w:hint="eastAsia"/>
          <w:color w:val="auto"/>
          <w:sz w:val="24"/>
          <w:szCs w:val="24"/>
          <w:highlight w:val="none"/>
        </w:rPr>
      </w:pPr>
      <w:bookmarkStart w:id="0" w:name="bookmark82"/>
      <w:bookmarkEnd w:id="0"/>
      <w:r>
        <w:rPr>
          <w:rFonts w:hint="eastAsia"/>
          <w:color w:val="auto"/>
          <w:sz w:val="24"/>
          <w:szCs w:val="24"/>
          <w:highlight w:val="none"/>
        </w:rPr>
        <w:t>（一）技术规格（工程需求）</w:t>
      </w:r>
    </w:p>
    <w:p w14:paraId="59ED1FF1">
      <w:pPr>
        <w:adjustRightInd w:val="0"/>
        <w:spacing w:beforeAutospacing="0" w:line="360" w:lineRule="auto"/>
        <w:ind w:firstLine="720" w:firstLineChars="300"/>
        <w:jc w:val="both"/>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项目建设内容及规模概况：建设内容包括规划用地面积约为3881.45平方米，新建接种楼约473.79平方米，改建厨房约496平方米，室外道路改造约260平方米，新建围墙约50米，旧房拆除等配套基础设施。</w:t>
      </w:r>
    </w:p>
    <w:p w14:paraId="0A6C9584">
      <w:pPr>
        <w:adjustRightInd w:val="0"/>
        <w:spacing w:line="360" w:lineRule="auto"/>
        <w:jc w:val="both"/>
        <w:rPr>
          <w:rFonts w:hint="eastAsia"/>
          <w:color w:val="auto"/>
          <w:sz w:val="24"/>
          <w:szCs w:val="24"/>
          <w:highlight w:val="none"/>
        </w:rPr>
      </w:pPr>
      <w:r>
        <w:rPr>
          <w:rFonts w:hint="eastAsia" w:ascii="宋体" w:hAnsi="宋体"/>
          <w:color w:val="auto"/>
          <w:sz w:val="24"/>
          <w:szCs w:val="24"/>
          <w:highlight w:val="none"/>
        </w:rPr>
        <w:t>1、</w:t>
      </w:r>
      <w:r>
        <w:rPr>
          <w:rFonts w:hint="eastAsia"/>
          <w:color w:val="auto"/>
          <w:sz w:val="24"/>
          <w:szCs w:val="24"/>
          <w:highlight w:val="none"/>
        </w:rPr>
        <w:t>工程量清单</w:t>
      </w:r>
    </w:p>
    <w:p w14:paraId="3A9FF8AF">
      <w:pPr>
        <w:pStyle w:val="4"/>
        <w:rPr>
          <w:rFonts w:hint="eastAsia"/>
        </w:rPr>
      </w:pPr>
    </w:p>
    <w:p w14:paraId="77346D35">
      <w:pPr>
        <w:adjustRightInd w:val="0"/>
        <w:spacing w:line="360" w:lineRule="auto"/>
        <w:jc w:val="both"/>
        <w:rPr>
          <w:rFonts w:hint="eastAsia"/>
          <w:color w:val="auto"/>
          <w:sz w:val="24"/>
          <w:szCs w:val="24"/>
          <w:highlight w:val="none"/>
        </w:rPr>
      </w:pPr>
      <w:r>
        <w:rPr>
          <w:rFonts w:hint="eastAsia"/>
          <w:color w:val="auto"/>
          <w:sz w:val="24"/>
          <w:szCs w:val="24"/>
          <w:highlight w:val="none"/>
        </w:rPr>
        <w:object>
          <v:shape id="_x0000_i1025" o:spt="75" type="#_x0000_t75" style="height:485.8pt;width:393.8pt;" o:ole="t" filled="f" o:preferrelative="t" stroked="f" coordsize="21600,21600">
            <v:path/>
            <v:fill on="f" focussize="0,0"/>
            <v:stroke on="f"/>
            <v:imagedata r:id="rId6" o:title=""/>
            <o:lock v:ext="edit" aspectratio="f"/>
            <w10:wrap type="none"/>
            <w10:anchorlock/>
          </v:shape>
          <o:OLEObject Type="Embed" ProgID="Excel.Sheet.12" ShapeID="_x0000_i1025" DrawAspect="Content" ObjectID="_1468075725" r:id="rId5">
            <o:LockedField>false</o:LockedField>
          </o:OLEObject>
        </w:object>
      </w:r>
    </w:p>
    <w:p w14:paraId="05743E2B">
      <w:pPr>
        <w:pStyle w:val="4"/>
        <w:rPr>
          <w:rFonts w:hint="eastAsia"/>
        </w:rPr>
      </w:pPr>
    </w:p>
    <w:p w14:paraId="7A55BA89">
      <w:pPr>
        <w:adjustRightInd w:val="0"/>
        <w:spacing w:line="360" w:lineRule="auto"/>
        <w:jc w:val="both"/>
        <w:rPr>
          <w:rFonts w:hint="eastAsia"/>
          <w:color w:val="auto"/>
          <w:sz w:val="24"/>
          <w:szCs w:val="24"/>
          <w:highlight w:val="none"/>
        </w:rPr>
      </w:pPr>
      <w:r>
        <w:rPr>
          <w:rFonts w:hint="eastAsia"/>
          <w:color w:val="auto"/>
          <w:sz w:val="24"/>
          <w:szCs w:val="24"/>
          <w:highlight w:val="none"/>
        </w:rPr>
        <w:object>
          <v:shape id="_x0000_i1026" o:spt="75" type="#_x0000_t75" style="height:555.05pt;width:416.3pt;" o:ole="t" filled="f" o:preferrelative="t" stroked="f" coordsize="21600,21600">
            <v:path/>
            <v:fill on="f" focussize="0,0"/>
            <v:stroke on="f"/>
            <v:imagedata r:id="rId8" o:title=""/>
            <o:lock v:ext="edit" aspectratio="f"/>
            <w10:wrap type="none"/>
            <w10:anchorlock/>
          </v:shape>
          <o:OLEObject Type="Embed" ProgID="Excel.Sheet.12" ShapeID="_x0000_i1026" DrawAspect="Content" ObjectID="_1468075726" r:id="rId7">
            <o:LockedField>false</o:LockedField>
          </o:OLEObject>
        </w:object>
      </w:r>
    </w:p>
    <w:p w14:paraId="468753CC">
      <w:pPr>
        <w:pStyle w:val="4"/>
        <w:rPr>
          <w:rFonts w:hint="eastAsia"/>
        </w:rPr>
      </w:pPr>
    </w:p>
    <w:p w14:paraId="2318BE0E">
      <w:pPr>
        <w:adjustRightInd w:val="0"/>
        <w:spacing w:line="360" w:lineRule="auto"/>
        <w:jc w:val="both"/>
        <w:rPr>
          <w:rFonts w:hint="eastAsia"/>
          <w:color w:val="auto"/>
          <w:sz w:val="24"/>
          <w:szCs w:val="24"/>
          <w:highlight w:val="none"/>
        </w:rPr>
      </w:pPr>
      <w:r>
        <w:rPr>
          <w:rFonts w:hint="eastAsia"/>
          <w:color w:val="auto"/>
          <w:sz w:val="24"/>
          <w:szCs w:val="24"/>
          <w:highlight w:val="none"/>
        </w:rPr>
        <w:object>
          <v:shape id="_x0000_i1027" o:spt="75" type="#_x0000_t75" style="height:536.75pt;width:416.3pt;" o:ole="t" filled="f" o:preferrelative="t" stroked="f" coordsize="21600,21600">
            <v:path/>
            <v:fill on="f" focussize="0,0"/>
            <v:stroke on="f"/>
            <v:imagedata r:id="rId10" o:title=""/>
            <o:lock v:ext="edit" aspectratio="f"/>
            <w10:wrap type="none"/>
            <w10:anchorlock/>
          </v:shape>
          <o:OLEObject Type="Embed" ProgID="Excel.Sheet.12" ShapeID="_x0000_i1027" DrawAspect="Content" ObjectID="_1468075727" r:id="rId9">
            <o:LockedField>false</o:LockedField>
          </o:OLEObject>
        </w:object>
      </w:r>
    </w:p>
    <w:p w14:paraId="01B042C7">
      <w:pPr>
        <w:pStyle w:val="4"/>
        <w:rPr>
          <w:rFonts w:hint="eastAsia"/>
        </w:rPr>
      </w:pPr>
      <w:r>
        <w:rPr>
          <w:rFonts w:hint="eastAsia"/>
        </w:rPr>
        <w:object>
          <v:shape id="_x0000_i1028" o:spt="75" type="#_x0000_t75" style="height:579.65pt;width:416.3pt;" o:ole="t" filled="f" o:preferrelative="t" stroked="f" coordsize="21600,21600">
            <v:path/>
            <v:fill on="f" focussize="0,0"/>
            <v:stroke on="f"/>
            <v:imagedata r:id="rId12" o:title=""/>
            <o:lock v:ext="edit" aspectratio="f"/>
            <w10:wrap type="none"/>
            <w10:anchorlock/>
          </v:shape>
          <o:OLEObject Type="Embed" ProgID="Excel.Sheet.12" ShapeID="_x0000_i1028" DrawAspect="Content" ObjectID="_1468075728" r:id="rId11">
            <o:LockedField>false</o:LockedField>
          </o:OLEObject>
        </w:object>
      </w:r>
    </w:p>
    <w:p w14:paraId="7F49AC15">
      <w:pPr>
        <w:pStyle w:val="4"/>
        <w:rPr>
          <w:rFonts w:hint="eastAsia"/>
        </w:rPr>
      </w:pPr>
    </w:p>
    <w:p w14:paraId="361AD806">
      <w:pPr>
        <w:pStyle w:val="4"/>
        <w:rPr>
          <w:rFonts w:hint="eastAsia"/>
        </w:rPr>
      </w:pPr>
      <w:r>
        <w:rPr>
          <w:rFonts w:hint="eastAsia"/>
        </w:rPr>
        <w:object>
          <v:shape id="_x0000_i1029" o:spt="75" type="#_x0000_t75" style="height:600.45pt;width:416.3pt;" o:ole="t" filled="f" o:preferrelative="t" stroked="f" coordsize="21600,21600">
            <v:path/>
            <v:fill on="f" focussize="0,0"/>
            <v:stroke on="f"/>
            <v:imagedata r:id="rId14" o:title=""/>
            <o:lock v:ext="edit" aspectratio="f"/>
            <w10:wrap type="none"/>
            <w10:anchorlock/>
          </v:shape>
          <o:OLEObject Type="Embed" ProgID="Excel.Sheet.12" ShapeID="_x0000_i1029" DrawAspect="Content" ObjectID="_1468075729" r:id="rId13">
            <o:LockedField>false</o:LockedField>
          </o:OLEObject>
        </w:object>
      </w:r>
    </w:p>
    <w:p w14:paraId="340F2AB8">
      <w:pPr>
        <w:pStyle w:val="4"/>
        <w:rPr>
          <w:rFonts w:hint="eastAsia"/>
        </w:rPr>
      </w:pPr>
    </w:p>
    <w:p w14:paraId="119F2AA0">
      <w:pPr>
        <w:pStyle w:val="4"/>
        <w:rPr>
          <w:rFonts w:hint="eastAsia"/>
        </w:rPr>
      </w:pPr>
      <w:r>
        <w:rPr>
          <w:rFonts w:hint="eastAsia"/>
        </w:rPr>
        <w:object>
          <v:shape id="_x0000_i1030" o:spt="75" type="#_x0000_t75" style="height:563.25pt;width:416.3pt;" o:ole="t" filled="f" o:preferrelative="t" stroked="f" coordsize="21600,21600">
            <v:path/>
            <v:fill on="f" focussize="0,0"/>
            <v:stroke on="f"/>
            <v:imagedata r:id="rId16" o:title=""/>
            <o:lock v:ext="edit" aspectratio="f"/>
            <w10:wrap type="none"/>
            <w10:anchorlock/>
          </v:shape>
          <o:OLEObject Type="Embed" ProgID="Excel.Sheet.12" ShapeID="_x0000_i1030" DrawAspect="Content" ObjectID="_1468075730" r:id="rId15">
            <o:LockedField>false</o:LockedField>
          </o:OLEObject>
        </w:object>
      </w:r>
    </w:p>
    <w:p w14:paraId="08BF99B5">
      <w:pPr>
        <w:pStyle w:val="4"/>
        <w:rPr>
          <w:rFonts w:hint="eastAsia"/>
        </w:rPr>
      </w:pPr>
    </w:p>
    <w:p w14:paraId="5AEAA519">
      <w:pPr>
        <w:pStyle w:val="4"/>
        <w:rPr>
          <w:rFonts w:hint="eastAsia"/>
        </w:rPr>
      </w:pPr>
    </w:p>
    <w:p w14:paraId="7FEF4D0B">
      <w:pPr>
        <w:pStyle w:val="4"/>
        <w:rPr>
          <w:rFonts w:hint="eastAsia"/>
        </w:rPr>
      </w:pPr>
      <w:r>
        <w:rPr>
          <w:rFonts w:hint="eastAsia"/>
        </w:rPr>
        <w:object>
          <v:shape id="_x0000_i1031" o:spt="75" type="#_x0000_t75" style="height:603pt;width:416.3pt;" o:ole="t" filled="f" o:preferrelative="t" stroked="f" coordsize="21600,21600">
            <v:path/>
            <v:fill on="f" focussize="0,0"/>
            <v:stroke on="f"/>
            <v:imagedata r:id="rId18" o:title=""/>
            <o:lock v:ext="edit" aspectratio="f"/>
            <w10:wrap type="none"/>
            <w10:anchorlock/>
          </v:shape>
          <o:OLEObject Type="Embed" ProgID="Excel.Sheet.12" ShapeID="_x0000_i1031" DrawAspect="Content" ObjectID="_1468075731" r:id="rId17">
            <o:LockedField>false</o:LockedField>
          </o:OLEObject>
        </w:object>
      </w:r>
    </w:p>
    <w:p w14:paraId="0D11B5DA">
      <w:pPr>
        <w:pStyle w:val="4"/>
        <w:rPr>
          <w:rFonts w:hint="eastAsia"/>
        </w:rPr>
      </w:pPr>
    </w:p>
    <w:p w14:paraId="0575DC73">
      <w:pPr>
        <w:pStyle w:val="4"/>
        <w:rPr>
          <w:rFonts w:hint="eastAsia"/>
        </w:rPr>
      </w:pPr>
      <w:r>
        <w:rPr>
          <w:rFonts w:hint="eastAsia"/>
        </w:rPr>
        <w:object>
          <v:shape id="_x0000_i1032" o:spt="75" type="#_x0000_t75" style="height:597.3pt;width:416.3pt;" o:ole="t" filled="f" o:preferrelative="t" stroked="f" coordsize="21600,21600">
            <v:path/>
            <v:fill on="f" focussize="0,0"/>
            <v:stroke on="f"/>
            <v:imagedata r:id="rId20" o:title=""/>
            <o:lock v:ext="edit" aspectratio="f"/>
            <w10:wrap type="none"/>
            <w10:anchorlock/>
          </v:shape>
          <o:OLEObject Type="Embed" ProgID="Excel.Sheet.12" ShapeID="_x0000_i1032" DrawAspect="Content" ObjectID="_1468075732" r:id="rId19">
            <o:LockedField>false</o:LockedField>
          </o:OLEObject>
        </w:object>
      </w:r>
    </w:p>
    <w:p w14:paraId="15164A3C">
      <w:pPr>
        <w:pStyle w:val="4"/>
        <w:rPr>
          <w:rFonts w:hint="eastAsia"/>
        </w:rPr>
      </w:pPr>
    </w:p>
    <w:p w14:paraId="6F9A5E85">
      <w:pPr>
        <w:pStyle w:val="4"/>
        <w:rPr>
          <w:rFonts w:hint="eastAsia"/>
        </w:rPr>
      </w:pPr>
    </w:p>
    <w:p w14:paraId="420AB7DA">
      <w:pPr>
        <w:pStyle w:val="4"/>
        <w:rPr>
          <w:rFonts w:hint="eastAsia"/>
        </w:rPr>
      </w:pPr>
      <w:r>
        <w:rPr>
          <w:rFonts w:hint="eastAsia"/>
        </w:rPr>
        <w:object>
          <v:shape id="_x0000_i1033" o:spt="75" type="#_x0000_t75" style="height:527.3pt;width:416.3pt;" o:ole="t" filled="f" o:preferrelative="t" stroked="f" coordsize="21600,21600">
            <v:path/>
            <v:fill on="f" focussize="0,0"/>
            <v:stroke on="f"/>
            <v:imagedata r:id="rId22" o:title=""/>
            <o:lock v:ext="edit" aspectratio="f"/>
            <w10:wrap type="none"/>
            <w10:anchorlock/>
          </v:shape>
          <o:OLEObject Type="Embed" ProgID="Excel.Sheet.12" ShapeID="_x0000_i1033" DrawAspect="Content" ObjectID="_1468075733" r:id="rId21">
            <o:LockedField>false</o:LockedField>
          </o:OLEObject>
        </w:object>
      </w:r>
    </w:p>
    <w:p w14:paraId="39AF7F42">
      <w:pPr>
        <w:pStyle w:val="4"/>
        <w:rPr>
          <w:rFonts w:hint="eastAsia"/>
        </w:rPr>
      </w:pPr>
    </w:p>
    <w:p w14:paraId="42597DAE">
      <w:pPr>
        <w:pStyle w:val="4"/>
        <w:rPr>
          <w:rFonts w:hint="eastAsia"/>
        </w:rPr>
      </w:pPr>
    </w:p>
    <w:p w14:paraId="4E956FB4">
      <w:pPr>
        <w:pStyle w:val="4"/>
        <w:rPr>
          <w:rFonts w:hint="eastAsia"/>
        </w:rPr>
      </w:pPr>
      <w:r>
        <w:rPr>
          <w:rFonts w:hint="eastAsia"/>
        </w:rPr>
        <w:object>
          <v:shape id="_x0000_i1034" o:spt="75" type="#_x0000_t75" style="height:558.85pt;width:416.3pt;" o:ole="t" filled="f" o:preferrelative="t" stroked="f" coordsize="21600,21600">
            <v:path/>
            <v:fill on="f" focussize="0,0"/>
            <v:stroke on="f"/>
            <v:imagedata r:id="rId24" o:title=""/>
            <o:lock v:ext="edit" aspectratio="f"/>
            <w10:wrap type="none"/>
            <w10:anchorlock/>
          </v:shape>
          <o:OLEObject Type="Embed" ProgID="Excel.Sheet.12" ShapeID="_x0000_i1034" DrawAspect="Content" ObjectID="_1468075734" r:id="rId23">
            <o:LockedField>false</o:LockedField>
          </o:OLEObject>
        </w:object>
      </w:r>
    </w:p>
    <w:p w14:paraId="52D04505">
      <w:pPr>
        <w:pStyle w:val="4"/>
        <w:rPr>
          <w:rFonts w:hint="eastAsia"/>
        </w:rPr>
      </w:pPr>
    </w:p>
    <w:p w14:paraId="067BC119">
      <w:pPr>
        <w:pStyle w:val="4"/>
        <w:rPr>
          <w:rFonts w:hint="eastAsia"/>
        </w:rPr>
      </w:pPr>
      <w:r>
        <w:rPr>
          <w:rFonts w:hint="eastAsia"/>
        </w:rPr>
        <w:object>
          <v:shape id="_x0000_i1035" o:spt="75" type="#_x0000_t75" style="height:593.55pt;width:416.3pt;" o:ole="t" filled="f" o:preferrelative="t" stroked="f" coordsize="21600,21600">
            <v:path/>
            <v:fill on="f" focussize="0,0"/>
            <v:stroke on="f"/>
            <v:imagedata r:id="rId26" o:title=""/>
            <o:lock v:ext="edit" aspectratio="f"/>
            <w10:wrap type="none"/>
            <w10:anchorlock/>
          </v:shape>
          <o:OLEObject Type="Embed" ProgID="Excel.Sheet.12" ShapeID="_x0000_i1035" DrawAspect="Content" ObjectID="_1468075735" r:id="rId25">
            <o:LockedField>false</o:LockedField>
          </o:OLEObject>
        </w:object>
      </w:r>
    </w:p>
    <w:p w14:paraId="66B57541">
      <w:pPr>
        <w:pStyle w:val="4"/>
        <w:rPr>
          <w:rFonts w:hint="eastAsia"/>
        </w:rPr>
      </w:pPr>
    </w:p>
    <w:p w14:paraId="3C93C1EE">
      <w:pPr>
        <w:pStyle w:val="4"/>
        <w:rPr>
          <w:rFonts w:hint="eastAsia"/>
        </w:rPr>
      </w:pPr>
    </w:p>
    <w:p w14:paraId="2F9CC13A">
      <w:pPr>
        <w:pStyle w:val="4"/>
        <w:rPr>
          <w:rFonts w:hint="eastAsia"/>
        </w:rPr>
      </w:pPr>
      <w:r>
        <w:rPr>
          <w:rFonts w:hint="eastAsia"/>
        </w:rPr>
        <w:object>
          <v:shape id="_x0000_i1036" o:spt="75" type="#_x0000_t75" style="height:593.55pt;width:416.3pt;" o:ole="t" filled="f" o:preferrelative="t" stroked="f" coordsize="21600,21600">
            <v:path/>
            <v:fill on="f" focussize="0,0"/>
            <v:stroke on="f"/>
            <v:imagedata r:id="rId28" o:title=""/>
            <o:lock v:ext="edit" aspectratio="f"/>
            <w10:wrap type="none"/>
            <w10:anchorlock/>
          </v:shape>
          <o:OLEObject Type="Embed" ProgID="Excel.Sheet.12" ShapeID="_x0000_i1036" DrawAspect="Content" ObjectID="_1468075736" r:id="rId27">
            <o:LockedField>false</o:LockedField>
          </o:OLEObject>
        </w:object>
      </w:r>
    </w:p>
    <w:p w14:paraId="2B4DBBC2">
      <w:pPr>
        <w:pStyle w:val="4"/>
        <w:rPr>
          <w:rFonts w:hint="eastAsia"/>
        </w:rPr>
      </w:pPr>
    </w:p>
    <w:p w14:paraId="25A43EDF">
      <w:pPr>
        <w:pStyle w:val="4"/>
        <w:rPr>
          <w:rFonts w:hint="eastAsia"/>
        </w:rPr>
      </w:pPr>
    </w:p>
    <w:p w14:paraId="1D31332A">
      <w:pPr>
        <w:pStyle w:val="4"/>
        <w:rPr>
          <w:rFonts w:hint="eastAsia"/>
        </w:rPr>
      </w:pPr>
      <w:r>
        <w:rPr>
          <w:rFonts w:hint="eastAsia"/>
        </w:rPr>
        <w:object>
          <v:shape id="_x0000_i1037" o:spt="75" type="#_x0000_t75" style="height:590.4pt;width:416.3pt;" o:ole="t" filled="f" o:preferrelative="t" stroked="f" coordsize="21600,21600">
            <v:path/>
            <v:fill on="f" focussize="0,0"/>
            <v:stroke on="f"/>
            <v:imagedata r:id="rId30" o:title=""/>
            <o:lock v:ext="edit" aspectratio="f"/>
            <w10:wrap type="none"/>
            <w10:anchorlock/>
          </v:shape>
          <o:OLEObject Type="Embed" ProgID="Excel.Sheet.12" ShapeID="_x0000_i1037" DrawAspect="Content" ObjectID="_1468075737" r:id="rId29">
            <o:LockedField>false</o:LockedField>
          </o:OLEObject>
        </w:object>
      </w:r>
    </w:p>
    <w:p w14:paraId="77CF9B8F">
      <w:pPr>
        <w:pStyle w:val="4"/>
        <w:rPr>
          <w:rFonts w:hint="eastAsia"/>
        </w:rPr>
      </w:pPr>
    </w:p>
    <w:p w14:paraId="373F7E63">
      <w:pPr>
        <w:pStyle w:val="4"/>
        <w:rPr>
          <w:rFonts w:hint="eastAsia"/>
        </w:rPr>
      </w:pPr>
      <w:r>
        <w:rPr>
          <w:rFonts w:hint="eastAsia"/>
        </w:rPr>
        <w:object>
          <v:shape id="_x0000_i1038" o:spt="75" type="#_x0000_t75" style="height:598.6pt;width:416.3pt;" o:ole="t" filled="f" o:preferrelative="t" stroked="f" coordsize="21600,21600">
            <v:path/>
            <v:fill on="f" focussize="0,0"/>
            <v:stroke on="f"/>
            <v:imagedata r:id="rId32" o:title=""/>
            <o:lock v:ext="edit" aspectratio="f"/>
            <w10:wrap type="none"/>
            <w10:anchorlock/>
          </v:shape>
          <o:OLEObject Type="Embed" ProgID="Excel.Sheet.12" ShapeID="_x0000_i1038" DrawAspect="Content" ObjectID="_1468075738" r:id="rId31">
            <o:LockedField>false</o:LockedField>
          </o:OLEObject>
        </w:object>
      </w:r>
    </w:p>
    <w:p w14:paraId="36C143B5">
      <w:pPr>
        <w:pStyle w:val="4"/>
        <w:rPr>
          <w:rFonts w:hint="eastAsia"/>
        </w:rPr>
      </w:pPr>
    </w:p>
    <w:p w14:paraId="321BF65D">
      <w:pPr>
        <w:pStyle w:val="4"/>
        <w:rPr>
          <w:rFonts w:hint="eastAsia"/>
        </w:rPr>
      </w:pPr>
    </w:p>
    <w:p w14:paraId="64A088F4">
      <w:pPr>
        <w:pStyle w:val="4"/>
        <w:rPr>
          <w:rFonts w:hint="eastAsia"/>
        </w:rPr>
      </w:pPr>
      <w:r>
        <w:rPr>
          <w:rFonts w:hint="eastAsia"/>
        </w:rPr>
        <w:object>
          <v:shape id="_x0000_i1039" o:spt="75" type="#_x0000_t75" style="height:592.25pt;width:416.3pt;" o:ole="t" filled="f" o:preferrelative="t" stroked="f" coordsize="21600,21600">
            <v:path/>
            <v:fill on="f" focussize="0,0"/>
            <v:stroke on="f"/>
            <v:imagedata r:id="rId34" o:title=""/>
            <o:lock v:ext="edit" aspectratio="f"/>
            <w10:wrap type="none"/>
            <w10:anchorlock/>
          </v:shape>
          <o:OLEObject Type="Embed" ProgID="Excel.Sheet.12" ShapeID="_x0000_i1039" DrawAspect="Content" ObjectID="_1468075739" r:id="rId33">
            <o:LockedField>false</o:LockedField>
          </o:OLEObject>
        </w:object>
      </w:r>
    </w:p>
    <w:p w14:paraId="34ED06EB">
      <w:pPr>
        <w:pStyle w:val="4"/>
        <w:rPr>
          <w:rFonts w:hint="eastAsia"/>
        </w:rPr>
      </w:pPr>
    </w:p>
    <w:p w14:paraId="09ADBBF5">
      <w:pPr>
        <w:pStyle w:val="4"/>
        <w:rPr>
          <w:rFonts w:hint="eastAsia"/>
        </w:rPr>
      </w:pPr>
      <w:r>
        <w:rPr>
          <w:rFonts w:hint="eastAsia"/>
        </w:rPr>
        <w:object>
          <v:shape id="_x0000_i1040" o:spt="75" type="#_x0000_t75" style="height:606.15pt;width:416.3pt;" o:ole="t" filled="f" o:preferrelative="t" stroked="f" coordsize="21600,21600">
            <v:path/>
            <v:fill on="f" focussize="0,0"/>
            <v:stroke on="f"/>
            <v:imagedata r:id="rId36" o:title=""/>
            <o:lock v:ext="edit" aspectratio="f"/>
            <w10:wrap type="none"/>
            <w10:anchorlock/>
          </v:shape>
          <o:OLEObject Type="Embed" ProgID="Excel.Sheet.12" ShapeID="_x0000_i1040" DrawAspect="Content" ObjectID="_1468075740" r:id="rId35">
            <o:LockedField>false</o:LockedField>
          </o:OLEObject>
        </w:object>
      </w:r>
    </w:p>
    <w:p w14:paraId="689EC734">
      <w:pPr>
        <w:pStyle w:val="4"/>
        <w:rPr>
          <w:rFonts w:hint="eastAsia"/>
        </w:rPr>
      </w:pPr>
    </w:p>
    <w:p w14:paraId="0720DDC4">
      <w:pPr>
        <w:pStyle w:val="4"/>
        <w:rPr>
          <w:rFonts w:hint="eastAsia"/>
        </w:rPr>
      </w:pPr>
    </w:p>
    <w:p w14:paraId="3B8C56BC">
      <w:pPr>
        <w:pStyle w:val="4"/>
        <w:rPr>
          <w:rFonts w:hint="eastAsia"/>
        </w:rPr>
      </w:pPr>
      <w:r>
        <w:rPr>
          <w:rFonts w:hint="eastAsia"/>
        </w:rPr>
        <w:object>
          <v:shape id="_x0000_i1041" o:spt="75" type="#_x0000_t75" style="height:580.9pt;width:416.3pt;" o:ole="t" filled="f" o:preferrelative="t" stroked="f" coordsize="21600,21600">
            <v:path/>
            <v:fill on="f" focussize="0,0"/>
            <v:stroke on="f"/>
            <v:imagedata r:id="rId38" o:title=""/>
            <o:lock v:ext="edit" aspectratio="f"/>
            <w10:wrap type="none"/>
            <w10:anchorlock/>
          </v:shape>
          <o:OLEObject Type="Embed" ProgID="Excel.Sheet.12" ShapeID="_x0000_i1041" DrawAspect="Content" ObjectID="_1468075741" r:id="rId37">
            <o:LockedField>false</o:LockedField>
          </o:OLEObject>
        </w:object>
      </w:r>
    </w:p>
    <w:p w14:paraId="7A481A2C">
      <w:pPr>
        <w:pStyle w:val="4"/>
        <w:rPr>
          <w:rFonts w:hint="eastAsia"/>
        </w:rPr>
      </w:pPr>
    </w:p>
    <w:p w14:paraId="0A0FBDDD">
      <w:pPr>
        <w:pStyle w:val="4"/>
        <w:rPr>
          <w:rFonts w:hint="eastAsia"/>
        </w:rPr>
      </w:pPr>
      <w:r>
        <w:rPr>
          <w:rFonts w:hint="eastAsia"/>
        </w:rPr>
        <w:object>
          <v:shape id="_x0000_i1042" o:spt="75" type="#_x0000_t75" style="height:575.85pt;width:416.3pt;" o:ole="t" filled="f" o:preferrelative="t" stroked="f" coordsize="21600,21600">
            <v:path/>
            <v:fill on="f" focussize="0,0"/>
            <v:stroke on="f"/>
            <v:imagedata r:id="rId40" o:title=""/>
            <o:lock v:ext="edit" aspectratio="f"/>
            <w10:wrap type="none"/>
            <w10:anchorlock/>
          </v:shape>
          <o:OLEObject Type="Embed" ProgID="Excel.Sheet.12" ShapeID="_x0000_i1042" DrawAspect="Content" ObjectID="_1468075742" r:id="rId39">
            <o:LockedField>false</o:LockedField>
          </o:OLEObject>
        </w:object>
      </w:r>
    </w:p>
    <w:p w14:paraId="5EFCCF83">
      <w:pPr>
        <w:pStyle w:val="4"/>
        <w:rPr>
          <w:rFonts w:hint="eastAsia"/>
        </w:rPr>
      </w:pPr>
    </w:p>
    <w:p w14:paraId="1655E620">
      <w:pPr>
        <w:pStyle w:val="4"/>
        <w:rPr>
          <w:rFonts w:hint="eastAsia"/>
        </w:rPr>
      </w:pPr>
      <w:r>
        <w:rPr>
          <w:rFonts w:hint="eastAsia"/>
        </w:rPr>
        <w:object>
          <v:shape id="_x0000_i1043" o:spt="75" type="#_x0000_t75" style="height:558.15pt;width:416.3pt;" o:ole="t" filled="f" o:preferrelative="t" stroked="f" coordsize="21600,21600">
            <v:path/>
            <v:fill on="f" focussize="0,0"/>
            <v:stroke on="f"/>
            <v:imagedata r:id="rId42" o:title=""/>
            <o:lock v:ext="edit" aspectratio="f"/>
            <w10:wrap type="none"/>
            <w10:anchorlock/>
          </v:shape>
          <o:OLEObject Type="Embed" ProgID="Excel.Sheet.12" ShapeID="_x0000_i1043" DrawAspect="Content" ObjectID="_1468075743" r:id="rId41">
            <o:LockedField>false</o:LockedField>
          </o:OLEObject>
        </w:object>
      </w:r>
      <w:r>
        <w:rPr>
          <w:rFonts w:hint="eastAsia"/>
        </w:rPr>
        <w:object>
          <v:shape id="_x0000_i1044" o:spt="75" type="#_x0000_t75" style="height:578.1pt;width:416.3pt;" o:ole="t" filled="f" o:preferrelative="t" stroked="f" coordsize="21600,21600">
            <v:path/>
            <v:fill on="f" focussize="0,0"/>
            <v:stroke on="f"/>
            <v:imagedata r:id="rId44" o:title=""/>
            <o:lock v:ext="edit" aspectratio="f"/>
            <w10:wrap type="none"/>
            <w10:anchorlock/>
          </v:shape>
          <o:OLEObject Type="Embed" ProgID="Excel.Sheet.12" ShapeID="_x0000_i1044" DrawAspect="Content" ObjectID="_1468075744" r:id="rId43">
            <o:LockedField>false</o:LockedField>
          </o:OLEObject>
        </w:object>
      </w:r>
    </w:p>
    <w:p w14:paraId="190A767D">
      <w:pPr>
        <w:pStyle w:val="4"/>
        <w:rPr>
          <w:rFonts w:hint="eastAsia"/>
        </w:rPr>
      </w:pPr>
      <w:r>
        <w:rPr>
          <w:rFonts w:hint="eastAsia"/>
        </w:rPr>
        <w:object>
          <v:shape id="_x0000_i1045" o:spt="75" type="#_x0000_t75" style="height:543.7pt;width:416.3pt;" o:ole="t" filled="f" o:preferrelative="t" stroked="f" coordsize="21600,21600">
            <v:path/>
            <v:fill on="f" focussize="0,0"/>
            <v:stroke on="f"/>
            <v:imagedata r:id="rId46" o:title=""/>
            <o:lock v:ext="edit" aspectratio="f"/>
            <w10:wrap type="none"/>
            <w10:anchorlock/>
          </v:shape>
          <o:OLEObject Type="Embed" ProgID="Excel.Sheet.12" ShapeID="_x0000_i1045" DrawAspect="Content" ObjectID="_1468075745" r:id="rId45">
            <o:LockedField>false</o:LockedField>
          </o:OLEObject>
        </w:object>
      </w:r>
    </w:p>
    <w:p w14:paraId="73833BBC">
      <w:pPr>
        <w:pStyle w:val="4"/>
        <w:rPr>
          <w:rFonts w:hint="eastAsia"/>
        </w:rPr>
      </w:pPr>
    </w:p>
    <w:p w14:paraId="209E9FD5">
      <w:pPr>
        <w:pStyle w:val="4"/>
        <w:rPr>
          <w:rFonts w:hint="eastAsia"/>
        </w:rPr>
      </w:pPr>
      <w:r>
        <w:rPr>
          <w:rFonts w:hint="eastAsia"/>
        </w:rPr>
        <w:object>
          <v:shape id="_x0000_i1046" o:spt="75" type="#_x0000_t75" style="height:598.6pt;width:416.3pt;" o:ole="t" filled="f" o:preferrelative="t" stroked="f" coordsize="21600,21600">
            <v:path/>
            <v:fill on="f" focussize="0,0"/>
            <v:stroke on="f"/>
            <v:imagedata r:id="rId48" o:title=""/>
            <o:lock v:ext="edit" aspectratio="f"/>
            <w10:wrap type="none"/>
            <w10:anchorlock/>
          </v:shape>
          <o:OLEObject Type="Embed" ProgID="Excel.Sheet.12" ShapeID="_x0000_i1046" DrawAspect="Content" ObjectID="_1468075746" r:id="rId47">
            <o:LockedField>false</o:LockedField>
          </o:OLEObject>
        </w:object>
      </w:r>
    </w:p>
    <w:p w14:paraId="7B91605E">
      <w:pPr>
        <w:pStyle w:val="4"/>
        <w:rPr>
          <w:rFonts w:hint="eastAsia"/>
        </w:rPr>
      </w:pPr>
    </w:p>
    <w:p w14:paraId="6BABFC47">
      <w:pPr>
        <w:pStyle w:val="4"/>
        <w:rPr>
          <w:rFonts w:hint="eastAsia"/>
        </w:rPr>
      </w:pPr>
    </w:p>
    <w:p w14:paraId="67FC2E46">
      <w:pPr>
        <w:pStyle w:val="4"/>
        <w:rPr>
          <w:rFonts w:hint="eastAsia"/>
        </w:rPr>
      </w:pPr>
      <w:r>
        <w:rPr>
          <w:rFonts w:hint="eastAsia"/>
        </w:rPr>
        <w:object>
          <v:shape id="_x0000_i1047" o:spt="75" type="#_x0000_t75" style="height:594.8pt;width:416.3pt;" o:ole="t" filled="f" o:preferrelative="t" stroked="f" coordsize="21600,21600">
            <v:path/>
            <v:fill on="f" focussize="0,0"/>
            <v:stroke on="f"/>
            <v:imagedata r:id="rId50" o:title=""/>
            <o:lock v:ext="edit" aspectratio="f"/>
            <w10:wrap type="none"/>
            <w10:anchorlock/>
          </v:shape>
          <o:OLEObject Type="Embed" ProgID="Excel.Sheet.12" ShapeID="_x0000_i1047" DrawAspect="Content" ObjectID="_1468075747" r:id="rId49">
            <o:LockedField>false</o:LockedField>
          </o:OLEObject>
        </w:object>
      </w:r>
    </w:p>
    <w:p w14:paraId="0BF9E8DE">
      <w:pPr>
        <w:pStyle w:val="4"/>
        <w:rPr>
          <w:rFonts w:hint="eastAsia"/>
        </w:rPr>
      </w:pPr>
    </w:p>
    <w:p w14:paraId="5C5AD8CB">
      <w:pPr>
        <w:pStyle w:val="4"/>
        <w:rPr>
          <w:rFonts w:hint="eastAsia"/>
        </w:rPr>
      </w:pPr>
      <w:r>
        <w:rPr>
          <w:rFonts w:hint="eastAsia"/>
        </w:rPr>
        <w:object>
          <v:shape id="_x0000_i1048" o:spt="75" type="#_x0000_t75" style="height:602.95pt;width:416.3pt;" o:ole="t" filled="f" o:preferrelative="t" stroked="f" coordsize="21600,21600">
            <v:path/>
            <v:fill on="f" focussize="0,0"/>
            <v:stroke on="f"/>
            <v:imagedata r:id="rId52" o:title=""/>
            <o:lock v:ext="edit" aspectratio="f"/>
            <w10:wrap type="none"/>
            <w10:anchorlock/>
          </v:shape>
          <o:OLEObject Type="Embed" ProgID="Excel.Sheet.12" ShapeID="_x0000_i1048" DrawAspect="Content" ObjectID="_1468075748" r:id="rId51">
            <o:LockedField>false</o:LockedField>
          </o:OLEObject>
        </w:object>
      </w:r>
    </w:p>
    <w:p w14:paraId="198D0C1F">
      <w:pPr>
        <w:pStyle w:val="4"/>
        <w:rPr>
          <w:rFonts w:hint="eastAsia"/>
        </w:rPr>
      </w:pPr>
    </w:p>
    <w:p w14:paraId="435CCC77">
      <w:pPr>
        <w:pStyle w:val="4"/>
        <w:rPr>
          <w:rFonts w:hint="eastAsia"/>
        </w:rPr>
      </w:pPr>
      <w:r>
        <w:rPr>
          <w:rFonts w:hint="eastAsia"/>
        </w:rPr>
        <w:object>
          <v:shape id="_x0000_i1049" o:spt="75" type="#_x0000_t75" style="height:589.1pt;width:416.3pt;" o:ole="t" filled="f" o:preferrelative="t" stroked="f" coordsize="21600,21600">
            <v:path/>
            <v:fill on="f" focussize="0,0"/>
            <v:stroke on="f"/>
            <v:imagedata r:id="rId54" o:title=""/>
            <o:lock v:ext="edit" aspectratio="f"/>
            <w10:wrap type="none"/>
            <w10:anchorlock/>
          </v:shape>
          <o:OLEObject Type="Embed" ProgID="Excel.Sheet.12" ShapeID="_x0000_i1049" DrawAspect="Content" ObjectID="_1468075749" r:id="rId53">
            <o:LockedField>false</o:LockedField>
          </o:OLEObject>
        </w:object>
      </w:r>
    </w:p>
    <w:p w14:paraId="5DDDCC4D">
      <w:pPr>
        <w:pStyle w:val="4"/>
        <w:rPr>
          <w:rFonts w:hint="eastAsia"/>
        </w:rPr>
      </w:pPr>
    </w:p>
    <w:p w14:paraId="5EC0AB0E">
      <w:pPr>
        <w:pStyle w:val="4"/>
        <w:rPr>
          <w:rFonts w:hint="eastAsia"/>
        </w:rPr>
      </w:pPr>
    </w:p>
    <w:p w14:paraId="31323305">
      <w:pPr>
        <w:pStyle w:val="4"/>
        <w:rPr>
          <w:rFonts w:hint="eastAsia"/>
        </w:rPr>
      </w:pPr>
      <w:r>
        <w:rPr>
          <w:rFonts w:hint="eastAsia"/>
        </w:rPr>
        <w:object>
          <v:shape id="_x0000_i1050" o:spt="75" type="#_x0000_t75" style="height:594.8pt;width:416.3pt;" o:ole="t" filled="f" o:preferrelative="t" stroked="f" coordsize="21600,21600">
            <v:path/>
            <v:fill on="f" focussize="0,0"/>
            <v:stroke on="f"/>
            <v:imagedata r:id="rId56" o:title=""/>
            <o:lock v:ext="edit" aspectratio="f"/>
            <w10:wrap type="none"/>
            <w10:anchorlock/>
          </v:shape>
          <o:OLEObject Type="Embed" ProgID="Excel.Sheet.12" ShapeID="_x0000_i1050" DrawAspect="Content" ObjectID="_1468075750" r:id="rId55">
            <o:LockedField>false</o:LockedField>
          </o:OLEObject>
        </w:object>
      </w:r>
    </w:p>
    <w:p w14:paraId="3C044E42">
      <w:pPr>
        <w:pStyle w:val="4"/>
        <w:rPr>
          <w:rFonts w:hint="eastAsia"/>
        </w:rPr>
      </w:pPr>
    </w:p>
    <w:p w14:paraId="21C3FB31">
      <w:pPr>
        <w:pStyle w:val="4"/>
        <w:rPr>
          <w:rFonts w:hint="eastAsia"/>
        </w:rPr>
      </w:pPr>
      <w:r>
        <w:rPr>
          <w:rFonts w:hint="eastAsia"/>
        </w:rPr>
        <w:object>
          <v:shape id="_x0000_i1051" o:spt="75" type="#_x0000_t75" style="height:507.75pt;width:416.3pt;" o:ole="t" filled="f" o:preferrelative="t" stroked="f" coordsize="21600,21600">
            <v:path/>
            <v:fill on="f" focussize="0,0"/>
            <v:stroke on="f"/>
            <v:imagedata r:id="rId58" o:title=""/>
            <o:lock v:ext="edit" aspectratio="f"/>
            <w10:wrap type="none"/>
            <w10:anchorlock/>
          </v:shape>
          <o:OLEObject Type="Embed" ProgID="Excel.Sheet.12" ShapeID="_x0000_i1051" DrawAspect="Content" ObjectID="_1468075751" r:id="rId57">
            <o:LockedField>false</o:LockedField>
          </o:OLEObject>
        </w:object>
      </w:r>
    </w:p>
    <w:p w14:paraId="5CFF93C3">
      <w:pPr>
        <w:pStyle w:val="4"/>
        <w:rPr>
          <w:rFonts w:hint="eastAsia"/>
        </w:rPr>
      </w:pPr>
    </w:p>
    <w:p w14:paraId="0EE23452">
      <w:pPr>
        <w:pStyle w:val="4"/>
        <w:rPr>
          <w:rFonts w:hint="eastAsia"/>
        </w:rPr>
      </w:pPr>
      <w:r>
        <w:rPr>
          <w:rFonts w:hint="eastAsia"/>
        </w:rPr>
        <w:object>
          <v:shape id="_x0000_i1052" o:spt="75" type="#_x0000_t75" style="height:582.2pt;width:416.3pt;" o:ole="t" filled="f" o:preferrelative="t" stroked="f" coordsize="21600,21600">
            <v:path/>
            <v:fill on="f" focussize="0,0"/>
            <v:stroke on="f"/>
            <v:imagedata r:id="rId60" o:title=""/>
            <o:lock v:ext="edit" aspectratio="f"/>
            <w10:wrap type="none"/>
            <w10:anchorlock/>
          </v:shape>
          <o:OLEObject Type="Embed" ProgID="Excel.Sheet.12" ShapeID="_x0000_i1052" DrawAspect="Content" ObjectID="_1468075752" r:id="rId59">
            <o:LockedField>false</o:LockedField>
          </o:OLEObject>
        </w:object>
      </w:r>
    </w:p>
    <w:p w14:paraId="43875CCE">
      <w:pPr>
        <w:pStyle w:val="4"/>
        <w:rPr>
          <w:rFonts w:hint="eastAsia"/>
        </w:rPr>
      </w:pPr>
    </w:p>
    <w:p w14:paraId="564659FA">
      <w:pPr>
        <w:pStyle w:val="4"/>
        <w:rPr>
          <w:rFonts w:hint="eastAsia"/>
        </w:rPr>
      </w:pPr>
      <w:r>
        <w:rPr>
          <w:rFonts w:hint="eastAsia"/>
        </w:rPr>
        <w:object>
          <v:shape id="_x0000_i1053" o:spt="75" type="#_x0000_t75" style="height:560.75pt;width:416.3pt;" o:ole="t" filled="f" o:preferrelative="t" stroked="f" coordsize="21600,21600">
            <v:path/>
            <v:fill on="f" focussize="0,0"/>
            <v:stroke on="f"/>
            <v:imagedata r:id="rId62" o:title=""/>
            <o:lock v:ext="edit" aspectratio="f"/>
            <w10:wrap type="none"/>
            <w10:anchorlock/>
          </v:shape>
          <o:OLEObject Type="Embed" ProgID="Excel.Sheet.12" ShapeID="_x0000_i1053" DrawAspect="Content" ObjectID="_1468075753" r:id="rId61">
            <o:LockedField>false</o:LockedField>
          </o:OLEObject>
        </w:object>
      </w:r>
    </w:p>
    <w:p w14:paraId="3C65EF5C">
      <w:pPr>
        <w:pStyle w:val="4"/>
        <w:rPr>
          <w:rFonts w:hint="eastAsia"/>
        </w:rPr>
      </w:pPr>
    </w:p>
    <w:p w14:paraId="6BB3F482">
      <w:pPr>
        <w:pStyle w:val="4"/>
        <w:rPr>
          <w:rFonts w:hint="eastAsia"/>
        </w:rPr>
      </w:pPr>
      <w:r>
        <w:rPr>
          <w:rFonts w:hint="eastAsia"/>
        </w:rPr>
        <w:object>
          <v:shape id="_x0000_i1054" o:spt="75" type="#_x0000_t75" style="height:526.05pt;width:416.3pt;" o:ole="t" filled="f" o:preferrelative="t" stroked="f" coordsize="21600,21600">
            <v:path/>
            <v:fill on="f" focussize="0,0"/>
            <v:stroke on="f"/>
            <v:imagedata r:id="rId64" o:title=""/>
            <o:lock v:ext="edit" aspectratio="f"/>
            <w10:wrap type="none"/>
            <w10:anchorlock/>
          </v:shape>
          <o:OLEObject Type="Embed" ProgID="Excel.Sheet.12" ShapeID="_x0000_i1054" DrawAspect="Content" ObjectID="_1468075754" r:id="rId63">
            <o:LockedField>false</o:LockedField>
          </o:OLEObject>
        </w:object>
      </w:r>
    </w:p>
    <w:p w14:paraId="2F715F9C">
      <w:pPr>
        <w:pStyle w:val="4"/>
        <w:rPr>
          <w:rFonts w:hint="eastAsia"/>
        </w:rPr>
      </w:pPr>
    </w:p>
    <w:p w14:paraId="2AEC57E4">
      <w:pPr>
        <w:pStyle w:val="4"/>
        <w:rPr>
          <w:rFonts w:hint="eastAsia"/>
        </w:rPr>
      </w:pPr>
      <w:r>
        <w:rPr>
          <w:rFonts w:hint="eastAsia"/>
        </w:rPr>
        <w:object>
          <v:shape id="_x0000_i1055" o:spt="75" type="#_x0000_t75" style="height:565.8pt;width:416.3pt;" o:ole="t" filled="f" o:preferrelative="t" stroked="f" coordsize="21600,21600">
            <v:path/>
            <v:fill on="f" focussize="0,0"/>
            <v:stroke on="f"/>
            <v:imagedata r:id="rId66" o:title=""/>
            <o:lock v:ext="edit" aspectratio="f"/>
            <w10:wrap type="none"/>
            <w10:anchorlock/>
          </v:shape>
          <o:OLEObject Type="Embed" ProgID="Excel.Sheet.12" ShapeID="_x0000_i1055" DrawAspect="Content" ObjectID="_1468075755" r:id="rId65">
            <o:LockedField>false</o:LockedField>
          </o:OLEObject>
        </w:object>
      </w:r>
    </w:p>
    <w:p w14:paraId="4994029D">
      <w:pPr>
        <w:pStyle w:val="4"/>
        <w:rPr>
          <w:rFonts w:hint="eastAsia"/>
        </w:rPr>
      </w:pPr>
    </w:p>
    <w:p w14:paraId="4708AFBB">
      <w:pPr>
        <w:pStyle w:val="4"/>
        <w:rPr>
          <w:rFonts w:hint="eastAsia"/>
        </w:rPr>
      </w:pPr>
      <w:r>
        <w:rPr>
          <w:rFonts w:hint="eastAsia"/>
        </w:rPr>
        <w:object>
          <v:shape id="_x0000_i1056" o:spt="75" type="#_x0000_t75" style="height:532.05pt;width:416.3pt;" o:ole="t" filled="f" o:preferrelative="t" stroked="f" coordsize="21600,21600">
            <v:path/>
            <v:fill on="f" focussize="0,0"/>
            <v:stroke on="f"/>
            <v:imagedata r:id="rId68" o:title=""/>
            <o:lock v:ext="edit" aspectratio="f"/>
            <w10:wrap type="none"/>
            <w10:anchorlock/>
          </v:shape>
          <o:OLEObject Type="Embed" ProgID="Excel.Sheet.12" ShapeID="_x0000_i1056" DrawAspect="Content" ObjectID="_1468075756" r:id="rId67">
            <o:LockedField>false</o:LockedField>
          </o:OLEObject>
        </w:object>
      </w:r>
    </w:p>
    <w:p w14:paraId="119F8ABB">
      <w:pPr>
        <w:pStyle w:val="4"/>
        <w:rPr>
          <w:rFonts w:hint="eastAsia"/>
        </w:rPr>
      </w:pPr>
      <w:r>
        <w:rPr>
          <w:rFonts w:hint="eastAsia"/>
        </w:rPr>
        <w:object>
          <v:shape id="_x0000_i1057" o:spt="75" type="#_x0000_t75" style="height:597.3pt;width:416.3pt;" o:ole="t" filled="f" o:preferrelative="t" stroked="f" coordsize="21600,21600">
            <v:path/>
            <v:fill on="f" focussize="0,0"/>
            <v:stroke on="f"/>
            <v:imagedata r:id="rId70" o:title=""/>
            <o:lock v:ext="edit" aspectratio="f"/>
            <w10:wrap type="none"/>
            <w10:anchorlock/>
          </v:shape>
          <o:OLEObject Type="Embed" ProgID="Excel.Sheet.12" ShapeID="_x0000_i1057" DrawAspect="Content" ObjectID="_1468075757" r:id="rId69">
            <o:LockedField>false</o:LockedField>
          </o:OLEObject>
        </w:object>
      </w:r>
    </w:p>
    <w:p w14:paraId="44B14ED6">
      <w:pPr>
        <w:pStyle w:val="4"/>
        <w:rPr>
          <w:rFonts w:hint="eastAsia"/>
        </w:rPr>
      </w:pPr>
    </w:p>
    <w:p w14:paraId="6815D1D5">
      <w:pPr>
        <w:pStyle w:val="4"/>
        <w:rPr>
          <w:rFonts w:hint="eastAsia"/>
        </w:rPr>
      </w:pPr>
      <w:r>
        <w:rPr>
          <w:rFonts w:hint="eastAsia"/>
        </w:rPr>
        <w:object>
          <v:shape id="_x0000_i1058" o:spt="75" type="#_x0000_t75" style="height:562.35pt;width:416.3pt;" o:ole="t" filled="f" o:preferrelative="t" stroked="f" coordsize="21600,21600">
            <v:path/>
            <v:fill on="f" focussize="0,0"/>
            <v:stroke on="f"/>
            <v:imagedata r:id="rId72" o:title=""/>
            <o:lock v:ext="edit" aspectratio="f"/>
            <w10:wrap type="none"/>
            <w10:anchorlock/>
          </v:shape>
          <o:OLEObject Type="Embed" ProgID="Excel.Sheet.12" ShapeID="_x0000_i1058" DrawAspect="Content" ObjectID="_1468075758" r:id="rId71">
            <o:LockedField>false</o:LockedField>
          </o:OLEObject>
        </w:object>
      </w:r>
    </w:p>
    <w:p w14:paraId="65A689B1">
      <w:pPr>
        <w:pStyle w:val="4"/>
        <w:rPr>
          <w:rFonts w:hint="eastAsia"/>
        </w:rPr>
      </w:pPr>
    </w:p>
    <w:p w14:paraId="7D9410A9">
      <w:pPr>
        <w:pStyle w:val="4"/>
        <w:rPr>
          <w:rFonts w:hint="eastAsia"/>
        </w:rPr>
      </w:pPr>
      <w:r>
        <w:rPr>
          <w:rFonts w:hint="eastAsia"/>
        </w:rPr>
        <w:object>
          <v:shape id="_x0000_i1059" o:spt="75" type="#_x0000_t75" style="height:546.85pt;width:416.3pt;" o:ole="t" filled="f" o:preferrelative="t" stroked="f" coordsize="21600,21600">
            <v:path/>
            <v:fill on="f" focussize="0,0"/>
            <v:stroke on="f"/>
            <v:imagedata r:id="rId74" o:title=""/>
            <o:lock v:ext="edit" aspectratio="f"/>
            <w10:wrap type="none"/>
            <w10:anchorlock/>
          </v:shape>
          <o:OLEObject Type="Embed" ProgID="Excel.Sheet.12" ShapeID="_x0000_i1059" DrawAspect="Content" ObjectID="_1468075759" r:id="rId73">
            <o:LockedField>false</o:LockedField>
          </o:OLEObject>
        </w:object>
      </w:r>
    </w:p>
    <w:p w14:paraId="02CE9934">
      <w:pPr>
        <w:pStyle w:val="4"/>
        <w:rPr>
          <w:rFonts w:hint="eastAsia"/>
        </w:rPr>
      </w:pPr>
    </w:p>
    <w:p w14:paraId="4E5AF847">
      <w:pPr>
        <w:pStyle w:val="4"/>
        <w:rPr>
          <w:rFonts w:hint="eastAsia"/>
        </w:rPr>
      </w:pPr>
      <w:r>
        <w:rPr>
          <w:rFonts w:hint="eastAsia"/>
        </w:rPr>
        <w:object>
          <v:shape id="_x0000_i1060" o:spt="75" type="#_x0000_t75" style="height:606.15pt;width:416.3pt;" o:ole="t" filled="f" o:preferrelative="t" stroked="f" coordsize="21600,21600">
            <v:path/>
            <v:fill on="f" focussize="0,0"/>
            <v:stroke on="f"/>
            <v:imagedata r:id="rId76" o:title=""/>
            <o:lock v:ext="edit" aspectratio="f"/>
            <w10:wrap type="none"/>
            <w10:anchorlock/>
          </v:shape>
          <o:OLEObject Type="Embed" ProgID="Excel.Sheet.12" ShapeID="_x0000_i1060" DrawAspect="Content" ObjectID="_1468075760" r:id="rId75">
            <o:LockedField>false</o:LockedField>
          </o:OLEObject>
        </w:object>
      </w:r>
    </w:p>
    <w:p w14:paraId="36B7E391">
      <w:pPr>
        <w:pStyle w:val="4"/>
        <w:rPr>
          <w:rFonts w:hint="eastAsia"/>
        </w:rPr>
      </w:pPr>
    </w:p>
    <w:p w14:paraId="7FC776DB">
      <w:pPr>
        <w:pStyle w:val="4"/>
        <w:rPr>
          <w:rFonts w:hint="eastAsia"/>
        </w:rPr>
      </w:pPr>
      <w:r>
        <w:rPr>
          <w:rFonts w:hint="eastAsia"/>
        </w:rPr>
        <w:object>
          <v:shape id="_x0000_i1061" o:spt="75" type="#_x0000_t75" style="height:555.05pt;width:416.3pt;" o:ole="t" filled="f" o:preferrelative="t" stroked="f" coordsize="21600,21600">
            <v:path/>
            <v:fill on="f" focussize="0,0"/>
            <v:stroke on="f"/>
            <v:imagedata r:id="rId78" o:title=""/>
            <o:lock v:ext="edit" aspectratio="f"/>
            <w10:wrap type="none"/>
            <w10:anchorlock/>
          </v:shape>
          <o:OLEObject Type="Embed" ProgID="Excel.Sheet.12" ShapeID="_x0000_i1061" DrawAspect="Content" ObjectID="_1468075761" r:id="rId77">
            <o:LockedField>false</o:LockedField>
          </o:OLEObject>
        </w:object>
      </w:r>
    </w:p>
    <w:p w14:paraId="3DA85107">
      <w:pPr>
        <w:pStyle w:val="4"/>
        <w:rPr>
          <w:rFonts w:hint="eastAsia"/>
        </w:rPr>
      </w:pPr>
    </w:p>
    <w:p w14:paraId="71FE9B8D">
      <w:pPr>
        <w:pStyle w:val="4"/>
        <w:rPr>
          <w:rFonts w:hint="eastAsia"/>
        </w:rPr>
      </w:pPr>
      <w:r>
        <w:rPr>
          <w:rFonts w:hint="eastAsia"/>
        </w:rPr>
        <w:object>
          <v:shape id="_x0000_i1062" o:spt="75" type="#_x0000_t75" style="height:579.65pt;width:416.3pt;" o:ole="t" filled="f" o:preferrelative="t" stroked="f" coordsize="21600,21600">
            <v:path/>
            <v:fill on="f" focussize="0,0"/>
            <v:stroke on="f"/>
            <v:imagedata r:id="rId80" o:title=""/>
            <o:lock v:ext="edit" aspectratio="f"/>
            <w10:wrap type="none"/>
            <w10:anchorlock/>
          </v:shape>
          <o:OLEObject Type="Embed" ProgID="Excel.Sheet.12" ShapeID="_x0000_i1062" DrawAspect="Content" ObjectID="_1468075762" r:id="rId79">
            <o:LockedField>false</o:LockedField>
          </o:OLEObject>
        </w:object>
      </w:r>
    </w:p>
    <w:p w14:paraId="2EAB551C">
      <w:pPr>
        <w:pStyle w:val="4"/>
        <w:rPr>
          <w:rFonts w:hint="eastAsia"/>
        </w:rPr>
      </w:pPr>
    </w:p>
    <w:p w14:paraId="77F664C7">
      <w:pPr>
        <w:pStyle w:val="4"/>
        <w:rPr>
          <w:rFonts w:hint="eastAsia"/>
        </w:rPr>
      </w:pPr>
      <w:r>
        <w:rPr>
          <w:rFonts w:hint="eastAsia"/>
        </w:rPr>
        <w:object>
          <v:shape id="_x0000_i1063" o:spt="75" type="#_x0000_t75" style="height:580.55pt;width:416.3pt;" o:ole="t" filled="f" o:preferrelative="t" stroked="f" coordsize="21600,21600">
            <v:path/>
            <v:fill on="f" focussize="0,0"/>
            <v:stroke on="f"/>
            <v:imagedata r:id="rId82" o:title=""/>
            <o:lock v:ext="edit" aspectratio="f"/>
            <w10:wrap type="none"/>
            <w10:anchorlock/>
          </v:shape>
          <o:OLEObject Type="Embed" ProgID="Excel.Sheet.12" ShapeID="_x0000_i1063" DrawAspect="Content" ObjectID="_1468075763" r:id="rId81">
            <o:LockedField>false</o:LockedField>
          </o:OLEObject>
        </w:object>
      </w:r>
    </w:p>
    <w:p w14:paraId="3110C37D">
      <w:pPr>
        <w:pStyle w:val="4"/>
        <w:rPr>
          <w:rFonts w:hint="eastAsia"/>
        </w:rPr>
      </w:pPr>
      <w:r>
        <w:rPr>
          <w:rFonts w:hint="eastAsia"/>
        </w:rPr>
        <w:object>
          <v:shape id="_x0000_i1064" o:spt="75" type="#_x0000_t75" style="height:542.45pt;width:416.3pt;" o:ole="t" filled="f" o:preferrelative="t" stroked="f" coordsize="21600,21600">
            <v:path/>
            <v:fill on="f" focussize="0,0"/>
            <v:stroke on="f"/>
            <v:imagedata r:id="rId84" o:title=""/>
            <o:lock v:ext="edit" aspectratio="f"/>
            <w10:wrap type="none"/>
            <w10:anchorlock/>
          </v:shape>
          <o:OLEObject Type="Embed" ProgID="Excel.Sheet.12" ShapeID="_x0000_i1064" DrawAspect="Content" ObjectID="_1468075764" r:id="rId83">
            <o:LockedField>false</o:LockedField>
          </o:OLEObject>
        </w:object>
      </w:r>
    </w:p>
    <w:p w14:paraId="79E89039">
      <w:pPr>
        <w:keepNext w:val="0"/>
        <w:keepLines w:val="0"/>
        <w:pageBreakBefore w:val="0"/>
        <w:widowControl/>
        <w:kinsoku/>
        <w:wordWrap/>
        <w:overflowPunct/>
        <w:topLinePunct w:val="0"/>
        <w:autoSpaceDE/>
        <w:autoSpaceDN/>
        <w:bidi w:val="0"/>
        <w:adjustRightInd w:val="0"/>
        <w:snapToGrid w:val="0"/>
        <w:spacing w:beforeAutospacing="0" w:afterAutospacing="0" w:line="240" w:lineRule="auto"/>
        <w:ind w:firstLine="0" w:firstLineChars="0"/>
        <w:textAlignment w:val="auto"/>
        <w:rPr>
          <w:rFonts w:hint="eastAsia" w:ascii="宋体" w:hAnsi="宋体" w:eastAsia="宋体" w:cs="宋体"/>
          <w:sz w:val="28"/>
          <w:szCs w:val="28"/>
        </w:rPr>
      </w:pPr>
    </w:p>
    <w:p w14:paraId="1A3532D6">
      <w:pPr>
        <w:pStyle w:val="4"/>
        <w:rPr>
          <w:rFonts w:hint="eastAsia"/>
        </w:rPr>
      </w:pPr>
      <w:r>
        <w:rPr>
          <w:rFonts w:hint="eastAsia"/>
        </w:rPr>
        <w:object>
          <v:shape id="_x0000_i1065" o:spt="75" type="#_x0000_t75" style="height:597.3pt;width:416.3pt;" o:ole="t" filled="f" o:preferrelative="t" stroked="f" coordsize="21600,21600">
            <v:path/>
            <v:fill on="f" focussize="0,0"/>
            <v:stroke on="f"/>
            <v:imagedata r:id="rId86" o:title=""/>
            <o:lock v:ext="edit" aspectratio="f"/>
            <w10:wrap type="none"/>
            <w10:anchorlock/>
          </v:shape>
          <o:OLEObject Type="Embed" ProgID="Excel.Sheet.12" ShapeID="_x0000_i1065" DrawAspect="Content" ObjectID="_1468075765" r:id="rId85">
            <o:LockedField>false</o:LockedField>
          </o:OLEObject>
        </w:object>
      </w:r>
    </w:p>
    <w:p w14:paraId="399142F7">
      <w:pPr>
        <w:keepNext w:val="0"/>
        <w:keepLines w:val="0"/>
        <w:pageBreakBefore w:val="0"/>
        <w:widowControl/>
        <w:kinsoku/>
        <w:wordWrap/>
        <w:overflowPunct/>
        <w:topLinePunct w:val="0"/>
        <w:autoSpaceDE/>
        <w:autoSpaceDN/>
        <w:bidi w:val="0"/>
        <w:adjustRightInd w:val="0"/>
        <w:snapToGrid w:val="0"/>
        <w:spacing w:beforeAutospacing="0" w:afterAutospacing="0" w:line="240" w:lineRule="auto"/>
        <w:ind w:firstLine="0" w:firstLineChars="0"/>
        <w:textAlignment w:val="auto"/>
        <w:rPr>
          <w:rFonts w:hint="eastAsia" w:ascii="宋体" w:hAnsi="宋体" w:eastAsia="宋体" w:cs="宋体"/>
          <w:sz w:val="28"/>
          <w:szCs w:val="28"/>
        </w:rPr>
      </w:pPr>
    </w:p>
    <w:p w14:paraId="3D47E6B8">
      <w:pPr>
        <w:pStyle w:val="4"/>
        <w:rPr>
          <w:rFonts w:hint="eastAsia" w:ascii="宋体" w:hAnsi="宋体" w:eastAsia="宋体" w:cs="宋体"/>
          <w:sz w:val="28"/>
          <w:szCs w:val="28"/>
        </w:rPr>
      </w:pPr>
      <w:r>
        <w:rPr>
          <w:rFonts w:hint="eastAsia" w:ascii="宋体" w:hAnsi="宋体" w:eastAsia="宋体" w:cs="宋体"/>
          <w:sz w:val="28"/>
          <w:szCs w:val="28"/>
        </w:rPr>
        <w:object>
          <v:shape id="_x0000_i1066" o:spt="75" type="#_x0000_t75" style="height:544.8pt;width:416.3pt;" o:ole="t" filled="f" o:preferrelative="t" stroked="f" coordsize="21600,21600">
            <v:path/>
            <v:fill on="f" focussize="0,0"/>
            <v:stroke on="f"/>
            <v:imagedata r:id="rId88" o:title=""/>
            <o:lock v:ext="edit" aspectratio="f"/>
            <w10:wrap type="none"/>
            <w10:anchorlock/>
          </v:shape>
          <o:OLEObject Type="Embed" ProgID="Excel.Sheet.12" ShapeID="_x0000_i1066" DrawAspect="Content" ObjectID="_1468075766" r:id="rId87">
            <o:LockedField>false</o:LockedField>
          </o:OLEObject>
        </w:object>
      </w:r>
    </w:p>
    <w:p w14:paraId="2D9D38AE">
      <w:pPr>
        <w:pStyle w:val="4"/>
        <w:rPr>
          <w:rFonts w:hint="eastAsia" w:ascii="宋体" w:hAnsi="宋体" w:eastAsia="宋体" w:cs="宋体"/>
          <w:sz w:val="28"/>
          <w:szCs w:val="28"/>
        </w:rPr>
      </w:pPr>
    </w:p>
    <w:p w14:paraId="3F1F45CA">
      <w:pPr>
        <w:pStyle w:val="4"/>
        <w:rPr>
          <w:rFonts w:hint="eastAsia" w:ascii="宋体" w:hAnsi="宋体" w:eastAsia="宋体" w:cs="宋体"/>
          <w:sz w:val="28"/>
          <w:szCs w:val="28"/>
        </w:rPr>
      </w:pPr>
      <w:r>
        <w:rPr>
          <w:rFonts w:hint="eastAsia" w:ascii="宋体" w:hAnsi="宋体" w:eastAsia="宋体" w:cs="宋体"/>
          <w:sz w:val="28"/>
          <w:szCs w:val="28"/>
        </w:rPr>
        <w:object>
          <v:shape id="_x0000_i1067" o:spt="75" type="#_x0000_t75" style="height:571.45pt;width:416.3pt;" o:ole="t" filled="f" o:preferrelative="t" stroked="f" coordsize="21600,21600">
            <v:path/>
            <v:fill on="f" focussize="0,0"/>
            <v:stroke on="f"/>
            <v:imagedata r:id="rId90" o:title=""/>
            <o:lock v:ext="edit" aspectratio="f"/>
            <w10:wrap type="none"/>
            <w10:anchorlock/>
          </v:shape>
          <o:OLEObject Type="Embed" ProgID="Excel.Sheet.12" ShapeID="_x0000_i1067" DrawAspect="Content" ObjectID="_1468075767" r:id="rId89">
            <o:LockedField>false</o:LockedField>
          </o:OLEObject>
        </w:object>
      </w:r>
    </w:p>
    <w:p w14:paraId="737BB446">
      <w:pPr>
        <w:pStyle w:val="4"/>
        <w:rPr>
          <w:rFonts w:hint="eastAsia" w:ascii="宋体" w:hAnsi="宋体" w:eastAsia="宋体" w:cs="宋体"/>
          <w:sz w:val="28"/>
          <w:szCs w:val="28"/>
        </w:rPr>
      </w:pPr>
    </w:p>
    <w:p w14:paraId="40BA4C20">
      <w:pPr>
        <w:pStyle w:val="4"/>
        <w:rPr>
          <w:rFonts w:hint="eastAsia" w:ascii="宋体" w:hAnsi="宋体" w:eastAsia="宋体" w:cs="宋体"/>
          <w:sz w:val="28"/>
          <w:szCs w:val="28"/>
        </w:rPr>
      </w:pPr>
      <w:r>
        <w:rPr>
          <w:rFonts w:hint="eastAsia" w:ascii="宋体" w:hAnsi="宋体" w:eastAsia="宋体" w:cs="宋体"/>
          <w:sz w:val="28"/>
          <w:szCs w:val="28"/>
        </w:rPr>
        <w:object>
          <v:shape id="_x0000_i1068" o:spt="75" type="#_x0000_t75" style="height:594.8pt;width:416.3pt;" o:ole="t" filled="f" o:preferrelative="t" stroked="f" coordsize="21600,21600">
            <v:path/>
            <v:fill on="f" focussize="0,0"/>
            <v:stroke on="f"/>
            <v:imagedata r:id="rId92" o:title=""/>
            <o:lock v:ext="edit" aspectratio="f"/>
            <w10:wrap type="none"/>
            <w10:anchorlock/>
          </v:shape>
          <o:OLEObject Type="Embed" ProgID="Excel.Sheet.12" ShapeID="_x0000_i1068" DrawAspect="Content" ObjectID="_1468075768" r:id="rId91">
            <o:LockedField>false</o:LockedField>
          </o:OLEObject>
        </w:object>
      </w:r>
    </w:p>
    <w:p w14:paraId="1CD7642C">
      <w:pPr>
        <w:pStyle w:val="4"/>
        <w:rPr>
          <w:rFonts w:hint="eastAsia" w:ascii="宋体" w:hAnsi="宋体" w:eastAsia="宋体" w:cs="宋体"/>
          <w:sz w:val="28"/>
          <w:szCs w:val="28"/>
        </w:rPr>
      </w:pPr>
    </w:p>
    <w:p w14:paraId="40F4A16C">
      <w:pPr>
        <w:pStyle w:val="4"/>
        <w:rPr>
          <w:rFonts w:hint="eastAsia" w:ascii="宋体" w:hAnsi="宋体" w:eastAsia="宋体" w:cs="宋体"/>
          <w:sz w:val="28"/>
          <w:szCs w:val="28"/>
        </w:rPr>
      </w:pPr>
      <w:r>
        <w:rPr>
          <w:rFonts w:hint="eastAsia" w:ascii="宋体" w:hAnsi="宋体" w:eastAsia="宋体" w:cs="宋体"/>
          <w:sz w:val="28"/>
          <w:szCs w:val="28"/>
        </w:rPr>
        <w:object>
          <v:shape id="_x0000_i1069" o:spt="75" type="#_x0000_t75" style="height:555.05pt;width:416.3pt;" o:ole="t" filled="f" o:preferrelative="t" stroked="f" coordsize="21600,21600">
            <v:path/>
            <v:fill on="f" focussize="0,0"/>
            <v:stroke on="f"/>
            <v:imagedata r:id="rId94" o:title=""/>
            <o:lock v:ext="edit" aspectratio="f"/>
            <w10:wrap type="none"/>
            <w10:anchorlock/>
          </v:shape>
          <o:OLEObject Type="Embed" ProgID="Excel.Sheet.12" ShapeID="_x0000_i1069" DrawAspect="Content" ObjectID="_1468075769" r:id="rId93">
            <o:LockedField>false</o:LockedField>
          </o:OLEObject>
        </w:object>
      </w:r>
    </w:p>
    <w:p w14:paraId="646B5425">
      <w:pPr>
        <w:pStyle w:val="4"/>
        <w:rPr>
          <w:rFonts w:hint="eastAsia" w:ascii="宋体" w:hAnsi="宋体" w:eastAsia="宋体" w:cs="宋体"/>
          <w:sz w:val="28"/>
          <w:szCs w:val="28"/>
        </w:rPr>
      </w:pPr>
      <w:r>
        <w:rPr>
          <w:rFonts w:hint="eastAsia" w:ascii="宋体" w:hAnsi="宋体" w:eastAsia="宋体" w:cs="宋体"/>
          <w:sz w:val="28"/>
          <w:szCs w:val="28"/>
        </w:rPr>
        <w:object>
          <v:shape id="_x0000_i1070" o:spt="75" type="#_x0000_t75" style="height:568.3pt;width:416.3pt;" o:ole="t" filled="f" o:preferrelative="t" stroked="f" coordsize="21600,21600">
            <v:path/>
            <v:fill on="f" focussize="0,0"/>
            <v:stroke on="f"/>
            <v:imagedata r:id="rId96" o:title=""/>
            <o:lock v:ext="edit" aspectratio="f"/>
            <w10:wrap type="none"/>
            <w10:anchorlock/>
          </v:shape>
          <o:OLEObject Type="Embed" ProgID="Excel.Sheet.12" ShapeID="_x0000_i1070" DrawAspect="Content" ObjectID="_1468075770" r:id="rId95">
            <o:LockedField>false</o:LockedField>
          </o:OLEObject>
        </w:object>
      </w:r>
    </w:p>
    <w:p w14:paraId="594C3F1F">
      <w:pPr>
        <w:pStyle w:val="4"/>
        <w:rPr>
          <w:rFonts w:hint="eastAsia" w:ascii="宋体" w:hAnsi="宋体" w:eastAsia="宋体" w:cs="宋体"/>
          <w:sz w:val="28"/>
          <w:szCs w:val="28"/>
        </w:rPr>
      </w:pPr>
    </w:p>
    <w:p w14:paraId="3047F34A">
      <w:pPr>
        <w:pStyle w:val="4"/>
        <w:rPr>
          <w:rFonts w:hint="eastAsia" w:ascii="宋体" w:hAnsi="宋体" w:eastAsia="宋体" w:cs="宋体"/>
          <w:sz w:val="28"/>
          <w:szCs w:val="28"/>
        </w:rPr>
      </w:pPr>
      <w:r>
        <w:rPr>
          <w:rFonts w:hint="eastAsia" w:ascii="宋体" w:hAnsi="宋体" w:eastAsia="宋体" w:cs="宋体"/>
          <w:sz w:val="28"/>
          <w:szCs w:val="28"/>
        </w:rPr>
        <w:object>
          <v:shape id="_x0000_i1071" o:spt="75" type="#_x0000_t75" style="height:580.9pt;width:416.3pt;" o:ole="t" filled="f" o:preferrelative="t" stroked="f" coordsize="21600,21600">
            <v:path/>
            <v:fill on="f" focussize="0,0"/>
            <v:stroke on="f"/>
            <v:imagedata r:id="rId98" o:title=""/>
            <o:lock v:ext="edit" aspectratio="f"/>
            <w10:wrap type="none"/>
            <w10:anchorlock/>
          </v:shape>
          <o:OLEObject Type="Embed" ProgID="Excel.Sheet.12" ShapeID="_x0000_i1071" DrawAspect="Content" ObjectID="_1468075771" r:id="rId97">
            <o:LockedField>false</o:LockedField>
          </o:OLEObject>
        </w:object>
      </w:r>
    </w:p>
    <w:p w14:paraId="6913CDA4">
      <w:pPr>
        <w:pStyle w:val="4"/>
        <w:rPr>
          <w:rFonts w:hint="eastAsia" w:ascii="宋体" w:hAnsi="宋体" w:eastAsia="宋体" w:cs="宋体"/>
          <w:sz w:val="28"/>
          <w:szCs w:val="28"/>
        </w:rPr>
      </w:pPr>
    </w:p>
    <w:p w14:paraId="55E60C2F">
      <w:pPr>
        <w:pStyle w:val="4"/>
        <w:rPr>
          <w:rFonts w:hint="eastAsia" w:ascii="宋体" w:hAnsi="宋体" w:eastAsia="宋体" w:cs="宋体"/>
          <w:sz w:val="28"/>
          <w:szCs w:val="28"/>
        </w:rPr>
      </w:pPr>
      <w:r>
        <w:rPr>
          <w:rFonts w:hint="eastAsia" w:ascii="宋体" w:hAnsi="宋体" w:eastAsia="宋体" w:cs="宋体"/>
          <w:sz w:val="28"/>
          <w:szCs w:val="28"/>
        </w:rPr>
        <w:object>
          <v:shape id="_x0000_i1072" o:spt="75" type="#_x0000_t75" style="height:357pt;width:416.3pt;" o:ole="t" filled="f" o:preferrelative="t" stroked="f" coordsize="21600,21600">
            <v:path/>
            <v:fill on="f" focussize="0,0"/>
            <v:stroke on="f"/>
            <v:imagedata r:id="rId100" o:title=""/>
            <o:lock v:ext="edit" aspectratio="f"/>
            <w10:wrap type="none"/>
            <w10:anchorlock/>
          </v:shape>
          <o:OLEObject Type="Embed" ProgID="Excel.Sheet.12" ShapeID="_x0000_i1072" DrawAspect="Content" ObjectID="_1468075772" r:id="rId99">
            <o:LockedField>false</o:LockedField>
          </o:OLEObject>
        </w:object>
      </w:r>
    </w:p>
    <w:p w14:paraId="764B56B8">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textAlignment w:val="auto"/>
        <w:rPr>
          <w:rFonts w:hint="eastAsia" w:ascii="宋体" w:hAnsi="宋体" w:eastAsia="宋体" w:cs="宋体"/>
          <w:sz w:val="28"/>
          <w:szCs w:val="28"/>
        </w:rPr>
      </w:pPr>
    </w:p>
    <w:p w14:paraId="7141809B">
      <w:pPr>
        <w:pStyle w:val="4"/>
        <w:rPr>
          <w:rFonts w:hint="eastAsia"/>
        </w:rPr>
      </w:pPr>
      <w:r>
        <w:rPr>
          <w:rFonts w:hint="eastAsia"/>
        </w:rPr>
        <w:object>
          <v:shape id="_x0000_i1073" o:spt="75" type="#_x0000_t75" style="height:173.8pt;width:416.5pt;" o:ole="t" filled="f" o:preferrelative="t" stroked="f" coordsize="21600,21600">
            <v:path/>
            <v:fill on="f" focussize="0,0"/>
            <v:stroke on="f"/>
            <v:imagedata r:id="rId102" o:title=""/>
            <o:lock v:ext="edit" aspectratio="f"/>
            <w10:wrap type="none"/>
            <w10:anchorlock/>
          </v:shape>
          <o:OLEObject Type="Embed" ProgID="Excel.Sheet.12" ShapeID="_x0000_i1073" DrawAspect="Content" ObjectID="_1468075773" r:id="rId101">
            <o:LockedField>false</o:LockedField>
          </o:OLEObject>
        </w:object>
      </w:r>
    </w:p>
    <w:p w14:paraId="49CD7A02">
      <w:pPr>
        <w:pStyle w:val="4"/>
        <w:rPr>
          <w:rFonts w:hint="eastAsia"/>
        </w:rPr>
      </w:pPr>
    </w:p>
    <w:p w14:paraId="4CD38FD4">
      <w:pPr>
        <w:pStyle w:val="4"/>
        <w:rPr>
          <w:rFonts w:hint="eastAsia"/>
        </w:rPr>
      </w:pPr>
      <w:r>
        <w:rPr>
          <w:rFonts w:hint="eastAsia"/>
        </w:rPr>
        <w:object>
          <v:shape id="_x0000_i1074" o:spt="75" type="#_x0000_t75" style="height:253.5pt;width:416.5pt;" o:ole="t" filled="f" o:preferrelative="t" stroked="f" coordsize="21600,21600">
            <v:path/>
            <v:fill on="f" focussize="0,0"/>
            <v:stroke on="f"/>
            <v:imagedata r:id="rId104" o:title=""/>
            <o:lock v:ext="edit" aspectratio="f"/>
            <w10:wrap type="none"/>
            <w10:anchorlock/>
          </v:shape>
          <o:OLEObject Type="Embed" ProgID="Excel.Sheet.12" ShapeID="_x0000_i1074" DrawAspect="Content" ObjectID="_1468075774" r:id="rId103">
            <o:LockedField>false</o:LockedField>
          </o:OLEObject>
        </w:object>
      </w:r>
    </w:p>
    <w:p w14:paraId="010B0483">
      <w:pPr>
        <w:pStyle w:val="4"/>
        <w:rPr>
          <w:rFonts w:hint="eastAsia"/>
        </w:rPr>
      </w:pPr>
    </w:p>
    <w:p w14:paraId="391CDD4A">
      <w:pPr>
        <w:pStyle w:val="4"/>
        <w:rPr>
          <w:rFonts w:hint="eastAsia"/>
        </w:rPr>
      </w:pPr>
      <w:r>
        <w:rPr>
          <w:rFonts w:hint="eastAsia"/>
        </w:rPr>
        <w:object>
          <v:shape id="_x0000_i1075" o:spt="75" type="#_x0000_t75" style="height:302.15pt;width:416.3pt;" o:ole="t" filled="f" o:preferrelative="t" stroked="f" coordsize="21600,21600">
            <v:path/>
            <v:fill on="f" focussize="0,0"/>
            <v:stroke on="f"/>
            <v:imagedata r:id="rId106" o:title=""/>
            <o:lock v:ext="edit" aspectratio="f"/>
            <w10:wrap type="none"/>
            <w10:anchorlock/>
          </v:shape>
          <o:OLEObject Type="Embed" ProgID="Excel.Sheet.12" ShapeID="_x0000_i1075" DrawAspect="Content" ObjectID="_1468075775" r:id="rId105">
            <o:LockedField>false</o:LockedField>
          </o:OLEObject>
        </w:object>
      </w:r>
    </w:p>
    <w:p w14:paraId="1F1C2C51">
      <w:pPr>
        <w:pStyle w:val="4"/>
        <w:rPr>
          <w:rFonts w:hint="eastAsia"/>
        </w:rPr>
      </w:pPr>
      <w:r>
        <w:rPr>
          <w:rFonts w:hint="eastAsia"/>
        </w:rPr>
        <w:object>
          <v:shape id="_x0000_i1076" o:spt="75" type="#_x0000_t75" style="height:127.65pt;width:416.5pt;" o:ole="t" filled="f" o:preferrelative="t" stroked="f" coordsize="21600,21600">
            <v:path/>
            <v:fill on="f" focussize="0,0"/>
            <v:stroke on="f"/>
            <v:imagedata r:id="rId108" o:title=""/>
            <o:lock v:ext="edit" aspectratio="f"/>
            <w10:wrap type="none"/>
            <w10:anchorlock/>
          </v:shape>
          <o:OLEObject Type="Embed" ProgID="Excel.Sheet.12" ShapeID="_x0000_i1076" DrawAspect="Content" ObjectID="_1468075776" r:id="rId107">
            <o:LockedField>false</o:LockedField>
          </o:OLEObject>
        </w:object>
      </w:r>
    </w:p>
    <w:p w14:paraId="49CA2400">
      <w:pPr>
        <w:rPr>
          <w:rFonts w:hint="eastAsia"/>
        </w:rPr>
      </w:pPr>
      <w:r>
        <w:rPr>
          <w:rFonts w:hint="eastAsia"/>
        </w:rPr>
        <w:br w:type="page"/>
      </w:r>
    </w:p>
    <w:p w14:paraId="7184EAFF">
      <w:pPr>
        <w:pStyle w:val="4"/>
        <w:rPr>
          <w:rFonts w:hint="eastAsia"/>
        </w:rPr>
        <w:sectPr>
          <w:footerReference r:id="rId3" w:type="default"/>
          <w:pgSz w:w="11906" w:h="16839"/>
          <w:pgMar w:top="1423" w:right="1786" w:bottom="1423" w:left="1786" w:header="0" w:footer="994" w:gutter="0"/>
          <w:cols w:space="720" w:num="1"/>
        </w:sectPr>
      </w:pPr>
    </w:p>
    <w:p w14:paraId="5C664210">
      <w:pPr>
        <w:jc w:val="center"/>
        <w:rPr>
          <w:rFonts w:hint="default" w:eastAsiaTheme="minorEastAsia"/>
          <w:b/>
          <w:bCs/>
          <w:sz w:val="28"/>
          <w:szCs w:val="28"/>
          <w:lang w:val="en-US" w:eastAsia="zh-CN"/>
        </w:rPr>
      </w:pPr>
      <w:r>
        <w:rPr>
          <w:rFonts w:hint="eastAsia"/>
          <w:b/>
          <w:bCs/>
          <w:sz w:val="28"/>
          <w:szCs w:val="28"/>
          <w:lang w:val="en-US" w:eastAsia="zh-CN"/>
        </w:rPr>
        <w:t>暂列金计划使用明细</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3"/>
        <w:gridCol w:w="1938"/>
        <w:gridCol w:w="7812"/>
        <w:gridCol w:w="813"/>
        <w:gridCol w:w="1462"/>
      </w:tblGrid>
      <w:tr w14:paraId="0236C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tcPr>
          <w:p w14:paraId="672ED0D4">
            <w:pPr>
              <w:widowControl w:val="0"/>
              <w:jc w:val="left"/>
              <w:rPr>
                <w:rFonts w:hint="eastAsia" w:eastAsiaTheme="minorEastAsia"/>
                <w:sz w:val="24"/>
                <w:szCs w:val="24"/>
                <w:vertAlign w:val="baseline"/>
                <w:lang w:val="en-US" w:eastAsia="zh-CN"/>
              </w:rPr>
            </w:pPr>
            <w:r>
              <w:rPr>
                <w:rFonts w:hint="eastAsia"/>
                <w:sz w:val="24"/>
                <w:szCs w:val="24"/>
                <w:vertAlign w:val="baseline"/>
                <w:lang w:val="en-US" w:eastAsia="zh-CN"/>
              </w:rPr>
              <w:t>类型</w:t>
            </w:r>
          </w:p>
        </w:tc>
        <w:tc>
          <w:tcPr>
            <w:tcW w:w="1938" w:type="dxa"/>
          </w:tcPr>
          <w:p w14:paraId="5239B2FF">
            <w:pPr>
              <w:widowControl w:val="0"/>
              <w:jc w:val="left"/>
              <w:rPr>
                <w:rFonts w:hint="eastAsia" w:eastAsiaTheme="minorEastAsia"/>
                <w:sz w:val="24"/>
                <w:szCs w:val="24"/>
                <w:vertAlign w:val="baseline"/>
                <w:lang w:val="en-US" w:eastAsia="zh-CN"/>
              </w:rPr>
            </w:pPr>
            <w:r>
              <w:rPr>
                <w:rFonts w:hint="eastAsia"/>
                <w:sz w:val="24"/>
                <w:szCs w:val="24"/>
                <w:vertAlign w:val="baseline"/>
                <w:lang w:val="en-US" w:eastAsia="zh-CN"/>
              </w:rPr>
              <w:t>型号</w:t>
            </w:r>
          </w:p>
        </w:tc>
        <w:tc>
          <w:tcPr>
            <w:tcW w:w="7812" w:type="dxa"/>
          </w:tcPr>
          <w:p w14:paraId="0E03C0EE">
            <w:pPr>
              <w:widowControl w:val="0"/>
              <w:jc w:val="left"/>
              <w:rPr>
                <w:rFonts w:hint="eastAsia" w:eastAsiaTheme="minorEastAsia"/>
                <w:sz w:val="24"/>
                <w:szCs w:val="24"/>
                <w:vertAlign w:val="baseline"/>
                <w:lang w:val="en-US" w:eastAsia="zh-CN"/>
              </w:rPr>
            </w:pPr>
            <w:r>
              <w:rPr>
                <w:rFonts w:hint="eastAsia"/>
                <w:sz w:val="24"/>
                <w:szCs w:val="24"/>
                <w:vertAlign w:val="baseline"/>
                <w:lang w:val="en-US" w:eastAsia="zh-CN"/>
              </w:rPr>
              <w:t>参数</w:t>
            </w:r>
          </w:p>
        </w:tc>
        <w:tc>
          <w:tcPr>
            <w:tcW w:w="813" w:type="dxa"/>
          </w:tcPr>
          <w:p w14:paraId="53A15DF1">
            <w:pPr>
              <w:widowControl w:val="0"/>
              <w:jc w:val="left"/>
              <w:rPr>
                <w:rFonts w:hint="eastAsia" w:eastAsiaTheme="minorEastAsia"/>
                <w:sz w:val="24"/>
                <w:szCs w:val="24"/>
                <w:vertAlign w:val="baseline"/>
                <w:lang w:val="en-US" w:eastAsia="zh-CN"/>
              </w:rPr>
            </w:pPr>
            <w:r>
              <w:rPr>
                <w:rFonts w:hint="eastAsia"/>
                <w:sz w:val="24"/>
                <w:szCs w:val="24"/>
                <w:vertAlign w:val="baseline"/>
                <w:lang w:val="en-US" w:eastAsia="zh-CN"/>
              </w:rPr>
              <w:t>单位</w:t>
            </w:r>
          </w:p>
        </w:tc>
        <w:tc>
          <w:tcPr>
            <w:tcW w:w="1462" w:type="dxa"/>
          </w:tcPr>
          <w:p w14:paraId="0DB5C488">
            <w:pPr>
              <w:widowControl w:val="0"/>
              <w:jc w:val="left"/>
              <w:rPr>
                <w:rFonts w:hint="eastAsia" w:eastAsiaTheme="minorEastAsia"/>
                <w:sz w:val="24"/>
                <w:szCs w:val="24"/>
                <w:vertAlign w:val="baseline"/>
                <w:lang w:val="en-US" w:eastAsia="zh-CN"/>
              </w:rPr>
            </w:pPr>
            <w:r>
              <w:rPr>
                <w:rFonts w:hint="eastAsia"/>
                <w:sz w:val="24"/>
                <w:szCs w:val="24"/>
                <w:vertAlign w:val="baseline"/>
                <w:lang w:val="en-US" w:eastAsia="zh-CN"/>
              </w:rPr>
              <w:t>数量</w:t>
            </w:r>
          </w:p>
        </w:tc>
      </w:tr>
      <w:tr w14:paraId="3136E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tcPr>
          <w:p w14:paraId="2BFB7A73">
            <w:pPr>
              <w:widowControl w:val="0"/>
              <w:jc w:val="both"/>
              <w:rPr>
                <w:rFonts w:hint="eastAsia"/>
                <w:sz w:val="24"/>
                <w:szCs w:val="24"/>
                <w:vertAlign w:val="baseline"/>
              </w:rPr>
            </w:pPr>
            <w:r>
              <w:rPr>
                <w:rFonts w:hint="eastAsia"/>
                <w:sz w:val="24"/>
                <w:szCs w:val="24"/>
                <w:vertAlign w:val="baseline"/>
              </w:rPr>
              <w:t>400万白光</w:t>
            </w:r>
          </w:p>
          <w:p w14:paraId="7C541BB5">
            <w:pPr>
              <w:widowControl w:val="0"/>
              <w:jc w:val="both"/>
              <w:rPr>
                <w:rFonts w:hint="eastAsia"/>
                <w:sz w:val="24"/>
                <w:szCs w:val="24"/>
                <w:vertAlign w:val="baseline"/>
              </w:rPr>
            </w:pPr>
            <w:r>
              <w:rPr>
                <w:rFonts w:hint="eastAsia"/>
                <w:sz w:val="24"/>
                <w:szCs w:val="24"/>
                <w:vertAlign w:val="baseline"/>
              </w:rPr>
              <w:t>彩半球</w:t>
            </w:r>
          </w:p>
        </w:tc>
        <w:tc>
          <w:tcPr>
            <w:tcW w:w="1938" w:type="dxa"/>
          </w:tcPr>
          <w:p w14:paraId="456085F2">
            <w:pPr>
              <w:widowControl w:val="0"/>
              <w:jc w:val="both"/>
              <w:rPr>
                <w:rFonts w:hint="eastAsia"/>
                <w:sz w:val="24"/>
                <w:szCs w:val="24"/>
                <w:vertAlign w:val="baseline"/>
              </w:rPr>
            </w:pPr>
            <w:r>
              <w:rPr>
                <w:rFonts w:hint="eastAsia"/>
                <w:sz w:val="24"/>
                <w:szCs w:val="24"/>
                <w:vertAlign w:val="baseline"/>
              </w:rPr>
              <w:t>DS-2CD1345V2-LA</w:t>
            </w:r>
          </w:p>
        </w:tc>
        <w:tc>
          <w:tcPr>
            <w:tcW w:w="7812" w:type="dxa"/>
          </w:tcPr>
          <w:p w14:paraId="3C8B54D1">
            <w:pPr>
              <w:widowControl w:val="0"/>
              <w:jc w:val="both"/>
              <w:rPr>
                <w:rFonts w:hint="eastAsia"/>
                <w:sz w:val="24"/>
                <w:szCs w:val="24"/>
                <w:vertAlign w:val="baseline"/>
              </w:rPr>
            </w:pPr>
            <w:r>
              <w:rPr>
                <w:rFonts w:hint="eastAsia"/>
                <w:sz w:val="24"/>
                <w:szCs w:val="24"/>
                <w:vertAlign w:val="baseline"/>
              </w:rPr>
              <w:t>视频最大分辨率：2560 × 1440主码流帧率分辨率：50 Hz：25 fps（2560 × 1440，1920 × 1080，1280 × 720）子码流帧率分辨率：50 Hz：25 fps（768 × 432，640 × 480，640 × 360）视频压缩标准：主码流：H.265/Smart265，支持超级智能编码 子码流：H.265视频压缩码率：32 Kbps~8 MbpsH.265编码类型：Main Profile码率控制：定码率，变码率</w:t>
            </w:r>
          </w:p>
          <w:p w14:paraId="3A138607">
            <w:pPr>
              <w:widowControl w:val="0"/>
              <w:jc w:val="both"/>
              <w:rPr>
                <w:rFonts w:hint="eastAsia"/>
                <w:sz w:val="24"/>
                <w:szCs w:val="24"/>
                <w:vertAlign w:val="baseline"/>
              </w:rPr>
            </w:pPr>
            <w:r>
              <w:rPr>
                <w:rFonts w:hint="eastAsia"/>
                <w:sz w:val="24"/>
                <w:szCs w:val="24"/>
                <w:vertAlign w:val="baseline"/>
              </w:rPr>
              <w:t>SVC：支持事件普通事件：移动侦测（支持人形检测），异常音频音频压缩标准：G.711alaw/AAC-LC音频压缩码率：64 Kbps（G.711alaw）/16~64 Kbps（AAC-LC）音频采样率：8 kHz/16 kHz音频环境噪声过滤：</w:t>
            </w:r>
          </w:p>
          <w:p w14:paraId="6414CCE7">
            <w:pPr>
              <w:widowControl w:val="0"/>
              <w:jc w:val="both"/>
              <w:rPr>
                <w:rFonts w:hint="eastAsia"/>
                <w:sz w:val="24"/>
                <w:szCs w:val="24"/>
                <w:vertAlign w:val="baseline"/>
              </w:rPr>
            </w:pPr>
            <w:r>
              <w:rPr>
                <w:rFonts w:hint="eastAsia"/>
                <w:sz w:val="24"/>
                <w:szCs w:val="24"/>
                <w:vertAlign w:val="baseline"/>
              </w:rPr>
              <w:t>支持网络传输网络协议：TCP/IP，ICMP，HTTP，DHCP，DNS，RTP，RTSP，NTP，IGMP，QoS，IPv4， UDP同时预览路数：最多6路接口协议（API）：开放型网络视频接口，ISAPI，SDK，GB28181用户管理：最多32个用户，可分3级用户权限管理：管理员，操作员，普通用户客户端：</w:t>
            </w:r>
          </w:p>
          <w:p w14:paraId="177D11B2">
            <w:pPr>
              <w:widowControl w:val="0"/>
              <w:jc w:val="both"/>
              <w:rPr>
                <w:rFonts w:hint="eastAsia"/>
                <w:sz w:val="24"/>
                <w:szCs w:val="24"/>
                <w:vertAlign w:val="baseline"/>
              </w:rPr>
            </w:pPr>
            <w:r>
              <w:rPr>
                <w:rFonts w:hint="eastAsia"/>
                <w:sz w:val="24"/>
                <w:szCs w:val="24"/>
                <w:vertAlign w:val="baseline"/>
              </w:rPr>
              <w:t>iVMS-4200浏览器：使用本地服务预览：Chrome 80+，Firefox 80+，Edge 89+，Safari 13+图像smartIR：支持图像设置：镜像，饱和度，亮度，对比度，锐度，AGC，白平衡通过客户端或者浏览器可调日夜转换模式：白天，夜晚，自动，定时切换图像增强：背光补偿，强光抑制，3D数字降噪</w:t>
            </w:r>
          </w:p>
          <w:p w14:paraId="74643797">
            <w:pPr>
              <w:widowControl w:val="0"/>
              <w:jc w:val="both"/>
              <w:rPr>
                <w:rFonts w:hint="eastAsia"/>
                <w:sz w:val="24"/>
                <w:szCs w:val="24"/>
                <w:vertAlign w:val="baseline"/>
              </w:rPr>
            </w:pPr>
            <w:r>
              <w:rPr>
                <w:rFonts w:hint="eastAsia"/>
                <w:sz w:val="24"/>
                <w:szCs w:val="24"/>
                <w:vertAlign w:val="baseline"/>
              </w:rPr>
              <w:t>接口网络：1个RJ45 10 M/100 M自适应以太网口音频：1个内置麦克风</w:t>
            </w:r>
          </w:p>
          <w:p w14:paraId="08F6D5F1">
            <w:pPr>
              <w:widowControl w:val="0"/>
              <w:jc w:val="both"/>
              <w:rPr>
                <w:rFonts w:hint="eastAsia"/>
                <w:sz w:val="24"/>
                <w:szCs w:val="24"/>
                <w:vertAlign w:val="baseline"/>
              </w:rPr>
            </w:pPr>
            <w:r>
              <w:rPr>
                <w:rFonts w:hint="eastAsia"/>
                <w:sz w:val="24"/>
                <w:szCs w:val="24"/>
                <w:vertAlign w:val="baseline"/>
              </w:rPr>
              <w:t>摄像机传感器类型：1/2.7" Progressive Scan CMOS最低照度：彩色：0.005 Lux快门：1/3 s~1/100,000 s宽动态：数字宽动态日夜切换模式：ICR红外滤片式调节角度：水平：0°~360°，垂直：0°~75°，旋转：0°~360°镜头焦距&amp;视场角：2.8 mm，水平视场角：94°，垂直视场角：49°，对角视场角：114° 4 mm，水平视场角：70°，垂直视场角：35°，对角视场角：85° 6 mm，水平视场角：46°，垂直视场角：24°，对角视场角：54° 8 mm，水平视场角：43°，垂直视场角：24°，对角视场角：50°镜头接口尺寸：</w:t>
            </w:r>
          </w:p>
          <w:p w14:paraId="7842723C">
            <w:pPr>
              <w:widowControl w:val="0"/>
              <w:jc w:val="both"/>
              <w:rPr>
                <w:rFonts w:hint="eastAsia"/>
                <w:sz w:val="24"/>
                <w:szCs w:val="24"/>
                <w:vertAlign w:val="baseline"/>
              </w:rPr>
            </w:pPr>
            <w:r>
              <w:rPr>
                <w:rFonts w:hint="eastAsia"/>
                <w:sz w:val="24"/>
                <w:szCs w:val="24"/>
                <w:vertAlign w:val="baseline"/>
              </w:rPr>
              <w:t>M12最大光圈数：F2.0补光补光灯类型：智能补光，可切换白光灯、红外灯补光距离：红外光最远可达30 m，白光最远可达20 m防补光过曝：支持</w:t>
            </w:r>
          </w:p>
          <w:p w14:paraId="7298CD61">
            <w:pPr>
              <w:widowControl w:val="0"/>
              <w:jc w:val="both"/>
              <w:rPr>
                <w:rFonts w:hint="eastAsia"/>
                <w:sz w:val="24"/>
                <w:szCs w:val="24"/>
                <w:vertAlign w:val="baseline"/>
              </w:rPr>
            </w:pPr>
            <w:r>
              <w:rPr>
                <w:rFonts w:hint="eastAsia"/>
                <w:sz w:val="24"/>
                <w:szCs w:val="24"/>
                <w:vertAlign w:val="baseline"/>
              </w:rPr>
              <w:t>红外波长范围：850 nm认证防护：IP67一般规格联动方式：上传中心产品尺寸：Ø110 × 93 mm设备重量：300 g包装尺寸：145 × 145 × 128 mm</w:t>
            </w:r>
          </w:p>
          <w:p w14:paraId="5E10CF3F">
            <w:pPr>
              <w:widowControl w:val="0"/>
              <w:jc w:val="both"/>
              <w:rPr>
                <w:rFonts w:hint="eastAsia"/>
                <w:sz w:val="24"/>
                <w:szCs w:val="24"/>
                <w:vertAlign w:val="baseline"/>
              </w:rPr>
            </w:pPr>
            <w:r>
              <w:rPr>
                <w:rFonts w:hint="eastAsia"/>
                <w:sz w:val="24"/>
                <w:szCs w:val="24"/>
                <w:vertAlign w:val="baseline"/>
              </w:rPr>
              <w:t>带包装重量：470 g存储温湿度：-30 ℃~60 ℃，湿度小于95%（无凝结）</w:t>
            </w:r>
          </w:p>
          <w:p w14:paraId="37F704AB">
            <w:pPr>
              <w:widowControl w:val="0"/>
              <w:jc w:val="both"/>
              <w:rPr>
                <w:rFonts w:hint="eastAsia"/>
                <w:sz w:val="24"/>
                <w:szCs w:val="24"/>
                <w:vertAlign w:val="baseline"/>
              </w:rPr>
            </w:pPr>
            <w:r>
              <w:rPr>
                <w:rFonts w:hint="eastAsia"/>
                <w:sz w:val="24"/>
                <w:szCs w:val="24"/>
                <w:vertAlign w:val="baseline"/>
              </w:rPr>
              <w:t>启动及工作温湿度：-30 ℃~60 ℃，湿度小于95%（无凝结）通用功能：</w:t>
            </w:r>
          </w:p>
          <w:p w14:paraId="3B174F4A">
            <w:pPr>
              <w:widowControl w:val="0"/>
              <w:jc w:val="both"/>
              <w:rPr>
                <w:rFonts w:hint="eastAsia"/>
                <w:sz w:val="24"/>
                <w:szCs w:val="24"/>
                <w:vertAlign w:val="baseline"/>
              </w:rPr>
            </w:pPr>
            <w:r>
              <w:rPr>
                <w:rFonts w:hint="eastAsia"/>
                <w:sz w:val="24"/>
                <w:szCs w:val="24"/>
                <w:vertAlign w:val="baseline"/>
              </w:rPr>
              <w:t>心跳，密码保护，水印技术电流及功耗：DC：12 V，0.42 A，最大功耗：5 W PoE：IEEE 802.3af，CLASS 3，最大功耗：6.5 W（DV2型号不支持）恢复出厂设置：支持客户端或浏览器恢复供电方式：DC：12 V ± 25%，支持防反接保护 PoE：IEEE 802.3af，Class 3（DV2型号不支持）电源接口类型：Ø5.5 mm圆口产品执行标准(具体版本号以标签为准)：Q/BFW 006</w:t>
            </w:r>
          </w:p>
        </w:tc>
        <w:tc>
          <w:tcPr>
            <w:tcW w:w="813" w:type="dxa"/>
          </w:tcPr>
          <w:p w14:paraId="0B96E70F">
            <w:pPr>
              <w:widowControl w:val="0"/>
              <w:jc w:val="both"/>
              <w:rPr>
                <w:rFonts w:hint="default" w:eastAsiaTheme="minorEastAsia"/>
                <w:sz w:val="24"/>
                <w:szCs w:val="24"/>
                <w:vertAlign w:val="baseline"/>
                <w:lang w:val="en-US" w:eastAsia="zh-CN"/>
              </w:rPr>
            </w:pPr>
            <w:r>
              <w:rPr>
                <w:rFonts w:hint="eastAsia"/>
                <w:sz w:val="24"/>
                <w:szCs w:val="24"/>
                <w:vertAlign w:val="baseline"/>
                <w:lang w:val="en-US" w:eastAsia="zh-CN"/>
              </w:rPr>
              <w:t>台</w:t>
            </w:r>
          </w:p>
        </w:tc>
        <w:tc>
          <w:tcPr>
            <w:tcW w:w="1462" w:type="dxa"/>
          </w:tcPr>
          <w:p w14:paraId="15632980">
            <w:pPr>
              <w:widowControl w:val="0"/>
              <w:jc w:val="both"/>
              <w:rPr>
                <w:rFonts w:hint="default" w:eastAsiaTheme="minorEastAsia"/>
                <w:sz w:val="24"/>
                <w:szCs w:val="24"/>
                <w:vertAlign w:val="baseline"/>
                <w:lang w:val="en-US" w:eastAsia="zh-CN"/>
              </w:rPr>
            </w:pPr>
            <w:r>
              <w:rPr>
                <w:rFonts w:hint="eastAsia"/>
                <w:sz w:val="24"/>
                <w:szCs w:val="24"/>
                <w:vertAlign w:val="baseline"/>
                <w:lang w:val="en-US" w:eastAsia="zh-CN"/>
              </w:rPr>
              <w:t>18</w:t>
            </w:r>
          </w:p>
        </w:tc>
      </w:tr>
      <w:tr w14:paraId="3E030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tcPr>
          <w:p w14:paraId="7534232E">
            <w:pPr>
              <w:widowControl w:val="0"/>
              <w:jc w:val="both"/>
              <w:rPr>
                <w:rFonts w:hint="eastAsia"/>
                <w:sz w:val="24"/>
                <w:szCs w:val="24"/>
                <w:vertAlign w:val="baseline"/>
              </w:rPr>
            </w:pPr>
            <w:r>
              <w:rPr>
                <w:rFonts w:hint="eastAsia"/>
                <w:sz w:val="24"/>
                <w:szCs w:val="24"/>
                <w:vertAlign w:val="baseline"/>
              </w:rPr>
              <w:t>400万白光全彩枪机</w:t>
            </w:r>
          </w:p>
        </w:tc>
        <w:tc>
          <w:tcPr>
            <w:tcW w:w="1938" w:type="dxa"/>
          </w:tcPr>
          <w:p w14:paraId="30801716">
            <w:pPr>
              <w:widowControl w:val="0"/>
              <w:jc w:val="both"/>
              <w:rPr>
                <w:rFonts w:hint="eastAsia"/>
                <w:sz w:val="24"/>
                <w:szCs w:val="24"/>
                <w:vertAlign w:val="baseline"/>
              </w:rPr>
            </w:pPr>
            <w:r>
              <w:rPr>
                <w:rFonts w:hint="eastAsia"/>
                <w:sz w:val="24"/>
                <w:szCs w:val="24"/>
                <w:vertAlign w:val="baseline"/>
              </w:rPr>
              <w:t>DS-2CD1245-LA(POE)</w:t>
            </w:r>
          </w:p>
        </w:tc>
        <w:tc>
          <w:tcPr>
            <w:tcW w:w="7812" w:type="dxa"/>
          </w:tcPr>
          <w:p w14:paraId="2D154698">
            <w:pPr>
              <w:widowControl w:val="0"/>
              <w:jc w:val="both"/>
              <w:rPr>
                <w:rFonts w:hint="eastAsia"/>
                <w:sz w:val="24"/>
                <w:szCs w:val="24"/>
                <w:vertAlign w:val="baseline"/>
              </w:rPr>
            </w:pPr>
            <w:r>
              <w:rPr>
                <w:rFonts w:hint="eastAsia"/>
                <w:sz w:val="24"/>
                <w:szCs w:val="24"/>
                <w:vertAlign w:val="baseline"/>
              </w:rPr>
              <w:t>视频最大分辨率：2560 × 1440主码流帧率分辨率：50 Hz：25 fps（2560 × 1440，1920 × 1080，1280 × 720）子码流帧率分辨率：50 Hz：25 fps（768 × 432，640 × 480，640 × 360）视频压缩标准：主码流：H.265/H.264/Smart264/Smart265，支持超级智能编码 子码流：H.265/H.264视频压缩码率：32 Kbps~8 MbpsH.264编码类型：BaseLine Profile/Main Profile/High ProfileH.265编码类型：Main Profile码率控制：</w:t>
            </w:r>
          </w:p>
          <w:p w14:paraId="5CAD7DE1">
            <w:pPr>
              <w:widowControl w:val="0"/>
              <w:jc w:val="both"/>
              <w:rPr>
                <w:rFonts w:hint="eastAsia"/>
                <w:sz w:val="24"/>
                <w:szCs w:val="24"/>
                <w:vertAlign w:val="baseline"/>
              </w:rPr>
            </w:pPr>
            <w:r>
              <w:rPr>
                <w:rFonts w:hint="eastAsia"/>
                <w:sz w:val="24"/>
                <w:szCs w:val="24"/>
                <w:vertAlign w:val="baseline"/>
              </w:rPr>
              <w:t>定码率，变码率事件普通事件：移动侦测（支持人形检测），异常音频</w:t>
            </w:r>
          </w:p>
          <w:p w14:paraId="1DB73DB6">
            <w:pPr>
              <w:widowControl w:val="0"/>
              <w:jc w:val="both"/>
              <w:rPr>
                <w:rFonts w:hint="eastAsia"/>
                <w:sz w:val="24"/>
                <w:szCs w:val="24"/>
                <w:vertAlign w:val="baseline"/>
              </w:rPr>
            </w:pPr>
            <w:r>
              <w:rPr>
                <w:rFonts w:hint="eastAsia"/>
                <w:sz w:val="24"/>
                <w:szCs w:val="24"/>
                <w:vertAlign w:val="baseline"/>
              </w:rPr>
              <w:t>音频环境噪声过滤：支持音频采样率：8 kHz/16 kHz音频压缩标准：G.711alaw/AAC-LC音频压缩码率：64 Kbps（G.711alaw）/16~64 Kbps（AAC-LC）网络传输同时预览路数：最多6路用户管理：最多32个用户 可配置管理员、操作员、普通用户客户端：iVMS-4200浏览器：使用本地服务预览：Chrome 80+，Firefox 80+，Edge 89+，Safari 13+接口协议（API）：开放型网络视频接口，ISAPI，SDK，GB28181网络协议：TCP/IP，ICMP，HTTP，DHCP，DNS，RTP，RTSP，RTCP，NTP，IGMP，QoS，UDP，Bonjour，SSL/TLS，HTTPS，DDNS，UPnP，IPv4图像日夜转换模式：白天，夜晚，自动，定时切换图像增强：背光补偿，强光抑制，3D数字降噪图像设置：镜像，饱和度，亮度，对比度，锐度，AGC，白平衡通过客户端或者浏览器可调接口音频：1个内置麦克风网络：1个RJ45 10 M/100 M自适应以太网口摄像机传感器类型：1/2.7" Progressive Scan CMOS最低照度：彩色：0.005 Lux快门：1/3 s~1/100,000 s日夜切换模式：ICR红外滤片式宽动态：数字宽动态镜头焦距&amp;视场角：4 mm，水平视场角：70°，垂直视场角：35°，对角视场角：85° 6 mm，水平视场角：46°，垂直视场角：24°，对角视场角：54° 8 mm，水平视场角：43°，垂直视场角：24°，对角视场角：50° 12 mm，水平视场角：27°，垂直视场角：15°，对角视场角：31°最大光圈数：F2.0镜头尺寸接口：M12补光红外波长范围：850 nm防补光过曝：支持补光灯类型：智能补光，可切换白光灯、红外灯补光距离：红外光最远可达50 m，白光最远可达30 m认证防护：IP67一般规格启动及工作温湿度：-30 ℃~60 ℃，湿度小于95%（无凝结）存储温湿度：-30 ℃~60 ℃，湿度小于95%（无凝结）联动方式：上传中心通用功能：心跳，密码保护，水印技术恢复出厂设置：支持客户端或浏览器恢复供电方式：DC：12 V ± 25%，支持防反接保护 PoE机型支持：IEEE 802.3af，Class 3电流及功耗：DC：12 V，0.42 A，最大功耗：5 W PoE机型支持：IEEE 802.3af，CLASS 3，最大功耗：6.5 W电源接口类型：Ø5.5 mm圆口产品尺寸：87.1 × 83.7 × 171.7 mm包装尺寸：216 × 121 × 118 mm设备重量：360 g带包装重量：540 g产品执行标准(具体版本号以标签为准)：Q/BFW 006</w:t>
            </w:r>
          </w:p>
        </w:tc>
        <w:tc>
          <w:tcPr>
            <w:tcW w:w="813" w:type="dxa"/>
          </w:tcPr>
          <w:p w14:paraId="777A4E2A">
            <w:pPr>
              <w:widowControl w:val="0"/>
              <w:jc w:val="both"/>
              <w:rPr>
                <w:rFonts w:hint="eastAsia" w:eastAsiaTheme="minorEastAsia"/>
                <w:sz w:val="24"/>
                <w:szCs w:val="24"/>
                <w:vertAlign w:val="baseline"/>
                <w:lang w:val="en-US" w:eastAsia="zh-CN"/>
              </w:rPr>
            </w:pPr>
            <w:r>
              <w:rPr>
                <w:rFonts w:hint="eastAsia"/>
                <w:sz w:val="24"/>
                <w:szCs w:val="24"/>
                <w:vertAlign w:val="baseline"/>
                <w:lang w:val="en-US" w:eastAsia="zh-CN"/>
              </w:rPr>
              <w:t>台</w:t>
            </w:r>
          </w:p>
        </w:tc>
        <w:tc>
          <w:tcPr>
            <w:tcW w:w="1462" w:type="dxa"/>
          </w:tcPr>
          <w:p w14:paraId="63731754">
            <w:pPr>
              <w:widowControl w:val="0"/>
              <w:jc w:val="both"/>
              <w:rPr>
                <w:rFonts w:hint="eastAsia" w:eastAsiaTheme="minorEastAsia"/>
                <w:sz w:val="24"/>
                <w:szCs w:val="24"/>
                <w:vertAlign w:val="baseline"/>
                <w:lang w:val="en-US" w:eastAsia="zh-CN"/>
              </w:rPr>
            </w:pPr>
            <w:r>
              <w:rPr>
                <w:rFonts w:hint="eastAsia"/>
                <w:sz w:val="24"/>
                <w:szCs w:val="24"/>
                <w:vertAlign w:val="baseline"/>
                <w:lang w:val="en-US" w:eastAsia="zh-CN"/>
              </w:rPr>
              <w:t>2</w:t>
            </w:r>
          </w:p>
        </w:tc>
      </w:tr>
      <w:tr w14:paraId="58506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tcPr>
          <w:p w14:paraId="7CAE0DDB">
            <w:pPr>
              <w:widowControl w:val="0"/>
              <w:jc w:val="both"/>
              <w:rPr>
                <w:rFonts w:hint="eastAsia"/>
                <w:sz w:val="24"/>
                <w:szCs w:val="24"/>
                <w:vertAlign w:val="baseline"/>
              </w:rPr>
            </w:pPr>
            <w:r>
              <w:rPr>
                <w:rFonts w:hint="eastAsia"/>
                <w:sz w:val="24"/>
                <w:szCs w:val="24"/>
                <w:vertAlign w:val="baseline"/>
              </w:rPr>
              <w:t>400万警戒枪机</w:t>
            </w:r>
          </w:p>
        </w:tc>
        <w:tc>
          <w:tcPr>
            <w:tcW w:w="1938" w:type="dxa"/>
          </w:tcPr>
          <w:p w14:paraId="15EA79E5">
            <w:pPr>
              <w:widowControl w:val="0"/>
              <w:jc w:val="both"/>
              <w:rPr>
                <w:rFonts w:hint="eastAsia"/>
                <w:sz w:val="24"/>
                <w:szCs w:val="24"/>
                <w:vertAlign w:val="baseline"/>
              </w:rPr>
            </w:pPr>
            <w:r>
              <w:rPr>
                <w:rFonts w:hint="eastAsia"/>
                <w:sz w:val="24"/>
                <w:szCs w:val="24"/>
                <w:vertAlign w:val="baseline"/>
              </w:rPr>
              <w:t>DS-2CD3T46FWDA4-LS</w:t>
            </w:r>
          </w:p>
        </w:tc>
        <w:tc>
          <w:tcPr>
            <w:tcW w:w="7812" w:type="dxa"/>
          </w:tcPr>
          <w:p w14:paraId="063993E4">
            <w:pPr>
              <w:widowControl w:val="0"/>
              <w:jc w:val="both"/>
              <w:rPr>
                <w:rFonts w:hint="eastAsia"/>
                <w:sz w:val="24"/>
                <w:szCs w:val="24"/>
                <w:vertAlign w:val="baseline"/>
              </w:rPr>
            </w:pPr>
            <w:r>
              <w:rPr>
                <w:rFonts w:hint="eastAsia"/>
                <w:sz w:val="24"/>
                <w:szCs w:val="24"/>
                <w:vertAlign w:val="baseline"/>
              </w:rPr>
              <w:t>视频最大图像尺寸：2560 × 1440主码流帧率分辨率：50 Hz：25 fps（2560 × 1440，1920 × 1080，1280 × 720）子码流帧率分辨率：50 Hz：25 fps（1280 × 720, 640 × 480，640 × 360）视频压缩标准：主码流：H.265/H.264 子码流：H.265/H.264/MJPEG视频压缩码率：32 Kbps~8 MbpsH.264编码类型：BaseLine Profile/Main Profile/High ProfileH.265编码类型：Main ProfileSmart264编码：主码流支持Smart265编码：主码流支持码率控制：定码率，变码率SVC：不支持ROI：支持主码流设置1个固定区域事件报警触发：移动侦测，遮挡报警，异常Smart事件：不支持音频</w:t>
            </w:r>
          </w:p>
          <w:p w14:paraId="00592F95">
            <w:pPr>
              <w:widowControl w:val="0"/>
              <w:jc w:val="both"/>
              <w:rPr>
                <w:rFonts w:hint="eastAsia"/>
                <w:sz w:val="24"/>
                <w:szCs w:val="24"/>
                <w:vertAlign w:val="baseline"/>
              </w:rPr>
            </w:pPr>
            <w:r>
              <w:rPr>
                <w:rFonts w:hint="eastAsia"/>
                <w:sz w:val="24"/>
                <w:szCs w:val="24"/>
                <w:vertAlign w:val="baseline"/>
              </w:rPr>
              <w:t>音频压缩标准：G.711ulaw/G.711alaw/G.722.1/G.726/MP2L2/PCM/AAC-LC/MP3音频压缩码率：64 Kbps（G.711 ulaw/G.711 alaw）/16 Kbps（G.722.1）/16 Kbps（G.726）/32~160 Kbps（MP2L2）/16~64 Kbps（AAC-LC）/8~160 Kbps（MP3）音频采样率：8 kHz/16 kHz音频环境噪声过滤：支持网络传输网络协议：TCP/IP，ICMP，HTTP，HTTPS，FTP，DHCP，DNS，DDNS，RTP，RTSP，NTP，UPnP，SMTP，IGMP，802.1X，QoS，IPv6，UDP，Bonjour，SSL/TLS，WebSocket，WebSockets同时预览路数：最多6路接口协议（API）：开放型网络视频接口，ISAPI，SDK，GB28181用户管理：最多32个用户，可分3级用户权限管理：管理员，操作员，普通用户网络存储：支持NAS（NFS，SMB/CIFS均支持），支持MicroSD/MicroSDHC/MicroSDXC卡（最大256 GB），断网本地录像存储及断网续传，配合海康黑卡支持SD卡加密及SD卡状态检测</w:t>
            </w:r>
          </w:p>
          <w:p w14:paraId="04A7824E">
            <w:pPr>
              <w:widowControl w:val="0"/>
              <w:jc w:val="both"/>
              <w:rPr>
                <w:rFonts w:hint="eastAsia"/>
                <w:sz w:val="24"/>
                <w:szCs w:val="24"/>
                <w:vertAlign w:val="baseline"/>
              </w:rPr>
            </w:pPr>
            <w:r>
              <w:rPr>
                <w:rFonts w:hint="eastAsia"/>
                <w:sz w:val="24"/>
                <w:szCs w:val="24"/>
                <w:vertAlign w:val="baseline"/>
              </w:rPr>
              <w:t>客户端：iVMS-4200浏览器：使用插件预览：IE 10，IE 11 使用本地服务预览：Chrome 57.0+，Firefox 52.0+，Safari 12+图像图像设置：镜像，视频遮盖，饱和度，亮度，对比度，锐度，AGC，白平衡通过客户端或者浏览器可调日夜转换模式：白天，夜晚，自动，定时切换图像增强：背光补偿，强光抑制，3D数字降噪接口网络：1个RJ45 10 M/100 M自适应以太网口</w:t>
            </w:r>
          </w:p>
          <w:p w14:paraId="4E37E4CB">
            <w:pPr>
              <w:widowControl w:val="0"/>
              <w:jc w:val="both"/>
              <w:rPr>
                <w:rFonts w:hint="eastAsia"/>
                <w:sz w:val="24"/>
                <w:szCs w:val="24"/>
                <w:vertAlign w:val="baseline"/>
              </w:rPr>
            </w:pPr>
            <w:r>
              <w:rPr>
                <w:rFonts w:hint="eastAsia"/>
                <w:sz w:val="24"/>
                <w:szCs w:val="24"/>
                <w:vertAlign w:val="baseline"/>
              </w:rPr>
              <w:t>SD卡扩展：内置MicroSD/MicroSDHC/MicroSDXC 插槽，最大支持256 GB音频：1路输入（Line in）：2芯端子，最大输入幅值：3.3 Vpp，输入阻抗：2.2 kΩ，接口类型：非平衡 1路输出（Line out）：2芯端子，最大输出幅值：3.3 Vpp，输出阻抗：100 Ω，接口类型：非平衡 1个内置麦克风，1个内置扬声器报警：1路输入，1路输出（报警输出最大支持AC24/DC24 V，1 A）复位：支持电源输出：DC12 V，100 mA，建议用于拾音器供电摄像机传感器类型：1/3" Progressive Scan CMOS最低照度：</w:t>
            </w:r>
          </w:p>
          <w:p w14:paraId="017E990C">
            <w:pPr>
              <w:widowControl w:val="0"/>
              <w:jc w:val="both"/>
              <w:rPr>
                <w:rFonts w:hint="eastAsia"/>
                <w:sz w:val="24"/>
                <w:szCs w:val="24"/>
                <w:vertAlign w:val="baseline"/>
              </w:rPr>
            </w:pPr>
            <w:r>
              <w:rPr>
                <w:rFonts w:hint="eastAsia"/>
                <w:sz w:val="24"/>
                <w:szCs w:val="24"/>
                <w:vertAlign w:val="baseline"/>
              </w:rPr>
              <w:t>彩色：0.005 Lux @（F1.2，AGC ON），0 Lux with IR快门：1/3 s~1/100,000 s宽动态：120 dB日夜切换模式：ICR红外滤片式镜头焦距&amp;视场角：4 mm，水平视场角：78.3°，垂直视场角：42.9°，对角视场角：91.2° 6 mm，水平视场角：49.1°，垂直视场角：26.3°，对角视场角：57.2° 8 mm，水平视场角：37.5°，垂直视场角：20.7°，对角视场角：43.3° 12 mm，水平视场角：23.4°，垂直视场角：13.3°，对角视场角：26.8°</w:t>
            </w:r>
          </w:p>
          <w:p w14:paraId="25717B97">
            <w:pPr>
              <w:widowControl w:val="0"/>
              <w:jc w:val="both"/>
              <w:rPr>
                <w:rFonts w:hint="eastAsia"/>
                <w:sz w:val="24"/>
                <w:szCs w:val="24"/>
                <w:vertAlign w:val="baseline"/>
              </w:rPr>
            </w:pPr>
            <w:r>
              <w:rPr>
                <w:rFonts w:hint="eastAsia"/>
                <w:sz w:val="24"/>
                <w:szCs w:val="24"/>
                <w:vertAlign w:val="baseline"/>
              </w:rPr>
              <w:t>镜头尺寸接口：M12最大光圈数：F1.6补光补光灯类型：智能补光，可切换白光灯、红外灯防补光过曝：支持补光距离：红外光最远可达50 m，白光最远可达30 m认证防护：IP66一般规格联动方式：上传FTP/SD卡/NAS，上传中心，邮件，录像，抓图，报警输出，声音报警产品尺寸：186.6 × 92.7 × 87.6 mm包装尺寸：235 × 120 × 125 mm设备重量：615 g带包装重量：830 g启动及工作温湿度：-30 ℃~60 ℃，湿度小于95%（无凝结）通用功能：心跳，密码保护，水印，IP地址过滤，像素计算器恢复出厂设置：支持RESET按键，客户端或浏览器恢复电流及功耗：DC：12 V，0.84 A，最大功耗：10 W PoE：802.3af，36 V~57 V，0.35 A~0.22 A，最大功耗：12.5 W供电方式：DC：12 V ± 25%，支持防反接保护 PoE：802.3af，Class 3电源接口类型：Ø5.5 mm圆口专业智能人脸抓拍：支持智能警戒：区域入侵侦测，越界侦测，进入区域侦测，离开区域侦测产品执行标准(具体版本号以标签为准)：Q/BFW 006</w:t>
            </w:r>
          </w:p>
        </w:tc>
        <w:tc>
          <w:tcPr>
            <w:tcW w:w="813" w:type="dxa"/>
          </w:tcPr>
          <w:p w14:paraId="22AC0144">
            <w:pPr>
              <w:widowControl w:val="0"/>
              <w:jc w:val="both"/>
              <w:rPr>
                <w:rFonts w:hint="eastAsia" w:eastAsiaTheme="minorEastAsia"/>
                <w:sz w:val="24"/>
                <w:szCs w:val="24"/>
                <w:vertAlign w:val="baseline"/>
                <w:lang w:val="en-US" w:eastAsia="zh-CN"/>
              </w:rPr>
            </w:pPr>
            <w:r>
              <w:rPr>
                <w:rFonts w:hint="eastAsia"/>
                <w:sz w:val="24"/>
                <w:szCs w:val="24"/>
                <w:vertAlign w:val="baseline"/>
                <w:lang w:val="en-US" w:eastAsia="zh-CN"/>
              </w:rPr>
              <w:t>台</w:t>
            </w:r>
          </w:p>
        </w:tc>
        <w:tc>
          <w:tcPr>
            <w:tcW w:w="1462" w:type="dxa"/>
          </w:tcPr>
          <w:p w14:paraId="52A05F1F">
            <w:pPr>
              <w:widowControl w:val="0"/>
              <w:jc w:val="both"/>
              <w:rPr>
                <w:rFonts w:hint="eastAsia" w:eastAsiaTheme="minorEastAsia"/>
                <w:sz w:val="24"/>
                <w:szCs w:val="24"/>
                <w:vertAlign w:val="baseline"/>
                <w:lang w:val="en-US" w:eastAsia="zh-CN"/>
              </w:rPr>
            </w:pPr>
            <w:r>
              <w:rPr>
                <w:rFonts w:hint="eastAsia"/>
                <w:sz w:val="24"/>
                <w:szCs w:val="24"/>
                <w:vertAlign w:val="baseline"/>
                <w:lang w:val="en-US" w:eastAsia="zh-CN"/>
              </w:rPr>
              <w:t>1</w:t>
            </w:r>
          </w:p>
        </w:tc>
      </w:tr>
      <w:tr w14:paraId="6D99A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tcPr>
          <w:p w14:paraId="26B028E8">
            <w:pPr>
              <w:widowControl w:val="0"/>
              <w:jc w:val="both"/>
              <w:rPr>
                <w:rFonts w:hint="eastAsia"/>
                <w:sz w:val="24"/>
                <w:szCs w:val="24"/>
                <w:vertAlign w:val="baseline"/>
              </w:rPr>
            </w:pPr>
            <w:r>
              <w:rPr>
                <w:rFonts w:hint="eastAsia"/>
                <w:sz w:val="24"/>
                <w:szCs w:val="24"/>
                <w:vertAlign w:val="baseline"/>
              </w:rPr>
              <w:t>4寸400万25倍变焦球机</w:t>
            </w:r>
          </w:p>
        </w:tc>
        <w:tc>
          <w:tcPr>
            <w:tcW w:w="1938" w:type="dxa"/>
          </w:tcPr>
          <w:p w14:paraId="789B377A">
            <w:pPr>
              <w:widowControl w:val="0"/>
              <w:jc w:val="both"/>
              <w:rPr>
                <w:rFonts w:hint="eastAsia"/>
                <w:sz w:val="24"/>
                <w:szCs w:val="24"/>
                <w:vertAlign w:val="baseline"/>
              </w:rPr>
            </w:pPr>
            <w:r>
              <w:rPr>
                <w:rFonts w:hint="eastAsia"/>
                <w:sz w:val="24"/>
                <w:szCs w:val="24"/>
                <w:vertAlign w:val="baseline"/>
              </w:rPr>
              <w:t>DS-2DC4425DW-DE</w:t>
            </w:r>
          </w:p>
        </w:tc>
        <w:tc>
          <w:tcPr>
            <w:tcW w:w="7812" w:type="dxa"/>
          </w:tcPr>
          <w:p w14:paraId="5B1EECB5">
            <w:pPr>
              <w:widowControl w:val="0"/>
              <w:jc w:val="both"/>
              <w:rPr>
                <w:rFonts w:hint="eastAsia"/>
                <w:sz w:val="24"/>
                <w:szCs w:val="24"/>
                <w:vertAlign w:val="baseline"/>
              </w:rPr>
            </w:pPr>
            <w:r>
              <w:rPr>
                <w:rFonts w:hint="eastAsia"/>
                <w:sz w:val="24"/>
                <w:szCs w:val="24"/>
                <w:vertAlign w:val="baseline"/>
              </w:rPr>
              <w:t>基础参数传感器类型：1/2.8＂ progressive scan CMOS</w:t>
            </w:r>
          </w:p>
          <w:p w14:paraId="5E641024">
            <w:pPr>
              <w:widowControl w:val="0"/>
              <w:jc w:val="both"/>
              <w:rPr>
                <w:rFonts w:hint="eastAsia"/>
                <w:sz w:val="24"/>
                <w:szCs w:val="24"/>
                <w:vertAlign w:val="baseline"/>
              </w:rPr>
            </w:pPr>
            <w:r>
              <w:rPr>
                <w:rFonts w:hint="eastAsia"/>
                <w:sz w:val="24"/>
                <w:szCs w:val="24"/>
                <w:vertAlign w:val="baseline"/>
              </w:rPr>
              <w:t>最低照度：彩色：0.005Lux @ (F1.6，AGC ON)；黑白：0.001Lux @(F1.6，AGC ON) ；0 Lux with IR快门：1 s~1/30,000 s慢快门：支持</w:t>
            </w:r>
          </w:p>
          <w:p w14:paraId="3FD025A4">
            <w:pPr>
              <w:widowControl w:val="0"/>
              <w:jc w:val="both"/>
              <w:rPr>
                <w:rFonts w:hint="eastAsia"/>
                <w:sz w:val="24"/>
                <w:szCs w:val="24"/>
                <w:vertAlign w:val="baseline"/>
              </w:rPr>
            </w:pPr>
            <w:r>
              <w:rPr>
                <w:rFonts w:hint="eastAsia"/>
                <w:sz w:val="24"/>
                <w:szCs w:val="24"/>
                <w:vertAlign w:val="baseline"/>
              </w:rPr>
              <w:t>聚焦模式：半自动;手动;自动日夜转换模式：自动ICR彩转黑日夜转换方式：白天,夜晚,自动,定时切换背光补偿：支持宽动态：支持真宽动态强光抑制：支持3D降噪：支持透雾：支持区域曝光：支持区域聚焦：支持图像设置：饱和度;亮度;对比度;锐度图像参数切换：支持白平衡：手动白平衡，自动白平衡（宽），自动白平衡（窄），锁定白平衡，日光灯，白炽灯， 暖光灯，自然光数字变倍：16倍光学变倍：25倍隐私遮蔽：最多24块;支持多种颜色设置信噪比：＞52dB镜头焦距：4.8 mm~120 mm，25倍光学变倍光学变倍速度：大约3.5s视场角：水平视场角：55°~2.65°（广角~望远） 垂直视场角：33°~1.50°（广角~望远） 对角视场角：61.5°~3.03°（广角~望远）最大光圈数：F1.6云台水平范围：360°垂直范围：-15°-90°(自动翻转)</w:t>
            </w:r>
          </w:p>
          <w:p w14:paraId="707ED218">
            <w:pPr>
              <w:widowControl w:val="0"/>
              <w:jc w:val="both"/>
              <w:rPr>
                <w:rFonts w:hint="eastAsia"/>
                <w:sz w:val="24"/>
                <w:szCs w:val="24"/>
                <w:vertAlign w:val="baseline"/>
              </w:rPr>
            </w:pPr>
            <w:r>
              <w:rPr>
                <w:rFonts w:hint="eastAsia"/>
                <w:sz w:val="24"/>
                <w:szCs w:val="24"/>
                <w:vertAlign w:val="baseline"/>
              </w:rPr>
              <w:t>水平速度：水平键控速度：0.1°-80°/s,速度可设;水平预置点速度：80°/s</w:t>
            </w:r>
          </w:p>
          <w:p w14:paraId="77AF3EB8">
            <w:pPr>
              <w:widowControl w:val="0"/>
              <w:jc w:val="both"/>
              <w:rPr>
                <w:rFonts w:hint="eastAsia"/>
                <w:sz w:val="24"/>
                <w:szCs w:val="24"/>
                <w:vertAlign w:val="baseline"/>
              </w:rPr>
            </w:pPr>
            <w:r>
              <w:rPr>
                <w:rFonts w:hint="eastAsia"/>
                <w:sz w:val="24"/>
                <w:szCs w:val="24"/>
                <w:vertAlign w:val="baseline"/>
              </w:rPr>
              <w:t>垂直速度：垂直键控速度：0.1°-80°/s,速度可设;垂直预置点速度：80°/s</w:t>
            </w:r>
          </w:p>
          <w:p w14:paraId="0EF19AF3">
            <w:pPr>
              <w:widowControl w:val="0"/>
              <w:jc w:val="both"/>
              <w:rPr>
                <w:rFonts w:hint="eastAsia"/>
                <w:sz w:val="24"/>
                <w:szCs w:val="24"/>
                <w:vertAlign w:val="baseline"/>
              </w:rPr>
            </w:pPr>
            <w:r>
              <w:rPr>
                <w:rFonts w:hint="eastAsia"/>
                <w:sz w:val="24"/>
                <w:szCs w:val="24"/>
                <w:vertAlign w:val="baseline"/>
              </w:rPr>
              <w:t>比例变倍：支持预置点个数：300个巡航扫描：8条，每条可添加32个预置点花样扫描：4条断电记忆：支持守望功能：预置点;巡航扫描;花样扫描;自动扫描;垂直扫描;随机扫描;帧扫描;全景扫描3D 定位：支持方位角信息显示：支持定时任务：预置点;自动扫描;随机扫描;帧扫描;巡航扫描;花样扫描;全景扫描;垂直扫描;球机重启;球机校验;辅助输出视频最大图像尺寸：2560×1440码流类型：主码流;子码流;第三码流主码流帧率分辨率：50 Hz：25 fps（2560 × 1440，1920 × 1080，1280 × 960，1280 × 720） 60 Hz：30 fps（2560 × 1440，1920 × 1080，1280 × 960，1280 × 720）</w:t>
            </w:r>
          </w:p>
          <w:p w14:paraId="61D6AD03">
            <w:pPr>
              <w:widowControl w:val="0"/>
              <w:jc w:val="both"/>
              <w:rPr>
                <w:rFonts w:hint="eastAsia"/>
                <w:sz w:val="24"/>
                <w:szCs w:val="24"/>
                <w:vertAlign w:val="baseline"/>
              </w:rPr>
            </w:pPr>
            <w:r>
              <w:rPr>
                <w:rFonts w:hint="eastAsia"/>
                <w:sz w:val="24"/>
                <w:szCs w:val="24"/>
                <w:vertAlign w:val="baseline"/>
              </w:rPr>
              <w:t>子码流帧率分辨率：50 Hz：25 fps（704 × 576，640 × 480，352 × 288） 60 Hz：30 fps（704 × 480，640 × 480，352 × 240）</w:t>
            </w:r>
          </w:p>
          <w:p w14:paraId="54FBD946">
            <w:pPr>
              <w:widowControl w:val="0"/>
              <w:jc w:val="both"/>
              <w:rPr>
                <w:rFonts w:hint="eastAsia"/>
                <w:sz w:val="24"/>
                <w:szCs w:val="24"/>
                <w:vertAlign w:val="baseline"/>
              </w:rPr>
            </w:pPr>
            <w:r>
              <w:rPr>
                <w:rFonts w:hint="eastAsia"/>
                <w:sz w:val="24"/>
                <w:szCs w:val="24"/>
                <w:vertAlign w:val="baseline"/>
              </w:rPr>
              <w:t>第三码流帧率分辨率：50 Hz：25 fps（704 × 576，640 × 480，352 × 288） 60 Hz：30 fps（704 × 480，640 × 480，352 × 240）</w:t>
            </w:r>
          </w:p>
          <w:p w14:paraId="4A8E2B7C">
            <w:pPr>
              <w:widowControl w:val="0"/>
              <w:jc w:val="both"/>
              <w:rPr>
                <w:rFonts w:hint="eastAsia"/>
                <w:sz w:val="24"/>
                <w:szCs w:val="24"/>
                <w:vertAlign w:val="baseline"/>
              </w:rPr>
            </w:pPr>
            <w:r>
              <w:rPr>
                <w:rFonts w:hint="eastAsia"/>
                <w:sz w:val="24"/>
                <w:szCs w:val="24"/>
                <w:vertAlign w:val="baseline"/>
              </w:rPr>
              <w:t>视频压缩标准：H.265;H.264;MJPEG视频压缩码率：32 kbps~16384 kbps</w:t>
            </w:r>
          </w:p>
          <w:p w14:paraId="3CBC4268">
            <w:pPr>
              <w:widowControl w:val="0"/>
              <w:jc w:val="both"/>
              <w:rPr>
                <w:rFonts w:hint="eastAsia"/>
                <w:sz w:val="24"/>
                <w:szCs w:val="24"/>
                <w:vertAlign w:val="baseline"/>
              </w:rPr>
            </w:pPr>
            <w:r>
              <w:rPr>
                <w:rFonts w:hint="eastAsia"/>
                <w:sz w:val="24"/>
                <w:szCs w:val="24"/>
                <w:vertAlign w:val="baseline"/>
              </w:rPr>
              <w:t>H.264：Baseline Profile;Main Profile;High ProfileH.265：Main Profile</w:t>
            </w:r>
          </w:p>
          <w:p w14:paraId="79AEC595">
            <w:pPr>
              <w:widowControl w:val="0"/>
              <w:jc w:val="both"/>
              <w:rPr>
                <w:rFonts w:hint="eastAsia"/>
                <w:sz w:val="24"/>
                <w:szCs w:val="24"/>
                <w:vertAlign w:val="baseline"/>
              </w:rPr>
            </w:pPr>
            <w:r>
              <w:rPr>
                <w:rFonts w:hint="eastAsia"/>
                <w:sz w:val="24"/>
                <w:szCs w:val="24"/>
                <w:vertAlign w:val="baseline"/>
              </w:rPr>
              <w:t>Smart 264：支持Smart 265：支持SVC：支持ROI：固定区域ROI音频环境噪声过滤：支持智能普通事件：移动侦测;遮挡报警;异常Smart事件：区域入侵侦测;越界侦测;进入区域侦测;离开区域侦测报警联动：SD卡录像;邮件;上传中心;上传FTP;预置点;巡航扫描;花样扫描;NAS录像网络网络存储：NAS (NFS, SMB/ CIFS)支持协议：IPv4，IPv6，HTTP，HTTPS，802.1x，Qos，FTP，SMTP，UPnP，SNMP，DNS，DDNS，NTP，RTSP，RTCP，RTP，TCP/IP，UDP，IGMP，ICMP，DHCP，PPPoE，WebSocket，WebSockets</w:t>
            </w:r>
          </w:p>
          <w:p w14:paraId="7DEA0461">
            <w:pPr>
              <w:widowControl w:val="0"/>
              <w:jc w:val="both"/>
              <w:rPr>
                <w:rFonts w:hint="eastAsia"/>
                <w:sz w:val="24"/>
                <w:szCs w:val="24"/>
                <w:vertAlign w:val="baseline"/>
              </w:rPr>
            </w:pPr>
            <w:r>
              <w:rPr>
                <w:rFonts w:hint="eastAsia"/>
                <w:sz w:val="24"/>
                <w:szCs w:val="24"/>
                <w:vertAlign w:val="baseline"/>
              </w:rPr>
              <w:t>接口协议：ISAPI;海康SDK;第三方管理平台接入;GB/T28181协议;软件集成的开放式API;ISUP;开放型网络视频接口最大取流路数：6路用户管理：</w:t>
            </w:r>
          </w:p>
          <w:p w14:paraId="293E1435">
            <w:pPr>
              <w:widowControl w:val="0"/>
              <w:jc w:val="both"/>
              <w:rPr>
                <w:rFonts w:hint="eastAsia"/>
                <w:sz w:val="24"/>
                <w:szCs w:val="24"/>
                <w:vertAlign w:val="baseline"/>
              </w:rPr>
            </w:pPr>
            <w:r>
              <w:rPr>
                <w:rFonts w:hint="eastAsia"/>
                <w:sz w:val="24"/>
                <w:szCs w:val="24"/>
                <w:vertAlign w:val="baseline"/>
              </w:rPr>
              <w:t>32个安全管理：授权的用户名和密码;以及MAC地址绑定;HTTPS加密;IEEE 802.1x网络访问控制;IP地址过滤客户端：支持iVMS-4200客户端浏览器：Chrome80+、Firefox80+、Safari13+、Edge89+接口内置麦克风：支持双mic功能网络接口：RJ45网口，自适应10 M/100 M网络数据SD卡扩展：支持MicroSD/MicroSDHC/MicroSDXC卡，最大支持512 GB补光补光灯类型：支持红外，白光补光补光灯距离：红外：100 m，白光：30 m一般规范</w:t>
            </w:r>
          </w:p>
          <w:p w14:paraId="1AFA0529">
            <w:pPr>
              <w:widowControl w:val="0"/>
              <w:jc w:val="both"/>
              <w:rPr>
                <w:rFonts w:hint="eastAsia"/>
                <w:sz w:val="24"/>
                <w:szCs w:val="24"/>
                <w:vertAlign w:val="baseline"/>
              </w:rPr>
            </w:pPr>
            <w:r>
              <w:rPr>
                <w:rFonts w:hint="eastAsia"/>
                <w:sz w:val="24"/>
                <w:szCs w:val="24"/>
                <w:vertAlign w:val="baseline"/>
              </w:rPr>
              <w:t>使用环境说明：</w:t>
            </w:r>
          </w:p>
          <w:p w14:paraId="45284C54">
            <w:pPr>
              <w:widowControl w:val="0"/>
              <w:jc w:val="both"/>
              <w:rPr>
                <w:rFonts w:hint="eastAsia"/>
                <w:sz w:val="24"/>
                <w:szCs w:val="24"/>
                <w:vertAlign w:val="baseline"/>
              </w:rPr>
            </w:pPr>
            <w:r>
              <w:rPr>
                <w:rFonts w:hint="eastAsia"/>
                <w:sz w:val="24"/>
                <w:szCs w:val="24"/>
                <w:vertAlign w:val="baseline"/>
              </w:rPr>
              <w:t>1、请勿将设备使用在振动或冲击环境下，如车载、动车、船舶、港口塔吊、大型采矿机械上等； 2、请勿将设备使用在强腐蚀、强酸、高盐碱地区，如海上岛屿、海上平台、海上船舶、化工、熏蒸、海边（5公里以内）等特殊腐蚀环境； 3、请勿将设备应用在强电磁干扰环境，如广播塔天线主发射方向、变电站合闸区、电网输电线近区、轨道受电弓、雷达、医用核磁共振、4G/5G/FM基站天线附近等强电磁干扰高频辐射环境； 4、请勿将设备使用在极热、极冷、多尘或者长时间高湿度等环境下，参考工作温湿度要求；</w:t>
            </w:r>
          </w:p>
          <w:p w14:paraId="5CCA44F2">
            <w:pPr>
              <w:widowControl w:val="0"/>
              <w:jc w:val="both"/>
              <w:rPr>
                <w:rFonts w:hint="eastAsia"/>
                <w:sz w:val="24"/>
                <w:szCs w:val="24"/>
                <w:vertAlign w:val="baseline"/>
              </w:rPr>
            </w:pPr>
            <w:r>
              <w:rPr>
                <w:rFonts w:hint="eastAsia"/>
                <w:sz w:val="24"/>
                <w:szCs w:val="24"/>
                <w:vertAlign w:val="baseline"/>
              </w:rPr>
              <w:t>供电方式：DC12V;PoE+(802.3at)电流及功耗：最大功耗：18 W（其中除雾加热1.6 W，补光灯9 W）工作温湿度：-30℃-65℃；湿度小于90%;(无凝结)恢复出厂设置：支持除雾：加热玻璃除雾材质：铝合金ADC12尺寸：Ø164.5 × 290 mm重量：2 kg认证防护：IP66，符合GB/T 17626.5 认证标准产品执行标准(具体版本号以标签为准)：Q/BFW 006</w:t>
            </w:r>
          </w:p>
        </w:tc>
        <w:tc>
          <w:tcPr>
            <w:tcW w:w="813" w:type="dxa"/>
          </w:tcPr>
          <w:p w14:paraId="581F2744">
            <w:pPr>
              <w:widowControl w:val="0"/>
              <w:jc w:val="both"/>
              <w:rPr>
                <w:rFonts w:hint="eastAsia" w:eastAsiaTheme="minorEastAsia"/>
                <w:sz w:val="24"/>
                <w:szCs w:val="24"/>
                <w:vertAlign w:val="baseline"/>
                <w:lang w:val="en-US" w:eastAsia="zh-CN"/>
              </w:rPr>
            </w:pPr>
            <w:r>
              <w:rPr>
                <w:rFonts w:hint="eastAsia"/>
                <w:sz w:val="24"/>
                <w:szCs w:val="24"/>
                <w:vertAlign w:val="baseline"/>
                <w:lang w:val="en-US" w:eastAsia="zh-CN"/>
              </w:rPr>
              <w:t>台</w:t>
            </w:r>
          </w:p>
        </w:tc>
        <w:tc>
          <w:tcPr>
            <w:tcW w:w="1462" w:type="dxa"/>
          </w:tcPr>
          <w:p w14:paraId="2D503995">
            <w:pPr>
              <w:widowControl w:val="0"/>
              <w:jc w:val="both"/>
              <w:rPr>
                <w:rFonts w:hint="eastAsia" w:eastAsiaTheme="minorEastAsia"/>
                <w:sz w:val="24"/>
                <w:szCs w:val="24"/>
                <w:vertAlign w:val="baseline"/>
                <w:lang w:val="en-US" w:eastAsia="zh-CN"/>
              </w:rPr>
            </w:pPr>
            <w:r>
              <w:rPr>
                <w:rFonts w:hint="eastAsia"/>
                <w:sz w:val="24"/>
                <w:szCs w:val="24"/>
                <w:vertAlign w:val="baseline"/>
                <w:lang w:val="en-US" w:eastAsia="zh-CN"/>
              </w:rPr>
              <w:t>2</w:t>
            </w:r>
          </w:p>
        </w:tc>
      </w:tr>
      <w:tr w14:paraId="5AC53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1623" w:type="dxa"/>
          </w:tcPr>
          <w:p w14:paraId="4FCEC5D2">
            <w:pPr>
              <w:widowControl w:val="0"/>
              <w:jc w:val="both"/>
              <w:rPr>
                <w:rFonts w:hint="eastAsia"/>
                <w:sz w:val="24"/>
                <w:szCs w:val="24"/>
                <w:vertAlign w:val="baseline"/>
              </w:rPr>
            </w:pPr>
            <w:r>
              <w:rPr>
                <w:rFonts w:hint="eastAsia"/>
                <w:sz w:val="24"/>
                <w:szCs w:val="24"/>
                <w:vertAlign w:val="baseline"/>
              </w:rPr>
              <w:t>64路4盘位</w:t>
            </w:r>
          </w:p>
        </w:tc>
        <w:tc>
          <w:tcPr>
            <w:tcW w:w="1938" w:type="dxa"/>
          </w:tcPr>
          <w:p w14:paraId="5B72C376">
            <w:pPr>
              <w:widowControl w:val="0"/>
              <w:jc w:val="both"/>
              <w:rPr>
                <w:rFonts w:hint="eastAsia"/>
                <w:sz w:val="24"/>
                <w:szCs w:val="24"/>
                <w:vertAlign w:val="baseline"/>
              </w:rPr>
            </w:pPr>
            <w:r>
              <w:rPr>
                <w:rFonts w:hint="eastAsia"/>
                <w:sz w:val="24"/>
                <w:szCs w:val="24"/>
                <w:vertAlign w:val="baseline"/>
              </w:rPr>
              <w:t>DS-7932N-R4</w:t>
            </w:r>
          </w:p>
        </w:tc>
        <w:tc>
          <w:tcPr>
            <w:tcW w:w="7812" w:type="dxa"/>
          </w:tcPr>
          <w:p w14:paraId="526939A8">
            <w:pPr>
              <w:widowControl w:val="0"/>
              <w:jc w:val="both"/>
              <w:rPr>
                <w:rFonts w:hint="eastAsia"/>
                <w:sz w:val="24"/>
                <w:szCs w:val="24"/>
                <w:vertAlign w:val="baseline"/>
              </w:rPr>
            </w:pPr>
            <w:r>
              <w:rPr>
                <w:rFonts w:hint="eastAsia"/>
                <w:sz w:val="24"/>
                <w:szCs w:val="24"/>
                <w:vertAlign w:val="baseline"/>
              </w:rPr>
              <w:t>• 可接驳符合ONVIF、RTSP标准的众多主流厂商网络摄像机；</w:t>
            </w:r>
          </w:p>
          <w:p w14:paraId="220438A0">
            <w:pPr>
              <w:widowControl w:val="0"/>
              <w:jc w:val="both"/>
              <w:rPr>
                <w:rFonts w:hint="eastAsia"/>
                <w:sz w:val="24"/>
                <w:szCs w:val="24"/>
                <w:vertAlign w:val="baseline"/>
              </w:rPr>
            </w:pPr>
            <w:r>
              <w:rPr>
                <w:rFonts w:hint="eastAsia"/>
                <w:sz w:val="24"/>
                <w:szCs w:val="24"/>
                <w:vertAlign w:val="baseline"/>
              </w:rPr>
              <w:t>• 支持接入H.265、Smart265、H.264、Smart264视频编码码流；</w:t>
            </w:r>
          </w:p>
          <w:p w14:paraId="2C3A8099">
            <w:pPr>
              <w:widowControl w:val="0"/>
              <w:jc w:val="both"/>
              <w:rPr>
                <w:rFonts w:hint="eastAsia"/>
                <w:sz w:val="24"/>
                <w:szCs w:val="24"/>
                <w:vertAlign w:val="baseline"/>
              </w:rPr>
            </w:pPr>
            <w:r>
              <w:rPr>
                <w:rFonts w:hint="eastAsia"/>
                <w:sz w:val="24"/>
                <w:szCs w:val="24"/>
                <w:vertAlign w:val="baseline"/>
              </w:rPr>
              <w:t>• 解码性能强劲，最大支持12路1080P解码（开启SVC增强模式后，可提升至16路1080P解码）；</w:t>
            </w:r>
          </w:p>
          <w:p w14:paraId="4653F64B">
            <w:pPr>
              <w:widowControl w:val="0"/>
              <w:jc w:val="both"/>
              <w:rPr>
                <w:rFonts w:hint="eastAsia"/>
                <w:sz w:val="24"/>
                <w:szCs w:val="24"/>
                <w:vertAlign w:val="baseline"/>
              </w:rPr>
            </w:pPr>
            <w:r>
              <w:rPr>
                <w:rFonts w:hint="eastAsia"/>
                <w:sz w:val="24"/>
                <w:szCs w:val="24"/>
                <w:vertAlign w:val="baseline"/>
              </w:rPr>
              <w:t>• 支持800万像素高清网络视频的预览、存储与回放；</w:t>
            </w:r>
          </w:p>
          <w:p w14:paraId="3C8998A0">
            <w:pPr>
              <w:widowControl w:val="0"/>
              <w:jc w:val="both"/>
              <w:rPr>
                <w:rFonts w:hint="eastAsia"/>
                <w:sz w:val="24"/>
                <w:szCs w:val="24"/>
                <w:vertAlign w:val="baseline"/>
              </w:rPr>
            </w:pPr>
            <w:r>
              <w:rPr>
                <w:rFonts w:hint="eastAsia"/>
                <w:sz w:val="24"/>
                <w:szCs w:val="24"/>
                <w:vertAlign w:val="baseline"/>
              </w:rPr>
              <w:t>• 支持HDMI与VGA同/异源输出，HDMI最大支持4K超高清显示输出，VGA支持1080P高清显示输出；</w:t>
            </w:r>
          </w:p>
          <w:p w14:paraId="4229818F">
            <w:pPr>
              <w:widowControl w:val="0"/>
              <w:jc w:val="both"/>
              <w:rPr>
                <w:rFonts w:hint="eastAsia"/>
                <w:sz w:val="24"/>
                <w:szCs w:val="24"/>
                <w:vertAlign w:val="baseline"/>
              </w:rPr>
            </w:pPr>
            <w:r>
              <w:rPr>
                <w:rFonts w:hint="eastAsia"/>
                <w:sz w:val="24"/>
                <w:szCs w:val="24"/>
                <w:vertAlign w:val="baseline"/>
              </w:rPr>
              <w:t>• 自带4个SATA接口，最大支持满配10T硬盘；</w:t>
            </w:r>
          </w:p>
          <w:p w14:paraId="1FEFB379">
            <w:pPr>
              <w:widowControl w:val="0"/>
              <w:jc w:val="both"/>
              <w:rPr>
                <w:rFonts w:hint="eastAsia"/>
                <w:sz w:val="24"/>
                <w:szCs w:val="24"/>
                <w:vertAlign w:val="baseline"/>
              </w:rPr>
            </w:pPr>
            <w:r>
              <w:rPr>
                <w:rFonts w:hint="eastAsia"/>
                <w:sz w:val="24"/>
                <w:szCs w:val="24"/>
                <w:vertAlign w:val="baseline"/>
              </w:rPr>
              <w:t>• 支持IP设备集中管理，包括IP设备一键添加、参数配置、批量升级、导入/导出等；</w:t>
            </w:r>
          </w:p>
          <w:p w14:paraId="38B19B58">
            <w:pPr>
              <w:widowControl w:val="0"/>
              <w:jc w:val="both"/>
              <w:rPr>
                <w:rFonts w:hint="eastAsia"/>
                <w:sz w:val="24"/>
                <w:szCs w:val="24"/>
                <w:vertAlign w:val="baseline"/>
              </w:rPr>
            </w:pPr>
            <w:r>
              <w:rPr>
                <w:rFonts w:hint="eastAsia"/>
                <w:sz w:val="24"/>
                <w:szCs w:val="24"/>
                <w:vertAlign w:val="baseline"/>
              </w:rPr>
              <w:t>• 支持本地同步回放及多路同步倒放；</w:t>
            </w:r>
          </w:p>
          <w:p w14:paraId="1016CE60">
            <w:pPr>
              <w:widowControl w:val="0"/>
              <w:jc w:val="both"/>
              <w:rPr>
                <w:rFonts w:hint="eastAsia"/>
                <w:sz w:val="24"/>
                <w:szCs w:val="24"/>
                <w:vertAlign w:val="baseline"/>
              </w:rPr>
            </w:pPr>
            <w:r>
              <w:rPr>
                <w:rFonts w:hint="eastAsia"/>
                <w:sz w:val="24"/>
                <w:szCs w:val="24"/>
                <w:vertAlign w:val="baseline"/>
              </w:rPr>
              <w:t>• 针对人、车及事件类型，支持快速回放与智能检索功能，大幅提升录像回放和检索效率；</w:t>
            </w:r>
          </w:p>
          <w:p w14:paraId="2CC784A0">
            <w:pPr>
              <w:widowControl w:val="0"/>
              <w:jc w:val="both"/>
              <w:rPr>
                <w:rFonts w:hint="eastAsia"/>
                <w:sz w:val="24"/>
                <w:szCs w:val="24"/>
                <w:vertAlign w:val="baseline"/>
              </w:rPr>
            </w:pPr>
            <w:r>
              <w:rPr>
                <w:rFonts w:hint="eastAsia"/>
                <w:sz w:val="24"/>
                <w:szCs w:val="24"/>
                <w:vertAlign w:val="baseline"/>
              </w:rPr>
              <w:t>• 支持萤石云服务，通过海康互联APP可实现手机远程预览/回放/配置；</w:t>
            </w:r>
          </w:p>
          <w:p w14:paraId="10FB96DB">
            <w:pPr>
              <w:widowControl w:val="0"/>
              <w:jc w:val="both"/>
              <w:rPr>
                <w:rFonts w:hint="eastAsia"/>
                <w:sz w:val="24"/>
                <w:szCs w:val="24"/>
                <w:vertAlign w:val="baseline"/>
              </w:rPr>
            </w:pPr>
            <w:r>
              <w:rPr>
                <w:rFonts w:hint="eastAsia"/>
                <w:sz w:val="24"/>
                <w:szCs w:val="24"/>
                <w:vertAlign w:val="baseline"/>
              </w:rPr>
              <w:t>• 支持萤石、ISUP以及GB28181协议，轻松实现平台接入；</w:t>
            </w:r>
          </w:p>
        </w:tc>
        <w:tc>
          <w:tcPr>
            <w:tcW w:w="813" w:type="dxa"/>
          </w:tcPr>
          <w:p w14:paraId="55D222A6">
            <w:pPr>
              <w:widowControl w:val="0"/>
              <w:jc w:val="both"/>
              <w:rPr>
                <w:rFonts w:hint="eastAsia" w:eastAsiaTheme="minorEastAsia"/>
                <w:sz w:val="24"/>
                <w:szCs w:val="24"/>
                <w:vertAlign w:val="baseline"/>
                <w:lang w:val="en-US" w:eastAsia="zh-CN"/>
              </w:rPr>
            </w:pPr>
            <w:r>
              <w:rPr>
                <w:rFonts w:hint="eastAsia"/>
                <w:sz w:val="24"/>
                <w:szCs w:val="24"/>
                <w:vertAlign w:val="baseline"/>
                <w:lang w:val="en-US" w:eastAsia="zh-CN"/>
              </w:rPr>
              <w:t>台</w:t>
            </w:r>
          </w:p>
        </w:tc>
        <w:tc>
          <w:tcPr>
            <w:tcW w:w="1462" w:type="dxa"/>
          </w:tcPr>
          <w:p w14:paraId="216CAB3F">
            <w:pPr>
              <w:widowControl w:val="0"/>
              <w:jc w:val="both"/>
              <w:rPr>
                <w:rFonts w:hint="eastAsia" w:eastAsiaTheme="minorEastAsia"/>
                <w:sz w:val="24"/>
                <w:szCs w:val="24"/>
                <w:vertAlign w:val="baseline"/>
                <w:lang w:val="en-US" w:eastAsia="zh-CN"/>
              </w:rPr>
            </w:pPr>
            <w:r>
              <w:rPr>
                <w:rFonts w:hint="eastAsia"/>
                <w:sz w:val="24"/>
                <w:szCs w:val="24"/>
                <w:vertAlign w:val="baseline"/>
                <w:lang w:val="en-US" w:eastAsia="zh-CN"/>
              </w:rPr>
              <w:t>1</w:t>
            </w:r>
          </w:p>
        </w:tc>
      </w:tr>
      <w:tr w14:paraId="62127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tcPr>
          <w:p w14:paraId="3AB416A7">
            <w:pPr>
              <w:widowControl w:val="0"/>
              <w:jc w:val="both"/>
              <w:rPr>
                <w:rFonts w:hint="eastAsia"/>
                <w:sz w:val="24"/>
                <w:szCs w:val="24"/>
                <w:vertAlign w:val="baseline"/>
              </w:rPr>
            </w:pPr>
            <w:r>
              <w:rPr>
                <w:rFonts w:hint="eastAsia"/>
                <w:sz w:val="24"/>
                <w:szCs w:val="24"/>
                <w:vertAlign w:val="baseline"/>
              </w:rPr>
              <w:t>支架</w:t>
            </w:r>
          </w:p>
        </w:tc>
        <w:tc>
          <w:tcPr>
            <w:tcW w:w="1938" w:type="dxa"/>
          </w:tcPr>
          <w:p w14:paraId="2EDEEB6A">
            <w:pPr>
              <w:widowControl w:val="0"/>
              <w:jc w:val="both"/>
              <w:rPr>
                <w:rFonts w:hint="eastAsia"/>
                <w:sz w:val="24"/>
                <w:szCs w:val="24"/>
                <w:vertAlign w:val="baseline"/>
              </w:rPr>
            </w:pPr>
            <w:r>
              <w:rPr>
                <w:rFonts w:hint="eastAsia"/>
                <w:sz w:val="24"/>
                <w:szCs w:val="24"/>
                <w:vertAlign w:val="baseline"/>
              </w:rPr>
              <w:t>鸭嘴支架</w:t>
            </w:r>
          </w:p>
        </w:tc>
        <w:tc>
          <w:tcPr>
            <w:tcW w:w="7812" w:type="dxa"/>
          </w:tcPr>
          <w:p w14:paraId="7AAFED84">
            <w:pPr>
              <w:widowControl w:val="0"/>
              <w:jc w:val="both"/>
              <w:rPr>
                <w:rFonts w:hint="eastAsia"/>
                <w:sz w:val="24"/>
                <w:szCs w:val="24"/>
                <w:vertAlign w:val="baseline"/>
              </w:rPr>
            </w:pPr>
          </w:p>
        </w:tc>
        <w:tc>
          <w:tcPr>
            <w:tcW w:w="813" w:type="dxa"/>
          </w:tcPr>
          <w:p w14:paraId="426DF6B3">
            <w:pPr>
              <w:widowControl w:val="0"/>
              <w:jc w:val="both"/>
              <w:rPr>
                <w:rFonts w:hint="default" w:eastAsiaTheme="minorEastAsia"/>
                <w:sz w:val="24"/>
                <w:szCs w:val="24"/>
                <w:vertAlign w:val="baseline"/>
                <w:lang w:val="en-US" w:eastAsia="zh-CN"/>
              </w:rPr>
            </w:pPr>
            <w:r>
              <w:rPr>
                <w:rFonts w:hint="eastAsia"/>
                <w:sz w:val="24"/>
                <w:szCs w:val="24"/>
                <w:vertAlign w:val="baseline"/>
                <w:lang w:val="en-US" w:eastAsia="zh-CN"/>
              </w:rPr>
              <w:t>个</w:t>
            </w:r>
          </w:p>
        </w:tc>
        <w:tc>
          <w:tcPr>
            <w:tcW w:w="1462" w:type="dxa"/>
          </w:tcPr>
          <w:p w14:paraId="7C67865C">
            <w:pPr>
              <w:widowControl w:val="0"/>
              <w:jc w:val="both"/>
              <w:rPr>
                <w:rFonts w:hint="eastAsia" w:eastAsiaTheme="minorEastAsia"/>
                <w:sz w:val="24"/>
                <w:szCs w:val="24"/>
                <w:vertAlign w:val="baseline"/>
                <w:lang w:val="en-US" w:eastAsia="zh-CN"/>
              </w:rPr>
            </w:pPr>
            <w:r>
              <w:rPr>
                <w:rFonts w:hint="eastAsia"/>
                <w:sz w:val="24"/>
                <w:szCs w:val="24"/>
                <w:vertAlign w:val="baseline"/>
                <w:lang w:val="en-US" w:eastAsia="zh-CN"/>
              </w:rPr>
              <w:t>2</w:t>
            </w:r>
          </w:p>
        </w:tc>
      </w:tr>
      <w:tr w14:paraId="39349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tcPr>
          <w:p w14:paraId="39171191">
            <w:pPr>
              <w:widowControl w:val="0"/>
              <w:jc w:val="both"/>
              <w:rPr>
                <w:rFonts w:hint="eastAsia"/>
                <w:sz w:val="24"/>
                <w:szCs w:val="24"/>
                <w:vertAlign w:val="baseline"/>
              </w:rPr>
            </w:pPr>
            <w:r>
              <w:rPr>
                <w:rFonts w:hint="eastAsia"/>
                <w:sz w:val="24"/>
                <w:szCs w:val="24"/>
                <w:vertAlign w:val="baseline"/>
              </w:rPr>
              <w:t>硬盘</w:t>
            </w:r>
          </w:p>
        </w:tc>
        <w:tc>
          <w:tcPr>
            <w:tcW w:w="1938" w:type="dxa"/>
          </w:tcPr>
          <w:p w14:paraId="0E1596C2">
            <w:pPr>
              <w:widowControl w:val="0"/>
              <w:jc w:val="both"/>
              <w:rPr>
                <w:rFonts w:hint="default" w:eastAsiaTheme="minorEastAsia"/>
                <w:sz w:val="24"/>
                <w:szCs w:val="24"/>
                <w:vertAlign w:val="baseline"/>
                <w:lang w:val="en-US" w:eastAsia="zh-CN"/>
              </w:rPr>
            </w:pPr>
            <w:r>
              <w:rPr>
                <w:rFonts w:hint="eastAsia"/>
                <w:sz w:val="24"/>
                <w:szCs w:val="24"/>
                <w:vertAlign w:val="baseline"/>
                <w:lang w:val="en-US" w:eastAsia="zh-CN"/>
              </w:rPr>
              <w:t>10T</w:t>
            </w:r>
          </w:p>
        </w:tc>
        <w:tc>
          <w:tcPr>
            <w:tcW w:w="7812" w:type="dxa"/>
          </w:tcPr>
          <w:p w14:paraId="348488BB">
            <w:pPr>
              <w:widowControl w:val="0"/>
              <w:jc w:val="both"/>
              <w:rPr>
                <w:rFonts w:hint="eastAsia"/>
                <w:sz w:val="24"/>
                <w:szCs w:val="24"/>
                <w:vertAlign w:val="baseline"/>
              </w:rPr>
            </w:pPr>
          </w:p>
        </w:tc>
        <w:tc>
          <w:tcPr>
            <w:tcW w:w="813" w:type="dxa"/>
          </w:tcPr>
          <w:p w14:paraId="305696B0">
            <w:pPr>
              <w:widowControl w:val="0"/>
              <w:jc w:val="both"/>
              <w:rPr>
                <w:rFonts w:hint="eastAsia" w:eastAsiaTheme="minorEastAsia"/>
                <w:sz w:val="24"/>
                <w:szCs w:val="24"/>
                <w:vertAlign w:val="baseline"/>
                <w:lang w:val="en-US" w:eastAsia="zh-CN"/>
              </w:rPr>
            </w:pPr>
            <w:r>
              <w:rPr>
                <w:rFonts w:hint="eastAsia"/>
                <w:sz w:val="24"/>
                <w:szCs w:val="24"/>
                <w:vertAlign w:val="baseline"/>
                <w:lang w:val="en-US" w:eastAsia="zh-CN"/>
              </w:rPr>
              <w:t>块</w:t>
            </w:r>
          </w:p>
        </w:tc>
        <w:tc>
          <w:tcPr>
            <w:tcW w:w="1462" w:type="dxa"/>
          </w:tcPr>
          <w:p w14:paraId="1BB2BA59">
            <w:pPr>
              <w:widowControl w:val="0"/>
              <w:jc w:val="both"/>
              <w:rPr>
                <w:rFonts w:hint="eastAsia" w:eastAsiaTheme="minorEastAsia"/>
                <w:sz w:val="24"/>
                <w:szCs w:val="24"/>
                <w:vertAlign w:val="baseline"/>
                <w:lang w:val="en-US" w:eastAsia="zh-CN"/>
              </w:rPr>
            </w:pPr>
            <w:r>
              <w:rPr>
                <w:rFonts w:hint="eastAsia"/>
                <w:sz w:val="24"/>
                <w:szCs w:val="24"/>
                <w:vertAlign w:val="baseline"/>
                <w:lang w:val="en-US" w:eastAsia="zh-CN"/>
              </w:rPr>
              <w:t>4</w:t>
            </w:r>
          </w:p>
        </w:tc>
      </w:tr>
      <w:tr w14:paraId="38A50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tcPr>
          <w:p w14:paraId="00AAB212">
            <w:pPr>
              <w:widowControl w:val="0"/>
              <w:jc w:val="both"/>
              <w:rPr>
                <w:rFonts w:hint="eastAsia"/>
                <w:sz w:val="24"/>
                <w:szCs w:val="24"/>
                <w:vertAlign w:val="baseline"/>
              </w:rPr>
            </w:pPr>
            <w:r>
              <w:rPr>
                <w:rFonts w:hint="eastAsia"/>
                <w:sz w:val="24"/>
                <w:szCs w:val="24"/>
                <w:vertAlign w:val="baseline"/>
              </w:rPr>
              <w:t>电梯网桥</w:t>
            </w:r>
          </w:p>
        </w:tc>
        <w:tc>
          <w:tcPr>
            <w:tcW w:w="1938" w:type="dxa"/>
          </w:tcPr>
          <w:p w14:paraId="368CC81B">
            <w:pPr>
              <w:widowControl w:val="0"/>
              <w:jc w:val="both"/>
              <w:rPr>
                <w:rFonts w:hint="eastAsia"/>
                <w:sz w:val="24"/>
                <w:szCs w:val="24"/>
                <w:vertAlign w:val="baseline"/>
              </w:rPr>
            </w:pPr>
            <w:r>
              <w:rPr>
                <w:rFonts w:hint="eastAsia"/>
                <w:sz w:val="24"/>
                <w:szCs w:val="24"/>
                <w:vertAlign w:val="baseline"/>
              </w:rPr>
              <w:t>DS-3WF-XE100-E(B)(国内标配)</w:t>
            </w:r>
          </w:p>
        </w:tc>
        <w:tc>
          <w:tcPr>
            <w:tcW w:w="7812" w:type="dxa"/>
          </w:tcPr>
          <w:p w14:paraId="6461E2C0">
            <w:pPr>
              <w:widowControl w:val="0"/>
              <w:jc w:val="both"/>
              <w:rPr>
                <w:rFonts w:hint="eastAsia"/>
                <w:sz w:val="24"/>
                <w:szCs w:val="24"/>
                <w:vertAlign w:val="baseline"/>
              </w:rPr>
            </w:pPr>
            <w:r>
              <w:rPr>
                <w:rFonts w:hint="eastAsia"/>
                <w:sz w:val="24"/>
                <w:szCs w:val="24"/>
                <w:vertAlign w:val="baseline"/>
              </w:rPr>
              <w:t>• 可靠：无线抗干扰 故障可自愈</w:t>
            </w:r>
          </w:p>
          <w:p w14:paraId="082F1124">
            <w:pPr>
              <w:widowControl w:val="0"/>
              <w:jc w:val="both"/>
              <w:rPr>
                <w:rFonts w:hint="eastAsia"/>
                <w:sz w:val="24"/>
                <w:szCs w:val="24"/>
                <w:vertAlign w:val="baseline"/>
              </w:rPr>
            </w:pPr>
            <w:r>
              <w:rPr>
                <w:rFonts w:hint="eastAsia"/>
                <w:sz w:val="24"/>
                <w:szCs w:val="24"/>
                <w:vertAlign w:val="baseline"/>
              </w:rPr>
              <w:t>• 智简：客户端统一管理、拓扑可视化、智能运维。</w:t>
            </w:r>
          </w:p>
          <w:p w14:paraId="5733BED2">
            <w:pPr>
              <w:widowControl w:val="0"/>
              <w:jc w:val="both"/>
              <w:rPr>
                <w:rFonts w:hint="eastAsia"/>
                <w:sz w:val="24"/>
                <w:szCs w:val="24"/>
                <w:vertAlign w:val="baseline"/>
              </w:rPr>
            </w:pPr>
            <w:r>
              <w:rPr>
                <w:rFonts w:hint="eastAsia"/>
                <w:sz w:val="24"/>
                <w:szCs w:val="24"/>
                <w:vertAlign w:val="baseline"/>
              </w:rPr>
              <w:t>• 成对包装，免配置。</w:t>
            </w:r>
          </w:p>
          <w:p w14:paraId="6FABFB0D">
            <w:pPr>
              <w:widowControl w:val="0"/>
              <w:jc w:val="both"/>
              <w:rPr>
                <w:rFonts w:hint="eastAsia"/>
                <w:sz w:val="24"/>
                <w:szCs w:val="24"/>
                <w:vertAlign w:val="baseline"/>
              </w:rPr>
            </w:pPr>
            <w:r>
              <w:rPr>
                <w:rFonts w:hint="eastAsia"/>
                <w:sz w:val="24"/>
                <w:szCs w:val="24"/>
                <w:vertAlign w:val="baseline"/>
              </w:rPr>
              <w:t>• 传输稳定不卡顿</w:t>
            </w:r>
          </w:p>
        </w:tc>
        <w:tc>
          <w:tcPr>
            <w:tcW w:w="813" w:type="dxa"/>
          </w:tcPr>
          <w:p w14:paraId="2755E814">
            <w:pPr>
              <w:widowControl w:val="0"/>
              <w:jc w:val="both"/>
              <w:rPr>
                <w:rFonts w:hint="eastAsia" w:eastAsiaTheme="minorEastAsia"/>
                <w:sz w:val="24"/>
                <w:szCs w:val="24"/>
                <w:vertAlign w:val="baseline"/>
                <w:lang w:val="en-US" w:eastAsia="zh-CN"/>
              </w:rPr>
            </w:pPr>
            <w:r>
              <w:rPr>
                <w:rFonts w:hint="eastAsia"/>
                <w:sz w:val="24"/>
                <w:szCs w:val="24"/>
                <w:vertAlign w:val="baseline"/>
                <w:lang w:val="en-US" w:eastAsia="zh-CN"/>
              </w:rPr>
              <w:t>对</w:t>
            </w:r>
          </w:p>
        </w:tc>
        <w:tc>
          <w:tcPr>
            <w:tcW w:w="1462" w:type="dxa"/>
          </w:tcPr>
          <w:p w14:paraId="20C41B18">
            <w:pPr>
              <w:widowControl w:val="0"/>
              <w:jc w:val="both"/>
              <w:rPr>
                <w:rFonts w:hint="eastAsia" w:eastAsiaTheme="minorEastAsia"/>
                <w:sz w:val="24"/>
                <w:szCs w:val="24"/>
                <w:vertAlign w:val="baseline"/>
                <w:lang w:val="en-US" w:eastAsia="zh-CN"/>
              </w:rPr>
            </w:pPr>
            <w:r>
              <w:rPr>
                <w:rFonts w:hint="eastAsia"/>
                <w:sz w:val="24"/>
                <w:szCs w:val="24"/>
                <w:vertAlign w:val="baseline"/>
                <w:lang w:val="en-US" w:eastAsia="zh-CN"/>
              </w:rPr>
              <w:t>1</w:t>
            </w:r>
          </w:p>
        </w:tc>
      </w:tr>
      <w:tr w14:paraId="2D3DB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tcPr>
          <w:p w14:paraId="5F7017FA">
            <w:pPr>
              <w:widowControl w:val="0"/>
              <w:jc w:val="both"/>
              <w:rPr>
                <w:rFonts w:hint="eastAsia"/>
                <w:sz w:val="24"/>
                <w:szCs w:val="24"/>
                <w:vertAlign w:val="baseline"/>
              </w:rPr>
            </w:pPr>
            <w:r>
              <w:rPr>
                <w:rFonts w:hint="eastAsia"/>
                <w:sz w:val="24"/>
                <w:szCs w:val="24"/>
                <w:vertAlign w:val="baseline"/>
              </w:rPr>
              <w:t>光纤收发器</w:t>
            </w:r>
          </w:p>
        </w:tc>
        <w:tc>
          <w:tcPr>
            <w:tcW w:w="1938" w:type="dxa"/>
          </w:tcPr>
          <w:p w14:paraId="07BBDA23">
            <w:pPr>
              <w:widowControl w:val="0"/>
              <w:jc w:val="both"/>
              <w:rPr>
                <w:rFonts w:hint="eastAsia"/>
                <w:sz w:val="24"/>
                <w:szCs w:val="24"/>
                <w:vertAlign w:val="baseline"/>
              </w:rPr>
            </w:pPr>
            <w:r>
              <w:rPr>
                <w:rFonts w:hint="eastAsia"/>
                <w:sz w:val="24"/>
                <w:szCs w:val="24"/>
                <w:vertAlign w:val="baseline"/>
              </w:rPr>
              <w:t>GNT-G2913AB</w:t>
            </w:r>
          </w:p>
        </w:tc>
        <w:tc>
          <w:tcPr>
            <w:tcW w:w="7812" w:type="dxa"/>
          </w:tcPr>
          <w:p w14:paraId="1C777D0E">
            <w:pPr>
              <w:widowControl w:val="0"/>
              <w:jc w:val="both"/>
              <w:rPr>
                <w:rFonts w:hint="eastAsia"/>
                <w:sz w:val="24"/>
                <w:szCs w:val="24"/>
                <w:vertAlign w:val="baseline"/>
              </w:rPr>
            </w:pPr>
            <w:r>
              <w:rPr>
                <w:rFonts w:hint="eastAsia"/>
                <w:sz w:val="24"/>
                <w:szCs w:val="24"/>
                <w:vertAlign w:val="baseline"/>
              </w:rPr>
              <w:t>千兆单模单纤3公里光纤收发器SC(A13+B15+12V)</w:t>
            </w:r>
          </w:p>
          <w:p w14:paraId="66E17CC3">
            <w:pPr>
              <w:widowControl w:val="0"/>
              <w:jc w:val="both"/>
              <w:rPr>
                <w:rFonts w:hint="eastAsia"/>
                <w:sz w:val="24"/>
                <w:szCs w:val="24"/>
                <w:vertAlign w:val="baseline"/>
              </w:rPr>
            </w:pPr>
            <w:r>
              <w:rPr>
                <w:rFonts w:hint="eastAsia"/>
                <w:sz w:val="24"/>
                <w:szCs w:val="24"/>
                <w:vertAlign w:val="baseline"/>
              </w:rPr>
              <w:t>◆ 1光1电，SC接口，可上光纤收发器机架</w:t>
            </w:r>
          </w:p>
          <w:p w14:paraId="395824CC">
            <w:pPr>
              <w:widowControl w:val="0"/>
              <w:jc w:val="both"/>
              <w:rPr>
                <w:rFonts w:hint="eastAsia"/>
                <w:sz w:val="24"/>
                <w:szCs w:val="24"/>
                <w:vertAlign w:val="baseline"/>
              </w:rPr>
            </w:pPr>
            <w:r>
              <w:rPr>
                <w:rFonts w:hint="eastAsia"/>
                <w:sz w:val="24"/>
                <w:szCs w:val="24"/>
                <w:vertAlign w:val="baseline"/>
              </w:rPr>
              <w:t>◆ 传输距离：千兆3KM</w:t>
            </w:r>
          </w:p>
          <w:p w14:paraId="4A7D95D5">
            <w:pPr>
              <w:widowControl w:val="0"/>
              <w:jc w:val="both"/>
              <w:rPr>
                <w:rFonts w:hint="eastAsia"/>
                <w:sz w:val="24"/>
                <w:szCs w:val="24"/>
                <w:vertAlign w:val="baseline"/>
              </w:rPr>
            </w:pPr>
            <w:r>
              <w:rPr>
                <w:rFonts w:hint="eastAsia"/>
                <w:sz w:val="24"/>
                <w:szCs w:val="24"/>
                <w:vertAlign w:val="baseline"/>
              </w:rPr>
              <w:t>◆ A端1310T/1550R  B端1550T/1310R</w:t>
            </w:r>
          </w:p>
          <w:p w14:paraId="11A8573C">
            <w:pPr>
              <w:widowControl w:val="0"/>
              <w:jc w:val="both"/>
              <w:rPr>
                <w:rFonts w:hint="eastAsia"/>
                <w:sz w:val="24"/>
                <w:szCs w:val="24"/>
                <w:vertAlign w:val="baseline"/>
              </w:rPr>
            </w:pPr>
            <w:r>
              <w:rPr>
                <w:rFonts w:hint="eastAsia"/>
                <w:sz w:val="24"/>
                <w:szCs w:val="24"/>
                <w:vertAlign w:val="baseline"/>
              </w:rPr>
              <w:t>◆ DC5~12V  ◆ 尺寸：70*26*93mm</w:t>
            </w:r>
          </w:p>
        </w:tc>
        <w:tc>
          <w:tcPr>
            <w:tcW w:w="813" w:type="dxa"/>
          </w:tcPr>
          <w:p w14:paraId="25D9C3E2">
            <w:pPr>
              <w:widowControl w:val="0"/>
              <w:jc w:val="both"/>
              <w:rPr>
                <w:rFonts w:hint="default" w:eastAsiaTheme="minorEastAsia"/>
                <w:sz w:val="24"/>
                <w:szCs w:val="24"/>
                <w:vertAlign w:val="baseline"/>
                <w:lang w:val="en-US" w:eastAsia="zh-CN"/>
              </w:rPr>
            </w:pPr>
            <w:r>
              <w:rPr>
                <w:rFonts w:hint="eastAsia"/>
                <w:sz w:val="24"/>
                <w:szCs w:val="24"/>
                <w:vertAlign w:val="baseline"/>
                <w:lang w:val="en-US" w:eastAsia="zh-CN"/>
              </w:rPr>
              <w:t>对</w:t>
            </w:r>
          </w:p>
        </w:tc>
        <w:tc>
          <w:tcPr>
            <w:tcW w:w="1462" w:type="dxa"/>
          </w:tcPr>
          <w:p w14:paraId="722E56DB">
            <w:pPr>
              <w:widowControl w:val="0"/>
              <w:jc w:val="both"/>
              <w:rPr>
                <w:rFonts w:hint="eastAsia" w:eastAsiaTheme="minorEastAsia"/>
                <w:sz w:val="24"/>
                <w:szCs w:val="24"/>
                <w:vertAlign w:val="baseline"/>
                <w:lang w:val="en-US" w:eastAsia="zh-CN"/>
              </w:rPr>
            </w:pPr>
            <w:r>
              <w:rPr>
                <w:rFonts w:hint="eastAsia"/>
                <w:sz w:val="24"/>
                <w:szCs w:val="24"/>
                <w:vertAlign w:val="baseline"/>
                <w:lang w:val="en-US" w:eastAsia="zh-CN"/>
              </w:rPr>
              <w:t>1</w:t>
            </w:r>
          </w:p>
        </w:tc>
      </w:tr>
      <w:tr w14:paraId="6D99A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tcPr>
          <w:p w14:paraId="090DC951">
            <w:pPr>
              <w:widowControl w:val="0"/>
              <w:jc w:val="both"/>
              <w:rPr>
                <w:rFonts w:hint="eastAsia"/>
                <w:sz w:val="24"/>
                <w:szCs w:val="24"/>
                <w:vertAlign w:val="baseline"/>
              </w:rPr>
            </w:pPr>
            <w:r>
              <w:rPr>
                <w:rFonts w:hint="eastAsia"/>
                <w:sz w:val="24"/>
                <w:szCs w:val="24"/>
                <w:vertAlign w:val="baseline"/>
              </w:rPr>
              <w:t>24口千兆交换机</w:t>
            </w:r>
          </w:p>
        </w:tc>
        <w:tc>
          <w:tcPr>
            <w:tcW w:w="1938" w:type="dxa"/>
          </w:tcPr>
          <w:p w14:paraId="4CA07E0F">
            <w:pPr>
              <w:widowControl w:val="0"/>
              <w:jc w:val="both"/>
              <w:rPr>
                <w:rFonts w:hint="eastAsia"/>
                <w:sz w:val="24"/>
                <w:szCs w:val="24"/>
                <w:vertAlign w:val="baseline"/>
              </w:rPr>
            </w:pPr>
            <w:r>
              <w:rPr>
                <w:rFonts w:hint="eastAsia"/>
                <w:sz w:val="24"/>
                <w:szCs w:val="24"/>
                <w:vertAlign w:val="baseline"/>
              </w:rPr>
              <w:t>BS216</w:t>
            </w:r>
          </w:p>
        </w:tc>
        <w:tc>
          <w:tcPr>
            <w:tcW w:w="7812" w:type="dxa"/>
          </w:tcPr>
          <w:p w14:paraId="4C66F24A">
            <w:pPr>
              <w:widowControl w:val="0"/>
              <w:jc w:val="both"/>
              <w:rPr>
                <w:rFonts w:hint="eastAsia"/>
                <w:sz w:val="24"/>
                <w:szCs w:val="24"/>
                <w:vertAlign w:val="baseline"/>
              </w:rPr>
            </w:pPr>
          </w:p>
        </w:tc>
        <w:tc>
          <w:tcPr>
            <w:tcW w:w="813" w:type="dxa"/>
          </w:tcPr>
          <w:p w14:paraId="3DD4FCCA">
            <w:pPr>
              <w:widowControl w:val="0"/>
              <w:jc w:val="both"/>
              <w:rPr>
                <w:rFonts w:hint="eastAsia" w:eastAsiaTheme="minorEastAsia"/>
                <w:sz w:val="24"/>
                <w:szCs w:val="24"/>
                <w:vertAlign w:val="baseline"/>
                <w:lang w:val="en-US" w:eastAsia="zh-CN"/>
              </w:rPr>
            </w:pPr>
            <w:r>
              <w:rPr>
                <w:rFonts w:hint="eastAsia"/>
                <w:sz w:val="24"/>
                <w:szCs w:val="24"/>
                <w:vertAlign w:val="baseline"/>
                <w:lang w:val="en-US" w:eastAsia="zh-CN"/>
              </w:rPr>
              <w:t>台</w:t>
            </w:r>
          </w:p>
        </w:tc>
        <w:tc>
          <w:tcPr>
            <w:tcW w:w="1462" w:type="dxa"/>
          </w:tcPr>
          <w:p w14:paraId="41EA3EEF">
            <w:pPr>
              <w:widowControl w:val="0"/>
              <w:jc w:val="both"/>
              <w:rPr>
                <w:rFonts w:hint="eastAsia" w:eastAsiaTheme="minorEastAsia"/>
                <w:sz w:val="24"/>
                <w:szCs w:val="24"/>
                <w:vertAlign w:val="baseline"/>
                <w:lang w:val="en-US" w:eastAsia="zh-CN"/>
              </w:rPr>
            </w:pPr>
            <w:r>
              <w:rPr>
                <w:rFonts w:hint="eastAsia"/>
                <w:sz w:val="24"/>
                <w:szCs w:val="24"/>
                <w:vertAlign w:val="baseline"/>
                <w:lang w:val="en-US" w:eastAsia="zh-CN"/>
              </w:rPr>
              <w:t>1</w:t>
            </w:r>
          </w:p>
        </w:tc>
      </w:tr>
      <w:tr w14:paraId="31409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tcPr>
          <w:p w14:paraId="5F388BE4">
            <w:pPr>
              <w:widowControl w:val="0"/>
              <w:jc w:val="both"/>
              <w:rPr>
                <w:rFonts w:hint="eastAsia"/>
                <w:sz w:val="24"/>
                <w:szCs w:val="24"/>
                <w:vertAlign w:val="baseline"/>
              </w:rPr>
            </w:pPr>
            <w:r>
              <w:rPr>
                <w:rFonts w:hint="eastAsia"/>
                <w:sz w:val="24"/>
                <w:szCs w:val="24"/>
                <w:vertAlign w:val="baseline"/>
              </w:rPr>
              <w:t>16口上联千兆POE交换机</w:t>
            </w:r>
          </w:p>
        </w:tc>
        <w:tc>
          <w:tcPr>
            <w:tcW w:w="1938" w:type="dxa"/>
          </w:tcPr>
          <w:p w14:paraId="63DF7C01">
            <w:pPr>
              <w:widowControl w:val="0"/>
              <w:jc w:val="both"/>
              <w:rPr>
                <w:rFonts w:hint="eastAsia"/>
                <w:sz w:val="24"/>
                <w:szCs w:val="24"/>
                <w:vertAlign w:val="baseline"/>
              </w:rPr>
            </w:pPr>
            <w:r>
              <w:rPr>
                <w:rFonts w:hint="eastAsia"/>
                <w:sz w:val="24"/>
                <w:szCs w:val="24"/>
                <w:vertAlign w:val="baseline"/>
              </w:rPr>
              <w:t>GNT-ES18UD-P</w:t>
            </w:r>
          </w:p>
        </w:tc>
        <w:tc>
          <w:tcPr>
            <w:tcW w:w="7812" w:type="dxa"/>
          </w:tcPr>
          <w:p w14:paraId="09B805B0">
            <w:pPr>
              <w:widowControl w:val="0"/>
              <w:jc w:val="both"/>
              <w:rPr>
                <w:rFonts w:hint="eastAsia"/>
                <w:sz w:val="24"/>
                <w:szCs w:val="24"/>
                <w:vertAlign w:val="baseline"/>
              </w:rPr>
            </w:pPr>
            <w:r>
              <w:rPr>
                <w:rFonts w:hint="eastAsia"/>
                <w:sz w:val="24"/>
                <w:szCs w:val="24"/>
                <w:vertAlign w:val="baseline"/>
              </w:rPr>
              <w:t>18口千兆POE交换机(2G+2EP6+14EP/240W)</w:t>
            </w:r>
          </w:p>
          <w:p w14:paraId="65317EB4">
            <w:pPr>
              <w:widowControl w:val="0"/>
              <w:jc w:val="both"/>
              <w:rPr>
                <w:rFonts w:hint="eastAsia"/>
                <w:sz w:val="24"/>
                <w:szCs w:val="24"/>
                <w:vertAlign w:val="baseline"/>
              </w:rPr>
            </w:pPr>
            <w:r>
              <w:rPr>
                <w:rFonts w:hint="eastAsia"/>
                <w:sz w:val="24"/>
                <w:szCs w:val="24"/>
                <w:vertAlign w:val="baseline"/>
              </w:rPr>
              <w:t>◆ PoE1~14口 支持af/at协议，10/100M自适应</w:t>
            </w:r>
          </w:p>
          <w:p w14:paraId="4DD2A9BB">
            <w:pPr>
              <w:widowControl w:val="0"/>
              <w:jc w:val="both"/>
              <w:rPr>
                <w:rFonts w:hint="eastAsia"/>
                <w:sz w:val="24"/>
                <w:szCs w:val="24"/>
                <w:vertAlign w:val="baseline"/>
              </w:rPr>
            </w:pPr>
            <w:r>
              <w:rPr>
                <w:rFonts w:hint="eastAsia"/>
                <w:sz w:val="24"/>
                <w:szCs w:val="24"/>
                <w:vertAlign w:val="baseline"/>
              </w:rPr>
              <w:t>◆ PoE15~16口 支持bt协议，10/100M自适应</w:t>
            </w:r>
          </w:p>
          <w:p w14:paraId="21E7BCE8">
            <w:pPr>
              <w:widowControl w:val="0"/>
              <w:jc w:val="both"/>
              <w:rPr>
                <w:rFonts w:hint="eastAsia"/>
                <w:sz w:val="24"/>
                <w:szCs w:val="24"/>
                <w:vertAlign w:val="baseline"/>
              </w:rPr>
            </w:pPr>
            <w:r>
              <w:rPr>
                <w:rFonts w:hint="eastAsia"/>
                <w:sz w:val="24"/>
                <w:szCs w:val="24"/>
                <w:vertAlign w:val="baseline"/>
              </w:rPr>
              <w:t>◆ LAN1~2口 10/100/1000M上联    ◆ PoE1~15口支持250米传输</w:t>
            </w:r>
          </w:p>
          <w:p w14:paraId="4779AC03">
            <w:pPr>
              <w:widowControl w:val="0"/>
              <w:jc w:val="both"/>
              <w:rPr>
                <w:rFonts w:hint="eastAsia"/>
                <w:sz w:val="24"/>
                <w:szCs w:val="24"/>
                <w:vertAlign w:val="baseline"/>
              </w:rPr>
            </w:pPr>
            <w:r>
              <w:rPr>
                <w:rFonts w:hint="eastAsia"/>
                <w:sz w:val="24"/>
                <w:szCs w:val="24"/>
                <w:vertAlign w:val="baseline"/>
              </w:rPr>
              <w:t>◆ 交换容量与包转发率：7.2Gbps/5.35Mpps</w:t>
            </w:r>
          </w:p>
          <w:p w14:paraId="42E030D8">
            <w:pPr>
              <w:widowControl w:val="0"/>
              <w:jc w:val="both"/>
              <w:rPr>
                <w:rFonts w:hint="eastAsia"/>
                <w:sz w:val="24"/>
                <w:szCs w:val="24"/>
                <w:vertAlign w:val="baseline"/>
              </w:rPr>
            </w:pPr>
            <w:r>
              <w:rPr>
                <w:rFonts w:hint="eastAsia"/>
                <w:sz w:val="24"/>
                <w:szCs w:val="24"/>
                <w:vertAlign w:val="baseline"/>
              </w:rPr>
              <w:t>◆ 支持8芯1245+/3678- 供电可达30W或bt端口可达60W</w:t>
            </w:r>
          </w:p>
          <w:p w14:paraId="3E90C86E">
            <w:pPr>
              <w:widowControl w:val="0"/>
              <w:jc w:val="both"/>
              <w:rPr>
                <w:rFonts w:hint="eastAsia"/>
                <w:sz w:val="24"/>
                <w:szCs w:val="24"/>
                <w:vertAlign w:val="baseline"/>
              </w:rPr>
            </w:pPr>
            <w:r>
              <w:rPr>
                <w:rFonts w:hint="eastAsia"/>
                <w:sz w:val="24"/>
                <w:szCs w:val="24"/>
                <w:vertAlign w:val="baseline"/>
              </w:rPr>
              <w:t>◆ 输入AC180V~264V，整机功率240W，电源内置</w:t>
            </w:r>
          </w:p>
          <w:p w14:paraId="244781BF">
            <w:pPr>
              <w:widowControl w:val="0"/>
              <w:jc w:val="both"/>
              <w:rPr>
                <w:rFonts w:hint="eastAsia"/>
                <w:sz w:val="24"/>
                <w:szCs w:val="24"/>
                <w:vertAlign w:val="baseline"/>
              </w:rPr>
            </w:pPr>
            <w:r>
              <w:rPr>
                <w:rFonts w:hint="eastAsia"/>
                <w:sz w:val="24"/>
                <w:szCs w:val="24"/>
                <w:vertAlign w:val="baseline"/>
              </w:rPr>
              <w:t>◆ 尺寸：270*168*44mm</w:t>
            </w:r>
          </w:p>
        </w:tc>
        <w:tc>
          <w:tcPr>
            <w:tcW w:w="813" w:type="dxa"/>
          </w:tcPr>
          <w:p w14:paraId="560C75E2">
            <w:pPr>
              <w:widowControl w:val="0"/>
              <w:jc w:val="both"/>
              <w:rPr>
                <w:rFonts w:hint="eastAsia" w:eastAsiaTheme="minorEastAsia"/>
                <w:sz w:val="24"/>
                <w:szCs w:val="24"/>
                <w:vertAlign w:val="baseline"/>
                <w:lang w:val="en-US" w:eastAsia="zh-CN"/>
              </w:rPr>
            </w:pPr>
            <w:r>
              <w:rPr>
                <w:rFonts w:hint="eastAsia"/>
                <w:sz w:val="24"/>
                <w:szCs w:val="24"/>
                <w:vertAlign w:val="baseline"/>
                <w:lang w:val="en-US" w:eastAsia="zh-CN"/>
              </w:rPr>
              <w:t>台</w:t>
            </w:r>
          </w:p>
        </w:tc>
        <w:tc>
          <w:tcPr>
            <w:tcW w:w="1462" w:type="dxa"/>
          </w:tcPr>
          <w:p w14:paraId="6EAA91CB">
            <w:pPr>
              <w:widowControl w:val="0"/>
              <w:jc w:val="both"/>
              <w:rPr>
                <w:rFonts w:hint="eastAsia" w:eastAsiaTheme="minorEastAsia"/>
                <w:sz w:val="24"/>
                <w:szCs w:val="24"/>
                <w:vertAlign w:val="baseline"/>
                <w:lang w:val="en-US" w:eastAsia="zh-CN"/>
              </w:rPr>
            </w:pPr>
            <w:r>
              <w:rPr>
                <w:rFonts w:hint="eastAsia"/>
                <w:sz w:val="24"/>
                <w:szCs w:val="24"/>
                <w:vertAlign w:val="baseline"/>
                <w:lang w:val="en-US" w:eastAsia="zh-CN"/>
              </w:rPr>
              <w:t>1</w:t>
            </w:r>
          </w:p>
        </w:tc>
      </w:tr>
      <w:tr w14:paraId="56AAC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tcPr>
          <w:p w14:paraId="3860EF10">
            <w:pPr>
              <w:widowControl w:val="0"/>
              <w:jc w:val="both"/>
              <w:rPr>
                <w:rFonts w:hint="eastAsia"/>
                <w:sz w:val="24"/>
                <w:szCs w:val="24"/>
                <w:vertAlign w:val="baseline"/>
              </w:rPr>
            </w:pPr>
            <w:r>
              <w:rPr>
                <w:rFonts w:hint="eastAsia"/>
                <w:sz w:val="24"/>
                <w:szCs w:val="24"/>
                <w:vertAlign w:val="baseline"/>
              </w:rPr>
              <w:t>8口上联千兆POE交换机</w:t>
            </w:r>
          </w:p>
        </w:tc>
        <w:tc>
          <w:tcPr>
            <w:tcW w:w="1938" w:type="dxa"/>
          </w:tcPr>
          <w:p w14:paraId="219D86DA">
            <w:pPr>
              <w:widowControl w:val="0"/>
              <w:jc w:val="both"/>
              <w:rPr>
                <w:rFonts w:hint="eastAsia"/>
                <w:sz w:val="24"/>
                <w:szCs w:val="24"/>
                <w:vertAlign w:val="baseline"/>
              </w:rPr>
            </w:pPr>
            <w:r>
              <w:rPr>
                <w:rFonts w:hint="eastAsia"/>
                <w:sz w:val="24"/>
                <w:szCs w:val="24"/>
                <w:vertAlign w:val="baseline"/>
              </w:rPr>
              <w:t>GNT-P1210ES</w:t>
            </w:r>
          </w:p>
        </w:tc>
        <w:tc>
          <w:tcPr>
            <w:tcW w:w="7812" w:type="dxa"/>
          </w:tcPr>
          <w:p w14:paraId="1DA56A40">
            <w:pPr>
              <w:widowControl w:val="0"/>
              <w:jc w:val="both"/>
              <w:rPr>
                <w:rFonts w:hint="eastAsia"/>
                <w:sz w:val="24"/>
                <w:szCs w:val="24"/>
                <w:vertAlign w:val="baseline"/>
              </w:rPr>
            </w:pPr>
            <w:r>
              <w:rPr>
                <w:rFonts w:hint="eastAsia"/>
                <w:sz w:val="24"/>
                <w:szCs w:val="24"/>
                <w:vertAlign w:val="baseline"/>
              </w:rPr>
              <w:t>10口千兆POE交换机(2G+2EP6+6EP/120W)塑铝外壳</w:t>
            </w:r>
          </w:p>
          <w:p w14:paraId="27468D55">
            <w:pPr>
              <w:widowControl w:val="0"/>
              <w:jc w:val="both"/>
              <w:rPr>
                <w:rFonts w:hint="eastAsia"/>
                <w:sz w:val="24"/>
                <w:szCs w:val="24"/>
                <w:vertAlign w:val="baseline"/>
              </w:rPr>
            </w:pPr>
            <w:r>
              <w:rPr>
                <w:rFonts w:hint="eastAsia"/>
                <w:sz w:val="24"/>
                <w:szCs w:val="24"/>
                <w:vertAlign w:val="baseline"/>
              </w:rPr>
              <w:t>◆ PoE1~6口 支持af/at协议，10/100M自适应</w:t>
            </w:r>
          </w:p>
          <w:p w14:paraId="67CFA806">
            <w:pPr>
              <w:widowControl w:val="0"/>
              <w:jc w:val="both"/>
              <w:rPr>
                <w:rFonts w:hint="eastAsia"/>
                <w:sz w:val="24"/>
                <w:szCs w:val="24"/>
                <w:vertAlign w:val="baseline"/>
              </w:rPr>
            </w:pPr>
            <w:r>
              <w:rPr>
                <w:rFonts w:hint="eastAsia"/>
                <w:sz w:val="24"/>
                <w:szCs w:val="24"/>
                <w:vertAlign w:val="baseline"/>
              </w:rPr>
              <w:t>◆ PoE7~8口 支持bt协议，10/100M自适应</w:t>
            </w:r>
          </w:p>
          <w:p w14:paraId="48EE53D1">
            <w:pPr>
              <w:widowControl w:val="0"/>
              <w:jc w:val="both"/>
              <w:rPr>
                <w:rFonts w:hint="eastAsia"/>
                <w:sz w:val="24"/>
                <w:szCs w:val="24"/>
                <w:vertAlign w:val="baseline"/>
              </w:rPr>
            </w:pPr>
            <w:r>
              <w:rPr>
                <w:rFonts w:hint="eastAsia"/>
                <w:sz w:val="24"/>
                <w:szCs w:val="24"/>
                <w:vertAlign w:val="baseline"/>
              </w:rPr>
              <w:t>◆ LAN1~2口 10/100/1000M上联</w:t>
            </w:r>
          </w:p>
          <w:p w14:paraId="57FFFE72">
            <w:pPr>
              <w:widowControl w:val="0"/>
              <w:jc w:val="both"/>
              <w:rPr>
                <w:rFonts w:hint="eastAsia"/>
                <w:sz w:val="24"/>
                <w:szCs w:val="24"/>
                <w:vertAlign w:val="baseline"/>
              </w:rPr>
            </w:pPr>
            <w:r>
              <w:rPr>
                <w:rFonts w:hint="eastAsia"/>
                <w:sz w:val="24"/>
                <w:szCs w:val="24"/>
                <w:vertAlign w:val="baseline"/>
              </w:rPr>
              <w:t>◆ 交换容量与包转发率：5.6Gbps/4.2Mpps</w:t>
            </w:r>
          </w:p>
          <w:p w14:paraId="6626F6D3">
            <w:pPr>
              <w:widowControl w:val="0"/>
              <w:jc w:val="both"/>
              <w:rPr>
                <w:rFonts w:hint="eastAsia"/>
                <w:sz w:val="24"/>
                <w:szCs w:val="24"/>
                <w:vertAlign w:val="baseline"/>
              </w:rPr>
            </w:pPr>
            <w:r>
              <w:rPr>
                <w:rFonts w:hint="eastAsia"/>
                <w:sz w:val="24"/>
                <w:szCs w:val="24"/>
                <w:vertAlign w:val="baseline"/>
              </w:rPr>
              <w:t>◆ INPUT：AC90~264V OUTPUT：120W</w:t>
            </w:r>
          </w:p>
          <w:p w14:paraId="652D26DF">
            <w:pPr>
              <w:widowControl w:val="0"/>
              <w:jc w:val="both"/>
              <w:rPr>
                <w:rFonts w:hint="eastAsia"/>
                <w:sz w:val="24"/>
                <w:szCs w:val="24"/>
                <w:vertAlign w:val="baseline"/>
              </w:rPr>
            </w:pPr>
            <w:r>
              <w:rPr>
                <w:rFonts w:hint="eastAsia"/>
                <w:sz w:val="24"/>
                <w:szCs w:val="24"/>
                <w:vertAlign w:val="baseline"/>
              </w:rPr>
              <w:t>◆ 支持8芯1245+/3678- 供电可达30W或bt端口可达60W</w:t>
            </w:r>
          </w:p>
          <w:p w14:paraId="7FD963D5">
            <w:pPr>
              <w:widowControl w:val="0"/>
              <w:jc w:val="both"/>
              <w:rPr>
                <w:rFonts w:hint="eastAsia"/>
                <w:sz w:val="24"/>
                <w:szCs w:val="24"/>
                <w:vertAlign w:val="baseline"/>
              </w:rPr>
            </w:pPr>
            <w:r>
              <w:rPr>
                <w:rFonts w:hint="eastAsia"/>
                <w:sz w:val="24"/>
                <w:szCs w:val="24"/>
                <w:vertAlign w:val="baseline"/>
              </w:rPr>
              <w:t>◆ 尺寸：163*83*40mm</w:t>
            </w:r>
          </w:p>
        </w:tc>
        <w:tc>
          <w:tcPr>
            <w:tcW w:w="813" w:type="dxa"/>
          </w:tcPr>
          <w:p w14:paraId="7AE407A1">
            <w:pPr>
              <w:widowControl w:val="0"/>
              <w:jc w:val="both"/>
              <w:rPr>
                <w:rFonts w:hint="eastAsia" w:eastAsiaTheme="minorEastAsia"/>
                <w:sz w:val="24"/>
                <w:szCs w:val="24"/>
                <w:vertAlign w:val="baseline"/>
                <w:lang w:val="en-US" w:eastAsia="zh-CN"/>
              </w:rPr>
            </w:pPr>
            <w:r>
              <w:rPr>
                <w:rFonts w:hint="eastAsia"/>
                <w:sz w:val="24"/>
                <w:szCs w:val="24"/>
                <w:vertAlign w:val="baseline"/>
                <w:lang w:val="en-US" w:eastAsia="zh-CN"/>
              </w:rPr>
              <w:t>台</w:t>
            </w:r>
          </w:p>
        </w:tc>
        <w:tc>
          <w:tcPr>
            <w:tcW w:w="1462" w:type="dxa"/>
          </w:tcPr>
          <w:p w14:paraId="4C7E313D">
            <w:pPr>
              <w:widowControl w:val="0"/>
              <w:jc w:val="both"/>
              <w:rPr>
                <w:rFonts w:hint="eastAsia" w:eastAsiaTheme="minorEastAsia"/>
                <w:sz w:val="24"/>
                <w:szCs w:val="24"/>
                <w:vertAlign w:val="baseline"/>
                <w:lang w:val="en-US" w:eastAsia="zh-CN"/>
              </w:rPr>
            </w:pPr>
            <w:r>
              <w:rPr>
                <w:rFonts w:hint="eastAsia"/>
                <w:sz w:val="24"/>
                <w:szCs w:val="24"/>
                <w:vertAlign w:val="baseline"/>
                <w:lang w:val="en-US" w:eastAsia="zh-CN"/>
              </w:rPr>
              <w:t>2</w:t>
            </w:r>
          </w:p>
        </w:tc>
      </w:tr>
      <w:tr w14:paraId="17AB2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tcPr>
          <w:p w14:paraId="1866380D">
            <w:pPr>
              <w:widowControl w:val="0"/>
              <w:jc w:val="both"/>
              <w:rPr>
                <w:rFonts w:hint="eastAsia"/>
                <w:sz w:val="24"/>
                <w:szCs w:val="24"/>
                <w:vertAlign w:val="baseline"/>
              </w:rPr>
            </w:pPr>
            <w:r>
              <w:rPr>
                <w:rFonts w:hint="eastAsia"/>
                <w:sz w:val="24"/>
                <w:szCs w:val="24"/>
                <w:vertAlign w:val="baseline"/>
              </w:rPr>
              <w:t>6口POE交换机</w:t>
            </w:r>
          </w:p>
        </w:tc>
        <w:tc>
          <w:tcPr>
            <w:tcW w:w="1938" w:type="dxa"/>
          </w:tcPr>
          <w:p w14:paraId="70E65CDD">
            <w:pPr>
              <w:widowControl w:val="0"/>
              <w:jc w:val="both"/>
              <w:rPr>
                <w:rFonts w:hint="eastAsia"/>
                <w:sz w:val="24"/>
                <w:szCs w:val="24"/>
                <w:vertAlign w:val="baseline"/>
              </w:rPr>
            </w:pPr>
            <w:r>
              <w:rPr>
                <w:rFonts w:hint="eastAsia"/>
                <w:sz w:val="24"/>
                <w:szCs w:val="24"/>
                <w:vertAlign w:val="baseline"/>
              </w:rPr>
              <w:t>GNT-P9105ES</w:t>
            </w:r>
          </w:p>
        </w:tc>
        <w:tc>
          <w:tcPr>
            <w:tcW w:w="7812" w:type="dxa"/>
          </w:tcPr>
          <w:p w14:paraId="7E18FCC8">
            <w:pPr>
              <w:widowControl w:val="0"/>
              <w:jc w:val="both"/>
              <w:rPr>
                <w:rFonts w:hint="eastAsia"/>
                <w:sz w:val="24"/>
                <w:szCs w:val="24"/>
                <w:vertAlign w:val="baseline"/>
              </w:rPr>
            </w:pPr>
            <w:r>
              <w:rPr>
                <w:rFonts w:hint="eastAsia"/>
                <w:sz w:val="24"/>
                <w:szCs w:val="24"/>
                <w:vertAlign w:val="baseline"/>
              </w:rPr>
              <w:t>8口百兆POE交换机(E+EP6+4EP/60W)塑铝外壳</w:t>
            </w:r>
          </w:p>
          <w:p w14:paraId="1857E949">
            <w:pPr>
              <w:widowControl w:val="0"/>
              <w:jc w:val="both"/>
              <w:rPr>
                <w:rFonts w:hint="eastAsia"/>
                <w:sz w:val="24"/>
                <w:szCs w:val="24"/>
                <w:vertAlign w:val="baseline"/>
              </w:rPr>
            </w:pPr>
            <w:r>
              <w:rPr>
                <w:rFonts w:hint="eastAsia"/>
                <w:sz w:val="24"/>
                <w:szCs w:val="24"/>
                <w:vertAlign w:val="baseline"/>
              </w:rPr>
              <w:t>◆ PoE1~3口 支持af/at协议，10/100M自适应</w:t>
            </w:r>
          </w:p>
          <w:p w14:paraId="618553B9">
            <w:pPr>
              <w:widowControl w:val="0"/>
              <w:jc w:val="both"/>
              <w:rPr>
                <w:rFonts w:hint="eastAsia"/>
                <w:sz w:val="24"/>
                <w:szCs w:val="24"/>
                <w:vertAlign w:val="baseline"/>
              </w:rPr>
            </w:pPr>
            <w:r>
              <w:rPr>
                <w:rFonts w:hint="eastAsia"/>
                <w:sz w:val="24"/>
                <w:szCs w:val="24"/>
                <w:vertAlign w:val="baseline"/>
              </w:rPr>
              <w:t>◆ PoE4口 支持bt协议，10/100M自适应</w:t>
            </w:r>
          </w:p>
          <w:p w14:paraId="02712166">
            <w:pPr>
              <w:widowControl w:val="0"/>
              <w:jc w:val="both"/>
              <w:rPr>
                <w:rFonts w:hint="eastAsia"/>
                <w:sz w:val="24"/>
                <w:szCs w:val="24"/>
                <w:vertAlign w:val="baseline"/>
              </w:rPr>
            </w:pPr>
            <w:r>
              <w:rPr>
                <w:rFonts w:hint="eastAsia"/>
                <w:sz w:val="24"/>
                <w:szCs w:val="24"/>
                <w:vertAlign w:val="baseline"/>
              </w:rPr>
              <w:t>◆ LAN口 10/100M上联</w:t>
            </w:r>
          </w:p>
          <w:p w14:paraId="63A86865">
            <w:pPr>
              <w:widowControl w:val="0"/>
              <w:jc w:val="both"/>
              <w:rPr>
                <w:rFonts w:hint="eastAsia"/>
                <w:sz w:val="24"/>
                <w:szCs w:val="24"/>
                <w:vertAlign w:val="baseline"/>
              </w:rPr>
            </w:pPr>
            <w:r>
              <w:rPr>
                <w:rFonts w:hint="eastAsia"/>
                <w:sz w:val="24"/>
                <w:szCs w:val="24"/>
                <w:vertAlign w:val="baseline"/>
              </w:rPr>
              <w:t>◆ 交换容量与包转发率：1Gbps/0.74Mpps</w:t>
            </w:r>
          </w:p>
          <w:p w14:paraId="31393A77">
            <w:pPr>
              <w:widowControl w:val="0"/>
              <w:jc w:val="both"/>
              <w:rPr>
                <w:rFonts w:hint="eastAsia"/>
                <w:sz w:val="24"/>
                <w:szCs w:val="24"/>
                <w:vertAlign w:val="baseline"/>
              </w:rPr>
            </w:pPr>
            <w:r>
              <w:rPr>
                <w:rFonts w:hint="eastAsia"/>
                <w:sz w:val="24"/>
                <w:szCs w:val="24"/>
                <w:vertAlign w:val="baseline"/>
              </w:rPr>
              <w:t>◆ INPUT：AC90~264V OUTPUT：65W</w:t>
            </w:r>
          </w:p>
          <w:p w14:paraId="23BF3994">
            <w:pPr>
              <w:widowControl w:val="0"/>
              <w:jc w:val="both"/>
              <w:rPr>
                <w:rFonts w:hint="eastAsia"/>
                <w:sz w:val="24"/>
                <w:szCs w:val="24"/>
                <w:vertAlign w:val="baseline"/>
              </w:rPr>
            </w:pPr>
            <w:r>
              <w:rPr>
                <w:rFonts w:hint="eastAsia"/>
                <w:sz w:val="24"/>
                <w:szCs w:val="24"/>
                <w:vertAlign w:val="baseline"/>
              </w:rPr>
              <w:t>◆ 支持8芯1245+/3678- 供电可达30W或bt端口可达60W</w:t>
            </w:r>
          </w:p>
          <w:p w14:paraId="644C7CEA">
            <w:pPr>
              <w:widowControl w:val="0"/>
              <w:jc w:val="both"/>
              <w:rPr>
                <w:rFonts w:hint="eastAsia"/>
                <w:sz w:val="24"/>
                <w:szCs w:val="24"/>
                <w:vertAlign w:val="baseline"/>
              </w:rPr>
            </w:pPr>
            <w:r>
              <w:rPr>
                <w:rFonts w:hint="eastAsia"/>
                <w:sz w:val="24"/>
                <w:szCs w:val="24"/>
                <w:vertAlign w:val="baseline"/>
              </w:rPr>
              <w:t>◆ 尺寸：140*65*28mm</w:t>
            </w:r>
          </w:p>
        </w:tc>
        <w:tc>
          <w:tcPr>
            <w:tcW w:w="813" w:type="dxa"/>
          </w:tcPr>
          <w:p w14:paraId="3ACA8632">
            <w:pPr>
              <w:widowControl w:val="0"/>
              <w:jc w:val="both"/>
              <w:rPr>
                <w:rFonts w:hint="eastAsia" w:eastAsiaTheme="minorEastAsia"/>
                <w:sz w:val="24"/>
                <w:szCs w:val="24"/>
                <w:vertAlign w:val="baseline"/>
                <w:lang w:val="en-US" w:eastAsia="zh-CN"/>
              </w:rPr>
            </w:pPr>
            <w:r>
              <w:rPr>
                <w:rFonts w:hint="eastAsia"/>
                <w:sz w:val="24"/>
                <w:szCs w:val="24"/>
                <w:vertAlign w:val="baseline"/>
                <w:lang w:val="en-US" w:eastAsia="zh-CN"/>
              </w:rPr>
              <w:t>台</w:t>
            </w:r>
          </w:p>
        </w:tc>
        <w:tc>
          <w:tcPr>
            <w:tcW w:w="1462" w:type="dxa"/>
          </w:tcPr>
          <w:p w14:paraId="539937E9">
            <w:pPr>
              <w:widowControl w:val="0"/>
              <w:jc w:val="both"/>
              <w:rPr>
                <w:rFonts w:hint="eastAsia" w:eastAsiaTheme="minorEastAsia"/>
                <w:sz w:val="24"/>
                <w:szCs w:val="24"/>
                <w:vertAlign w:val="baseline"/>
                <w:lang w:val="en-US" w:eastAsia="zh-CN"/>
              </w:rPr>
            </w:pPr>
            <w:r>
              <w:rPr>
                <w:rFonts w:hint="eastAsia"/>
                <w:sz w:val="24"/>
                <w:szCs w:val="24"/>
                <w:vertAlign w:val="baseline"/>
                <w:lang w:val="en-US" w:eastAsia="zh-CN"/>
              </w:rPr>
              <w:t>2</w:t>
            </w:r>
          </w:p>
        </w:tc>
      </w:tr>
      <w:tr w14:paraId="5EDEC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tcPr>
          <w:p w14:paraId="3728F8E6">
            <w:pPr>
              <w:widowControl w:val="0"/>
              <w:jc w:val="both"/>
              <w:rPr>
                <w:rFonts w:hint="eastAsia"/>
                <w:sz w:val="24"/>
                <w:szCs w:val="24"/>
                <w:vertAlign w:val="baseline"/>
              </w:rPr>
            </w:pPr>
            <w:r>
              <w:rPr>
                <w:rFonts w:hint="eastAsia"/>
                <w:sz w:val="24"/>
                <w:szCs w:val="24"/>
                <w:vertAlign w:val="baseline"/>
              </w:rPr>
              <w:t>立杆</w:t>
            </w:r>
          </w:p>
        </w:tc>
        <w:tc>
          <w:tcPr>
            <w:tcW w:w="1938" w:type="dxa"/>
          </w:tcPr>
          <w:p w14:paraId="7D71D25C">
            <w:pPr>
              <w:widowControl w:val="0"/>
              <w:jc w:val="both"/>
              <w:rPr>
                <w:rFonts w:hint="eastAsia"/>
                <w:sz w:val="24"/>
                <w:szCs w:val="24"/>
                <w:vertAlign w:val="baseline"/>
              </w:rPr>
            </w:pPr>
            <w:r>
              <w:rPr>
                <w:rFonts w:hint="eastAsia"/>
                <w:sz w:val="24"/>
                <w:szCs w:val="24"/>
                <w:vertAlign w:val="baseline"/>
              </w:rPr>
              <w:t>5米立杆</w:t>
            </w:r>
          </w:p>
        </w:tc>
        <w:tc>
          <w:tcPr>
            <w:tcW w:w="7812" w:type="dxa"/>
          </w:tcPr>
          <w:p w14:paraId="3952E7DF">
            <w:pPr>
              <w:widowControl w:val="0"/>
              <w:jc w:val="both"/>
              <w:rPr>
                <w:rFonts w:hint="eastAsia"/>
                <w:sz w:val="24"/>
                <w:szCs w:val="24"/>
                <w:vertAlign w:val="baseline"/>
              </w:rPr>
            </w:pPr>
            <w:r>
              <w:rPr>
                <w:rFonts w:hint="eastAsia"/>
                <w:sz w:val="24"/>
                <w:szCs w:val="24"/>
                <w:vertAlign w:val="baseline"/>
              </w:rPr>
              <w:t>地龙、球机横臂支架各一根</w:t>
            </w:r>
          </w:p>
        </w:tc>
        <w:tc>
          <w:tcPr>
            <w:tcW w:w="813" w:type="dxa"/>
          </w:tcPr>
          <w:p w14:paraId="35899441">
            <w:pPr>
              <w:widowControl w:val="0"/>
              <w:jc w:val="both"/>
              <w:rPr>
                <w:rFonts w:hint="eastAsia"/>
                <w:sz w:val="24"/>
                <w:szCs w:val="24"/>
                <w:vertAlign w:val="baseline"/>
                <w:lang w:val="en-US" w:eastAsia="zh-CN"/>
              </w:rPr>
            </w:pPr>
            <w:r>
              <w:rPr>
                <w:rFonts w:hint="eastAsia"/>
                <w:sz w:val="24"/>
                <w:szCs w:val="24"/>
                <w:vertAlign w:val="baseline"/>
                <w:lang w:val="en-US" w:eastAsia="zh-CN"/>
              </w:rPr>
              <w:t>套</w:t>
            </w:r>
          </w:p>
        </w:tc>
        <w:tc>
          <w:tcPr>
            <w:tcW w:w="1462" w:type="dxa"/>
          </w:tcPr>
          <w:p w14:paraId="7D5F79BA">
            <w:pPr>
              <w:widowControl w:val="0"/>
              <w:jc w:val="both"/>
              <w:rPr>
                <w:rFonts w:hint="eastAsia"/>
                <w:sz w:val="24"/>
                <w:szCs w:val="24"/>
                <w:vertAlign w:val="baseline"/>
                <w:lang w:val="en-US" w:eastAsia="zh-CN"/>
              </w:rPr>
            </w:pPr>
            <w:r>
              <w:rPr>
                <w:rFonts w:hint="eastAsia"/>
                <w:sz w:val="24"/>
                <w:szCs w:val="24"/>
                <w:vertAlign w:val="baseline"/>
                <w:lang w:val="en-US" w:eastAsia="zh-CN"/>
              </w:rPr>
              <w:t>2</w:t>
            </w:r>
          </w:p>
        </w:tc>
      </w:tr>
      <w:tr w14:paraId="6DD85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rPr>
        <w:tc>
          <w:tcPr>
            <w:tcW w:w="1623" w:type="dxa"/>
            <w:vAlign w:val="center"/>
          </w:tcPr>
          <w:p w14:paraId="3411837B">
            <w:pPr>
              <w:widowControl w:val="0"/>
              <w:jc w:val="both"/>
              <w:rPr>
                <w:rFonts w:hint="eastAsia"/>
                <w:sz w:val="24"/>
                <w:szCs w:val="24"/>
                <w:vertAlign w:val="baseline"/>
              </w:rPr>
            </w:pPr>
            <w:r>
              <w:rPr>
                <w:rFonts w:hint="eastAsia"/>
                <w:sz w:val="24"/>
                <w:szCs w:val="24"/>
                <w:vertAlign w:val="baseline"/>
                <w:lang w:val="en-US" w:eastAsia="zh-CN"/>
              </w:rPr>
              <w:t>光纤</w:t>
            </w:r>
          </w:p>
        </w:tc>
        <w:tc>
          <w:tcPr>
            <w:tcW w:w="1938" w:type="dxa"/>
            <w:vAlign w:val="center"/>
          </w:tcPr>
          <w:p w14:paraId="0E86D383">
            <w:pPr>
              <w:widowControl w:val="0"/>
              <w:jc w:val="both"/>
              <w:rPr>
                <w:rFonts w:hint="eastAsia"/>
                <w:sz w:val="24"/>
                <w:szCs w:val="24"/>
                <w:vertAlign w:val="baseline"/>
              </w:rPr>
            </w:pPr>
            <w:r>
              <w:rPr>
                <w:rFonts w:hint="eastAsia"/>
                <w:sz w:val="24"/>
                <w:szCs w:val="24"/>
                <w:vertAlign w:val="baseline"/>
                <w:lang w:val="en-US" w:eastAsia="zh-CN"/>
              </w:rPr>
              <w:t>4芯</w:t>
            </w:r>
          </w:p>
        </w:tc>
        <w:tc>
          <w:tcPr>
            <w:tcW w:w="7812" w:type="dxa"/>
            <w:vAlign w:val="center"/>
          </w:tcPr>
          <w:p w14:paraId="6E8F357B">
            <w:pPr>
              <w:widowControl w:val="0"/>
              <w:jc w:val="both"/>
              <w:rPr>
                <w:rFonts w:hint="eastAsia"/>
                <w:sz w:val="24"/>
                <w:szCs w:val="24"/>
                <w:vertAlign w:val="baseline"/>
              </w:rPr>
            </w:pPr>
          </w:p>
        </w:tc>
        <w:tc>
          <w:tcPr>
            <w:tcW w:w="813" w:type="dxa"/>
            <w:vAlign w:val="center"/>
          </w:tcPr>
          <w:p w14:paraId="6DB8C4F2">
            <w:pPr>
              <w:widowControl w:val="0"/>
              <w:jc w:val="both"/>
              <w:rPr>
                <w:rFonts w:hint="eastAsia"/>
                <w:sz w:val="24"/>
                <w:szCs w:val="24"/>
                <w:vertAlign w:val="baseline"/>
              </w:rPr>
            </w:pPr>
            <w:r>
              <w:rPr>
                <w:rFonts w:hint="eastAsia"/>
                <w:sz w:val="24"/>
                <w:szCs w:val="24"/>
                <w:vertAlign w:val="baseline"/>
                <w:lang w:val="en-US" w:eastAsia="zh-CN"/>
              </w:rPr>
              <w:t>米</w:t>
            </w:r>
          </w:p>
        </w:tc>
        <w:tc>
          <w:tcPr>
            <w:tcW w:w="1462" w:type="dxa"/>
            <w:vAlign w:val="center"/>
          </w:tcPr>
          <w:p w14:paraId="74DA8C57">
            <w:pPr>
              <w:widowControl w:val="0"/>
              <w:jc w:val="both"/>
              <w:rPr>
                <w:rFonts w:hint="eastAsia"/>
                <w:sz w:val="24"/>
                <w:szCs w:val="24"/>
                <w:vertAlign w:val="baseline"/>
              </w:rPr>
            </w:pPr>
            <w:r>
              <w:rPr>
                <w:rFonts w:hint="eastAsia"/>
                <w:sz w:val="24"/>
                <w:szCs w:val="24"/>
                <w:vertAlign w:val="baseline"/>
                <w:lang w:val="en-US" w:eastAsia="zh-CN"/>
              </w:rPr>
              <w:t>1</w:t>
            </w:r>
          </w:p>
        </w:tc>
      </w:tr>
      <w:tr w14:paraId="29956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vAlign w:val="center"/>
          </w:tcPr>
          <w:p w14:paraId="0E739C58">
            <w:pPr>
              <w:widowControl w:val="0"/>
              <w:jc w:val="both"/>
              <w:rPr>
                <w:rFonts w:hint="eastAsia"/>
                <w:sz w:val="24"/>
                <w:szCs w:val="24"/>
                <w:vertAlign w:val="baseline"/>
              </w:rPr>
            </w:pPr>
            <w:r>
              <w:rPr>
                <w:rFonts w:hint="eastAsia"/>
                <w:sz w:val="24"/>
                <w:szCs w:val="24"/>
                <w:vertAlign w:val="baseline"/>
                <w:lang w:val="en-US" w:eastAsia="zh-CN"/>
              </w:rPr>
              <w:t>超五类网线</w:t>
            </w:r>
          </w:p>
        </w:tc>
        <w:tc>
          <w:tcPr>
            <w:tcW w:w="1938" w:type="dxa"/>
            <w:vAlign w:val="center"/>
          </w:tcPr>
          <w:p w14:paraId="19B022C1">
            <w:pPr>
              <w:widowControl w:val="0"/>
              <w:jc w:val="both"/>
              <w:rPr>
                <w:rFonts w:hint="eastAsia"/>
                <w:sz w:val="24"/>
                <w:szCs w:val="24"/>
                <w:vertAlign w:val="baseline"/>
              </w:rPr>
            </w:pPr>
            <w:r>
              <w:rPr>
                <w:rFonts w:hint="eastAsia"/>
                <w:sz w:val="24"/>
                <w:szCs w:val="24"/>
                <w:vertAlign w:val="baseline"/>
                <w:lang w:val="en-US" w:eastAsia="zh-CN"/>
              </w:rPr>
              <w:t>超五类网线</w:t>
            </w:r>
          </w:p>
        </w:tc>
        <w:tc>
          <w:tcPr>
            <w:tcW w:w="7812" w:type="dxa"/>
            <w:vAlign w:val="center"/>
          </w:tcPr>
          <w:p w14:paraId="7AFE182B">
            <w:pPr>
              <w:widowControl w:val="0"/>
              <w:jc w:val="both"/>
              <w:rPr>
                <w:rFonts w:hint="eastAsia"/>
                <w:sz w:val="24"/>
                <w:szCs w:val="24"/>
                <w:vertAlign w:val="baseline"/>
              </w:rPr>
            </w:pPr>
            <w:r>
              <w:rPr>
                <w:rFonts w:hint="eastAsia"/>
                <w:sz w:val="24"/>
                <w:szCs w:val="24"/>
                <w:vertAlign w:val="baseline"/>
                <w:lang w:val="en-US" w:eastAsia="zh-CN"/>
              </w:rPr>
              <w:t>预计每个点位60米/点</w:t>
            </w:r>
          </w:p>
        </w:tc>
        <w:tc>
          <w:tcPr>
            <w:tcW w:w="813" w:type="dxa"/>
            <w:vAlign w:val="center"/>
          </w:tcPr>
          <w:p w14:paraId="75499816">
            <w:pPr>
              <w:widowControl w:val="0"/>
              <w:jc w:val="both"/>
              <w:rPr>
                <w:rFonts w:hint="eastAsia"/>
                <w:sz w:val="24"/>
                <w:szCs w:val="24"/>
                <w:vertAlign w:val="baseline"/>
              </w:rPr>
            </w:pPr>
            <w:r>
              <w:rPr>
                <w:rFonts w:hint="eastAsia"/>
                <w:sz w:val="24"/>
                <w:szCs w:val="24"/>
                <w:vertAlign w:val="baseline"/>
                <w:lang w:val="en-US" w:eastAsia="zh-CN"/>
              </w:rPr>
              <w:t>箱</w:t>
            </w:r>
          </w:p>
        </w:tc>
        <w:tc>
          <w:tcPr>
            <w:tcW w:w="1462" w:type="dxa"/>
            <w:vAlign w:val="center"/>
          </w:tcPr>
          <w:p w14:paraId="7037A08F">
            <w:pPr>
              <w:widowControl w:val="0"/>
              <w:jc w:val="both"/>
              <w:rPr>
                <w:rFonts w:hint="eastAsia"/>
                <w:sz w:val="24"/>
                <w:szCs w:val="24"/>
                <w:vertAlign w:val="baseline"/>
              </w:rPr>
            </w:pPr>
            <w:r>
              <w:rPr>
                <w:rFonts w:hint="eastAsia"/>
                <w:sz w:val="24"/>
                <w:szCs w:val="24"/>
                <w:vertAlign w:val="baseline"/>
                <w:lang w:val="en-US" w:eastAsia="zh-CN"/>
              </w:rPr>
              <w:t>6</w:t>
            </w:r>
          </w:p>
        </w:tc>
      </w:tr>
      <w:tr w14:paraId="2E7A2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vAlign w:val="center"/>
          </w:tcPr>
          <w:p w14:paraId="325BC16C">
            <w:pPr>
              <w:widowControl w:val="0"/>
              <w:jc w:val="both"/>
              <w:rPr>
                <w:rFonts w:hint="eastAsia"/>
                <w:sz w:val="24"/>
                <w:szCs w:val="24"/>
                <w:vertAlign w:val="baseline"/>
              </w:rPr>
            </w:pPr>
            <w:r>
              <w:rPr>
                <w:rFonts w:hint="eastAsia"/>
                <w:sz w:val="24"/>
                <w:szCs w:val="24"/>
                <w:vertAlign w:val="baseline"/>
                <w:lang w:val="en-US" w:eastAsia="zh-CN"/>
              </w:rPr>
              <w:t>电源线</w:t>
            </w:r>
          </w:p>
        </w:tc>
        <w:tc>
          <w:tcPr>
            <w:tcW w:w="1938" w:type="dxa"/>
            <w:vAlign w:val="center"/>
          </w:tcPr>
          <w:p w14:paraId="51670D01">
            <w:pPr>
              <w:widowControl w:val="0"/>
              <w:jc w:val="both"/>
              <w:rPr>
                <w:rFonts w:hint="eastAsia"/>
                <w:sz w:val="24"/>
                <w:szCs w:val="24"/>
                <w:vertAlign w:val="baseline"/>
              </w:rPr>
            </w:pPr>
            <w:r>
              <w:rPr>
                <w:rFonts w:hint="eastAsia"/>
                <w:sz w:val="24"/>
                <w:szCs w:val="24"/>
                <w:vertAlign w:val="baseline"/>
                <w:lang w:val="en-US" w:eastAsia="zh-CN"/>
              </w:rPr>
              <w:t>RVV2*1.0</w:t>
            </w:r>
          </w:p>
        </w:tc>
        <w:tc>
          <w:tcPr>
            <w:tcW w:w="7812" w:type="dxa"/>
            <w:vAlign w:val="center"/>
          </w:tcPr>
          <w:p w14:paraId="2F8E33CB">
            <w:pPr>
              <w:widowControl w:val="0"/>
              <w:jc w:val="both"/>
              <w:rPr>
                <w:rFonts w:hint="eastAsia"/>
                <w:sz w:val="24"/>
                <w:szCs w:val="24"/>
                <w:vertAlign w:val="baseline"/>
              </w:rPr>
            </w:pPr>
          </w:p>
        </w:tc>
        <w:tc>
          <w:tcPr>
            <w:tcW w:w="813" w:type="dxa"/>
            <w:vAlign w:val="center"/>
          </w:tcPr>
          <w:p w14:paraId="56C09266">
            <w:pPr>
              <w:widowControl w:val="0"/>
              <w:jc w:val="both"/>
              <w:rPr>
                <w:rFonts w:hint="eastAsia"/>
                <w:sz w:val="24"/>
                <w:szCs w:val="24"/>
                <w:vertAlign w:val="baseline"/>
              </w:rPr>
            </w:pPr>
            <w:r>
              <w:rPr>
                <w:rFonts w:hint="eastAsia"/>
                <w:sz w:val="24"/>
                <w:szCs w:val="24"/>
                <w:vertAlign w:val="baseline"/>
                <w:lang w:val="en-US" w:eastAsia="zh-CN"/>
              </w:rPr>
              <w:t>卷</w:t>
            </w:r>
          </w:p>
        </w:tc>
        <w:tc>
          <w:tcPr>
            <w:tcW w:w="1462" w:type="dxa"/>
            <w:vAlign w:val="center"/>
          </w:tcPr>
          <w:p w14:paraId="483380E1">
            <w:pPr>
              <w:widowControl w:val="0"/>
              <w:jc w:val="both"/>
              <w:rPr>
                <w:rFonts w:hint="eastAsia"/>
                <w:sz w:val="24"/>
                <w:szCs w:val="24"/>
                <w:vertAlign w:val="baseline"/>
              </w:rPr>
            </w:pPr>
            <w:r>
              <w:rPr>
                <w:rFonts w:hint="eastAsia"/>
                <w:sz w:val="24"/>
                <w:szCs w:val="24"/>
                <w:vertAlign w:val="baseline"/>
                <w:lang w:val="en-US" w:eastAsia="zh-CN"/>
              </w:rPr>
              <w:t>2</w:t>
            </w:r>
          </w:p>
        </w:tc>
      </w:tr>
      <w:tr w14:paraId="57E6B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vAlign w:val="center"/>
          </w:tcPr>
          <w:p w14:paraId="00A20890">
            <w:pPr>
              <w:widowControl w:val="0"/>
              <w:jc w:val="both"/>
              <w:rPr>
                <w:rFonts w:hint="eastAsia"/>
                <w:sz w:val="24"/>
                <w:szCs w:val="24"/>
                <w:vertAlign w:val="baseline"/>
              </w:rPr>
            </w:pPr>
            <w:r>
              <w:rPr>
                <w:rFonts w:hint="eastAsia"/>
                <w:sz w:val="24"/>
                <w:szCs w:val="24"/>
                <w:vertAlign w:val="baseline"/>
                <w:lang w:val="en-US" w:eastAsia="zh-CN"/>
              </w:rPr>
              <w:t>机柜</w:t>
            </w:r>
          </w:p>
        </w:tc>
        <w:tc>
          <w:tcPr>
            <w:tcW w:w="1938" w:type="dxa"/>
            <w:vAlign w:val="center"/>
          </w:tcPr>
          <w:p w14:paraId="1D3A8754">
            <w:pPr>
              <w:widowControl w:val="0"/>
              <w:jc w:val="both"/>
              <w:rPr>
                <w:rFonts w:hint="eastAsia"/>
                <w:sz w:val="24"/>
                <w:szCs w:val="24"/>
                <w:vertAlign w:val="baseline"/>
              </w:rPr>
            </w:pPr>
            <w:r>
              <w:rPr>
                <w:rFonts w:hint="eastAsia"/>
                <w:sz w:val="24"/>
                <w:szCs w:val="24"/>
                <w:vertAlign w:val="baseline"/>
                <w:lang w:val="en-US" w:eastAsia="zh-CN"/>
              </w:rPr>
              <w:t>12U</w:t>
            </w:r>
          </w:p>
        </w:tc>
        <w:tc>
          <w:tcPr>
            <w:tcW w:w="7812" w:type="dxa"/>
            <w:vAlign w:val="center"/>
          </w:tcPr>
          <w:p w14:paraId="65D3D036">
            <w:pPr>
              <w:widowControl w:val="0"/>
              <w:jc w:val="both"/>
              <w:rPr>
                <w:rFonts w:hint="eastAsia"/>
                <w:sz w:val="24"/>
                <w:szCs w:val="24"/>
                <w:vertAlign w:val="baseline"/>
              </w:rPr>
            </w:pPr>
            <w:r>
              <w:rPr>
                <w:rFonts w:hint="eastAsia"/>
                <w:sz w:val="24"/>
                <w:szCs w:val="24"/>
                <w:vertAlign w:val="baseline"/>
                <w:lang w:val="en-US" w:eastAsia="zh-CN"/>
              </w:rPr>
              <w:t>12U0.6米600*600</w:t>
            </w:r>
          </w:p>
        </w:tc>
        <w:tc>
          <w:tcPr>
            <w:tcW w:w="813" w:type="dxa"/>
            <w:vAlign w:val="center"/>
          </w:tcPr>
          <w:p w14:paraId="59CD57DB">
            <w:pPr>
              <w:widowControl w:val="0"/>
              <w:jc w:val="both"/>
              <w:rPr>
                <w:rFonts w:hint="eastAsia"/>
                <w:sz w:val="24"/>
                <w:szCs w:val="24"/>
                <w:vertAlign w:val="baseline"/>
              </w:rPr>
            </w:pPr>
            <w:r>
              <w:rPr>
                <w:rFonts w:hint="eastAsia"/>
                <w:sz w:val="24"/>
                <w:szCs w:val="24"/>
                <w:vertAlign w:val="baseline"/>
                <w:lang w:val="en-US" w:eastAsia="zh-CN"/>
              </w:rPr>
              <w:t>个</w:t>
            </w:r>
          </w:p>
        </w:tc>
        <w:tc>
          <w:tcPr>
            <w:tcW w:w="1462" w:type="dxa"/>
            <w:vAlign w:val="center"/>
          </w:tcPr>
          <w:p w14:paraId="78514574">
            <w:pPr>
              <w:widowControl w:val="0"/>
              <w:jc w:val="both"/>
              <w:rPr>
                <w:rFonts w:hint="eastAsia"/>
                <w:sz w:val="24"/>
                <w:szCs w:val="24"/>
                <w:vertAlign w:val="baseline"/>
              </w:rPr>
            </w:pPr>
            <w:r>
              <w:rPr>
                <w:rFonts w:hint="eastAsia"/>
                <w:sz w:val="24"/>
                <w:szCs w:val="24"/>
                <w:vertAlign w:val="baseline"/>
                <w:lang w:val="en-US" w:eastAsia="zh-CN"/>
              </w:rPr>
              <w:t>1</w:t>
            </w:r>
          </w:p>
        </w:tc>
      </w:tr>
      <w:tr w14:paraId="23E50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vAlign w:val="center"/>
          </w:tcPr>
          <w:p w14:paraId="401AF32F">
            <w:pPr>
              <w:widowControl w:val="0"/>
              <w:jc w:val="both"/>
              <w:rPr>
                <w:rFonts w:hint="eastAsia"/>
                <w:sz w:val="24"/>
                <w:szCs w:val="24"/>
                <w:vertAlign w:val="baseline"/>
              </w:rPr>
            </w:pPr>
            <w:r>
              <w:rPr>
                <w:rFonts w:hint="eastAsia"/>
                <w:sz w:val="24"/>
                <w:szCs w:val="24"/>
                <w:vertAlign w:val="baseline"/>
                <w:lang w:val="en-US" w:eastAsia="zh-CN"/>
              </w:rPr>
              <w:t>箱子</w:t>
            </w:r>
          </w:p>
        </w:tc>
        <w:tc>
          <w:tcPr>
            <w:tcW w:w="1938" w:type="dxa"/>
            <w:vAlign w:val="center"/>
          </w:tcPr>
          <w:p w14:paraId="2B1E457D">
            <w:pPr>
              <w:widowControl w:val="0"/>
              <w:jc w:val="both"/>
              <w:rPr>
                <w:rFonts w:hint="eastAsia"/>
                <w:sz w:val="24"/>
                <w:szCs w:val="24"/>
                <w:vertAlign w:val="baseline"/>
              </w:rPr>
            </w:pPr>
            <w:r>
              <w:rPr>
                <w:rFonts w:hint="eastAsia"/>
                <w:sz w:val="24"/>
                <w:szCs w:val="24"/>
                <w:vertAlign w:val="baseline"/>
                <w:lang w:val="en-US" w:eastAsia="zh-CN"/>
              </w:rPr>
              <w:t>不锈钢弱电箱</w:t>
            </w:r>
          </w:p>
        </w:tc>
        <w:tc>
          <w:tcPr>
            <w:tcW w:w="7812" w:type="dxa"/>
            <w:vAlign w:val="center"/>
          </w:tcPr>
          <w:p w14:paraId="389C859F">
            <w:pPr>
              <w:widowControl w:val="0"/>
              <w:jc w:val="both"/>
              <w:rPr>
                <w:rFonts w:hint="eastAsia"/>
                <w:sz w:val="24"/>
                <w:szCs w:val="24"/>
                <w:vertAlign w:val="baseline"/>
              </w:rPr>
            </w:pPr>
            <w:r>
              <w:rPr>
                <w:rFonts w:hint="eastAsia"/>
                <w:sz w:val="24"/>
                <w:szCs w:val="24"/>
                <w:vertAlign w:val="baseline"/>
                <w:lang w:val="en-US" w:eastAsia="zh-CN"/>
              </w:rPr>
              <w:t>300*400</w:t>
            </w:r>
          </w:p>
        </w:tc>
        <w:tc>
          <w:tcPr>
            <w:tcW w:w="813" w:type="dxa"/>
            <w:vAlign w:val="center"/>
          </w:tcPr>
          <w:p w14:paraId="3FF93909">
            <w:pPr>
              <w:widowControl w:val="0"/>
              <w:jc w:val="both"/>
              <w:rPr>
                <w:rFonts w:hint="eastAsia"/>
                <w:sz w:val="24"/>
                <w:szCs w:val="24"/>
                <w:vertAlign w:val="baseline"/>
              </w:rPr>
            </w:pPr>
            <w:r>
              <w:rPr>
                <w:rFonts w:hint="eastAsia"/>
                <w:sz w:val="24"/>
                <w:szCs w:val="24"/>
                <w:vertAlign w:val="baseline"/>
                <w:lang w:val="en-US" w:eastAsia="zh-CN"/>
              </w:rPr>
              <w:t>个</w:t>
            </w:r>
          </w:p>
        </w:tc>
        <w:tc>
          <w:tcPr>
            <w:tcW w:w="1462" w:type="dxa"/>
            <w:vAlign w:val="center"/>
          </w:tcPr>
          <w:p w14:paraId="3D1A996C">
            <w:pPr>
              <w:widowControl w:val="0"/>
              <w:jc w:val="both"/>
              <w:rPr>
                <w:rFonts w:hint="eastAsia"/>
                <w:sz w:val="24"/>
                <w:szCs w:val="24"/>
                <w:vertAlign w:val="baseline"/>
              </w:rPr>
            </w:pPr>
            <w:r>
              <w:rPr>
                <w:rFonts w:hint="eastAsia"/>
                <w:sz w:val="24"/>
                <w:szCs w:val="24"/>
                <w:vertAlign w:val="baseline"/>
                <w:lang w:val="en-US" w:eastAsia="zh-CN"/>
              </w:rPr>
              <w:t>3</w:t>
            </w:r>
          </w:p>
        </w:tc>
      </w:tr>
      <w:tr w14:paraId="60D27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vAlign w:val="center"/>
          </w:tcPr>
          <w:p w14:paraId="53B8E8AE">
            <w:pPr>
              <w:widowControl w:val="0"/>
              <w:jc w:val="both"/>
              <w:rPr>
                <w:rFonts w:hint="eastAsia"/>
                <w:sz w:val="24"/>
                <w:szCs w:val="24"/>
                <w:vertAlign w:val="baseline"/>
              </w:rPr>
            </w:pPr>
            <w:r>
              <w:rPr>
                <w:rFonts w:hint="eastAsia"/>
                <w:sz w:val="24"/>
                <w:szCs w:val="24"/>
                <w:vertAlign w:val="baseline"/>
                <w:lang w:val="en-US" w:eastAsia="zh-CN"/>
              </w:rPr>
              <w:t>无线排查</w:t>
            </w:r>
          </w:p>
        </w:tc>
        <w:tc>
          <w:tcPr>
            <w:tcW w:w="1938" w:type="dxa"/>
            <w:vAlign w:val="center"/>
          </w:tcPr>
          <w:p w14:paraId="57B31904">
            <w:pPr>
              <w:widowControl w:val="0"/>
              <w:jc w:val="both"/>
              <w:rPr>
                <w:rFonts w:hint="eastAsia"/>
                <w:sz w:val="24"/>
                <w:szCs w:val="24"/>
                <w:vertAlign w:val="baseline"/>
              </w:rPr>
            </w:pPr>
            <w:r>
              <w:rPr>
                <w:rFonts w:hint="eastAsia"/>
                <w:sz w:val="24"/>
                <w:szCs w:val="24"/>
                <w:vertAlign w:val="baseline"/>
                <w:lang w:val="en-US" w:eastAsia="zh-CN"/>
              </w:rPr>
              <w:t>五孔六位</w:t>
            </w:r>
          </w:p>
        </w:tc>
        <w:tc>
          <w:tcPr>
            <w:tcW w:w="7812" w:type="dxa"/>
            <w:vAlign w:val="center"/>
          </w:tcPr>
          <w:p w14:paraId="735B1B51">
            <w:pPr>
              <w:widowControl w:val="0"/>
              <w:jc w:val="both"/>
              <w:rPr>
                <w:rFonts w:hint="eastAsia"/>
                <w:sz w:val="24"/>
                <w:szCs w:val="24"/>
                <w:vertAlign w:val="baseline"/>
              </w:rPr>
            </w:pPr>
          </w:p>
        </w:tc>
        <w:tc>
          <w:tcPr>
            <w:tcW w:w="813" w:type="dxa"/>
            <w:vAlign w:val="center"/>
          </w:tcPr>
          <w:p w14:paraId="1EEAC1DD">
            <w:pPr>
              <w:widowControl w:val="0"/>
              <w:jc w:val="both"/>
              <w:rPr>
                <w:rFonts w:hint="eastAsia"/>
                <w:sz w:val="24"/>
                <w:szCs w:val="24"/>
                <w:vertAlign w:val="baseline"/>
              </w:rPr>
            </w:pPr>
            <w:r>
              <w:rPr>
                <w:rFonts w:hint="eastAsia"/>
                <w:sz w:val="24"/>
                <w:szCs w:val="24"/>
                <w:vertAlign w:val="baseline"/>
                <w:lang w:val="en-US" w:eastAsia="zh-CN"/>
              </w:rPr>
              <w:t>个</w:t>
            </w:r>
          </w:p>
        </w:tc>
        <w:tc>
          <w:tcPr>
            <w:tcW w:w="1462" w:type="dxa"/>
            <w:vAlign w:val="center"/>
          </w:tcPr>
          <w:p w14:paraId="28946CCA">
            <w:pPr>
              <w:widowControl w:val="0"/>
              <w:jc w:val="both"/>
              <w:rPr>
                <w:rFonts w:hint="eastAsia"/>
                <w:sz w:val="24"/>
                <w:szCs w:val="24"/>
                <w:vertAlign w:val="baseline"/>
              </w:rPr>
            </w:pPr>
            <w:r>
              <w:rPr>
                <w:rFonts w:hint="eastAsia"/>
                <w:sz w:val="24"/>
                <w:szCs w:val="24"/>
                <w:vertAlign w:val="baseline"/>
                <w:lang w:val="en-US" w:eastAsia="zh-CN"/>
              </w:rPr>
              <w:t>6</w:t>
            </w:r>
          </w:p>
        </w:tc>
      </w:tr>
      <w:tr w14:paraId="083DE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vAlign w:val="center"/>
          </w:tcPr>
          <w:p w14:paraId="04371117">
            <w:pPr>
              <w:widowControl w:val="0"/>
              <w:jc w:val="both"/>
              <w:rPr>
                <w:rFonts w:hint="eastAsia"/>
                <w:sz w:val="24"/>
                <w:szCs w:val="24"/>
                <w:vertAlign w:val="baseline"/>
              </w:rPr>
            </w:pPr>
            <w:r>
              <w:rPr>
                <w:rFonts w:hint="eastAsia"/>
                <w:sz w:val="24"/>
                <w:szCs w:val="24"/>
                <w:vertAlign w:val="baseline"/>
                <w:lang w:val="en-US" w:eastAsia="zh-CN"/>
              </w:rPr>
              <w:t>50寸监视器</w:t>
            </w:r>
          </w:p>
        </w:tc>
        <w:tc>
          <w:tcPr>
            <w:tcW w:w="1938" w:type="dxa"/>
            <w:vAlign w:val="center"/>
          </w:tcPr>
          <w:p w14:paraId="694BAD75">
            <w:pPr>
              <w:widowControl w:val="0"/>
              <w:jc w:val="both"/>
              <w:rPr>
                <w:rFonts w:hint="eastAsia"/>
                <w:sz w:val="24"/>
                <w:szCs w:val="24"/>
                <w:vertAlign w:val="baseline"/>
              </w:rPr>
            </w:pPr>
            <w:r>
              <w:rPr>
                <w:rFonts w:hint="eastAsia"/>
                <w:sz w:val="24"/>
                <w:szCs w:val="24"/>
                <w:vertAlign w:val="baseline"/>
                <w:lang w:val="en-US" w:eastAsia="zh-CN"/>
              </w:rPr>
              <w:t>WPS-F50000</w:t>
            </w:r>
          </w:p>
        </w:tc>
        <w:tc>
          <w:tcPr>
            <w:tcW w:w="7812" w:type="dxa"/>
            <w:vAlign w:val="center"/>
          </w:tcPr>
          <w:p w14:paraId="38E98D89">
            <w:pPr>
              <w:widowControl w:val="0"/>
              <w:jc w:val="both"/>
              <w:rPr>
                <w:rFonts w:hint="eastAsia"/>
                <w:sz w:val="24"/>
                <w:szCs w:val="24"/>
                <w:vertAlign w:val="baseline"/>
              </w:rPr>
            </w:pPr>
          </w:p>
        </w:tc>
        <w:tc>
          <w:tcPr>
            <w:tcW w:w="813" w:type="dxa"/>
            <w:vAlign w:val="center"/>
          </w:tcPr>
          <w:p w14:paraId="2190822B">
            <w:pPr>
              <w:widowControl w:val="0"/>
              <w:jc w:val="both"/>
              <w:rPr>
                <w:rFonts w:hint="eastAsia"/>
                <w:sz w:val="24"/>
                <w:szCs w:val="24"/>
                <w:vertAlign w:val="baseline"/>
              </w:rPr>
            </w:pPr>
            <w:r>
              <w:rPr>
                <w:rFonts w:hint="eastAsia"/>
                <w:sz w:val="24"/>
                <w:szCs w:val="24"/>
                <w:vertAlign w:val="baseline"/>
                <w:lang w:val="en-US" w:eastAsia="zh-CN"/>
              </w:rPr>
              <w:t>台</w:t>
            </w:r>
          </w:p>
        </w:tc>
        <w:tc>
          <w:tcPr>
            <w:tcW w:w="1462" w:type="dxa"/>
            <w:vAlign w:val="center"/>
          </w:tcPr>
          <w:p w14:paraId="54E35CBE">
            <w:pPr>
              <w:widowControl w:val="0"/>
              <w:jc w:val="both"/>
              <w:rPr>
                <w:rFonts w:hint="eastAsia"/>
                <w:sz w:val="24"/>
                <w:szCs w:val="24"/>
                <w:vertAlign w:val="baseline"/>
              </w:rPr>
            </w:pPr>
            <w:r>
              <w:rPr>
                <w:rFonts w:hint="eastAsia"/>
                <w:sz w:val="24"/>
                <w:szCs w:val="24"/>
                <w:vertAlign w:val="baseline"/>
                <w:lang w:val="en-US" w:eastAsia="zh-CN"/>
              </w:rPr>
              <w:t>1</w:t>
            </w:r>
          </w:p>
        </w:tc>
      </w:tr>
      <w:tr w14:paraId="508AF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vAlign w:val="center"/>
          </w:tcPr>
          <w:p w14:paraId="227D1117">
            <w:pPr>
              <w:widowControl w:val="0"/>
              <w:jc w:val="both"/>
              <w:rPr>
                <w:rFonts w:hint="eastAsia"/>
                <w:sz w:val="24"/>
                <w:szCs w:val="24"/>
                <w:vertAlign w:val="baseline"/>
              </w:rPr>
            </w:pPr>
            <w:r>
              <w:rPr>
                <w:rFonts w:hint="eastAsia"/>
                <w:sz w:val="24"/>
                <w:szCs w:val="24"/>
                <w:vertAlign w:val="baseline"/>
                <w:lang w:val="en-US" w:eastAsia="zh-CN"/>
              </w:rPr>
              <w:t>辅材</w:t>
            </w:r>
          </w:p>
        </w:tc>
        <w:tc>
          <w:tcPr>
            <w:tcW w:w="1938" w:type="dxa"/>
            <w:vAlign w:val="center"/>
          </w:tcPr>
          <w:p w14:paraId="31BC13D7">
            <w:pPr>
              <w:widowControl w:val="0"/>
              <w:jc w:val="both"/>
              <w:rPr>
                <w:rFonts w:hint="eastAsia"/>
                <w:sz w:val="24"/>
                <w:szCs w:val="24"/>
                <w:vertAlign w:val="baseline"/>
              </w:rPr>
            </w:pPr>
            <w:r>
              <w:rPr>
                <w:rFonts w:hint="eastAsia"/>
                <w:sz w:val="24"/>
                <w:szCs w:val="24"/>
                <w:vertAlign w:val="baseline"/>
                <w:lang w:val="en-US" w:eastAsia="zh-CN"/>
              </w:rPr>
              <w:t>pvc管</w:t>
            </w:r>
          </w:p>
        </w:tc>
        <w:tc>
          <w:tcPr>
            <w:tcW w:w="7812" w:type="dxa"/>
            <w:vAlign w:val="center"/>
          </w:tcPr>
          <w:p w14:paraId="693CFEA7">
            <w:pPr>
              <w:widowControl w:val="0"/>
              <w:jc w:val="both"/>
              <w:rPr>
                <w:rFonts w:hint="eastAsia"/>
                <w:sz w:val="24"/>
                <w:szCs w:val="24"/>
                <w:vertAlign w:val="baseline"/>
              </w:rPr>
            </w:pPr>
            <w:r>
              <w:rPr>
                <w:rFonts w:hint="eastAsia"/>
                <w:sz w:val="24"/>
                <w:szCs w:val="24"/>
                <w:vertAlign w:val="baseline"/>
                <w:lang w:val="en-US" w:eastAsia="zh-CN"/>
              </w:rPr>
              <w:t>1.8mm</w:t>
            </w:r>
          </w:p>
        </w:tc>
        <w:tc>
          <w:tcPr>
            <w:tcW w:w="813" w:type="dxa"/>
            <w:vAlign w:val="center"/>
          </w:tcPr>
          <w:p w14:paraId="353E5226">
            <w:pPr>
              <w:widowControl w:val="0"/>
              <w:jc w:val="both"/>
              <w:rPr>
                <w:rFonts w:hint="eastAsia"/>
                <w:sz w:val="24"/>
                <w:szCs w:val="24"/>
                <w:vertAlign w:val="baseline"/>
              </w:rPr>
            </w:pPr>
            <w:r>
              <w:rPr>
                <w:rFonts w:hint="eastAsia"/>
                <w:sz w:val="24"/>
                <w:szCs w:val="24"/>
                <w:vertAlign w:val="baseline"/>
                <w:lang w:val="en-US" w:eastAsia="zh-CN"/>
              </w:rPr>
              <w:t>根</w:t>
            </w:r>
          </w:p>
        </w:tc>
        <w:tc>
          <w:tcPr>
            <w:tcW w:w="1462" w:type="dxa"/>
            <w:vAlign w:val="center"/>
          </w:tcPr>
          <w:p w14:paraId="66176981">
            <w:pPr>
              <w:widowControl w:val="0"/>
              <w:jc w:val="both"/>
              <w:rPr>
                <w:rFonts w:hint="eastAsia"/>
                <w:sz w:val="24"/>
                <w:szCs w:val="24"/>
                <w:vertAlign w:val="baseline"/>
              </w:rPr>
            </w:pPr>
            <w:r>
              <w:rPr>
                <w:rFonts w:hint="eastAsia"/>
                <w:sz w:val="24"/>
                <w:szCs w:val="24"/>
                <w:vertAlign w:val="baseline"/>
                <w:lang w:val="en-US" w:eastAsia="zh-CN"/>
              </w:rPr>
              <w:t>200</w:t>
            </w:r>
          </w:p>
        </w:tc>
      </w:tr>
      <w:tr w14:paraId="6E52E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vAlign w:val="center"/>
          </w:tcPr>
          <w:p w14:paraId="4A4093F1">
            <w:pPr>
              <w:widowControl w:val="0"/>
              <w:jc w:val="both"/>
              <w:rPr>
                <w:rFonts w:hint="eastAsia"/>
                <w:sz w:val="24"/>
                <w:szCs w:val="24"/>
                <w:vertAlign w:val="baseline"/>
              </w:rPr>
            </w:pPr>
          </w:p>
        </w:tc>
        <w:tc>
          <w:tcPr>
            <w:tcW w:w="9750" w:type="dxa"/>
            <w:gridSpan w:val="2"/>
            <w:vAlign w:val="center"/>
          </w:tcPr>
          <w:p w14:paraId="65857E0F">
            <w:pPr>
              <w:widowControl w:val="0"/>
              <w:jc w:val="both"/>
              <w:rPr>
                <w:rFonts w:hint="eastAsia"/>
                <w:sz w:val="24"/>
                <w:szCs w:val="24"/>
                <w:vertAlign w:val="baseline"/>
              </w:rPr>
            </w:pPr>
            <w:r>
              <w:rPr>
                <w:rFonts w:hint="eastAsia"/>
                <w:sz w:val="24"/>
                <w:szCs w:val="24"/>
                <w:vertAlign w:val="baseline"/>
                <w:lang w:val="en-US" w:eastAsia="zh-CN"/>
              </w:rPr>
              <w:t>水晶头.胶布.五金.空开.排插.铜线</w:t>
            </w:r>
          </w:p>
        </w:tc>
        <w:tc>
          <w:tcPr>
            <w:tcW w:w="813" w:type="dxa"/>
            <w:vAlign w:val="center"/>
          </w:tcPr>
          <w:p w14:paraId="27B303E7">
            <w:pPr>
              <w:widowControl w:val="0"/>
              <w:jc w:val="both"/>
              <w:rPr>
                <w:rFonts w:hint="eastAsia"/>
                <w:sz w:val="24"/>
                <w:szCs w:val="24"/>
                <w:vertAlign w:val="baseline"/>
              </w:rPr>
            </w:pPr>
            <w:r>
              <w:rPr>
                <w:rFonts w:hint="eastAsia"/>
                <w:sz w:val="24"/>
                <w:szCs w:val="24"/>
                <w:vertAlign w:val="baseline"/>
                <w:lang w:val="en-US" w:eastAsia="zh-CN"/>
              </w:rPr>
              <w:t>批</w:t>
            </w:r>
          </w:p>
        </w:tc>
        <w:tc>
          <w:tcPr>
            <w:tcW w:w="1462" w:type="dxa"/>
            <w:vAlign w:val="center"/>
          </w:tcPr>
          <w:p w14:paraId="02AE16E0">
            <w:pPr>
              <w:widowControl w:val="0"/>
              <w:jc w:val="both"/>
              <w:rPr>
                <w:rFonts w:hint="eastAsia"/>
                <w:sz w:val="24"/>
                <w:szCs w:val="24"/>
                <w:vertAlign w:val="baseline"/>
              </w:rPr>
            </w:pPr>
            <w:r>
              <w:rPr>
                <w:rFonts w:hint="eastAsia"/>
                <w:sz w:val="24"/>
                <w:szCs w:val="24"/>
                <w:vertAlign w:val="baseline"/>
                <w:lang w:val="en-US" w:eastAsia="zh-CN"/>
              </w:rPr>
              <w:t>1</w:t>
            </w:r>
          </w:p>
        </w:tc>
      </w:tr>
      <w:tr w14:paraId="3219F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vAlign w:val="center"/>
          </w:tcPr>
          <w:p w14:paraId="4A5E6A26">
            <w:pPr>
              <w:widowControl w:val="0"/>
              <w:jc w:val="both"/>
              <w:rPr>
                <w:rFonts w:hint="eastAsia"/>
                <w:sz w:val="24"/>
                <w:szCs w:val="24"/>
                <w:vertAlign w:val="baseline"/>
              </w:rPr>
            </w:pPr>
            <w:r>
              <w:rPr>
                <w:rFonts w:hint="eastAsia"/>
                <w:sz w:val="24"/>
                <w:szCs w:val="24"/>
                <w:vertAlign w:val="baseline"/>
                <w:lang w:val="en-US" w:eastAsia="zh-CN"/>
              </w:rPr>
              <w:t>施工</w:t>
            </w:r>
          </w:p>
        </w:tc>
        <w:tc>
          <w:tcPr>
            <w:tcW w:w="1938" w:type="dxa"/>
            <w:vAlign w:val="center"/>
          </w:tcPr>
          <w:p w14:paraId="1312279F">
            <w:pPr>
              <w:widowControl w:val="0"/>
              <w:jc w:val="both"/>
              <w:rPr>
                <w:rFonts w:hint="eastAsia"/>
                <w:sz w:val="24"/>
                <w:szCs w:val="24"/>
                <w:vertAlign w:val="baseline"/>
              </w:rPr>
            </w:pPr>
            <w:r>
              <w:rPr>
                <w:rFonts w:hint="eastAsia"/>
                <w:sz w:val="24"/>
                <w:szCs w:val="24"/>
                <w:vertAlign w:val="baseline"/>
                <w:lang w:val="en-US" w:eastAsia="zh-CN"/>
              </w:rPr>
              <w:t>安装.预埋.调试</w:t>
            </w:r>
          </w:p>
        </w:tc>
        <w:tc>
          <w:tcPr>
            <w:tcW w:w="7812" w:type="dxa"/>
            <w:vAlign w:val="center"/>
          </w:tcPr>
          <w:p w14:paraId="08BAF9C0">
            <w:pPr>
              <w:widowControl w:val="0"/>
              <w:jc w:val="both"/>
              <w:rPr>
                <w:rFonts w:hint="eastAsia"/>
                <w:sz w:val="24"/>
                <w:szCs w:val="24"/>
                <w:vertAlign w:val="baseline"/>
              </w:rPr>
            </w:pPr>
          </w:p>
        </w:tc>
        <w:tc>
          <w:tcPr>
            <w:tcW w:w="813" w:type="dxa"/>
            <w:vAlign w:val="center"/>
          </w:tcPr>
          <w:p w14:paraId="39FA1BFF">
            <w:pPr>
              <w:widowControl w:val="0"/>
              <w:jc w:val="both"/>
              <w:rPr>
                <w:rFonts w:hint="eastAsia"/>
                <w:sz w:val="24"/>
                <w:szCs w:val="24"/>
                <w:vertAlign w:val="baseline"/>
              </w:rPr>
            </w:pPr>
            <w:r>
              <w:rPr>
                <w:rFonts w:hint="eastAsia"/>
                <w:sz w:val="24"/>
                <w:szCs w:val="24"/>
                <w:vertAlign w:val="baseline"/>
                <w:lang w:val="en-US" w:eastAsia="zh-CN"/>
              </w:rPr>
              <w:t>点</w:t>
            </w:r>
          </w:p>
        </w:tc>
        <w:tc>
          <w:tcPr>
            <w:tcW w:w="1462" w:type="dxa"/>
            <w:vAlign w:val="center"/>
          </w:tcPr>
          <w:p w14:paraId="6F632404">
            <w:pPr>
              <w:widowControl w:val="0"/>
              <w:jc w:val="both"/>
              <w:rPr>
                <w:rFonts w:hint="eastAsia"/>
                <w:sz w:val="24"/>
                <w:szCs w:val="24"/>
                <w:vertAlign w:val="baseline"/>
              </w:rPr>
            </w:pPr>
            <w:r>
              <w:rPr>
                <w:rFonts w:hint="eastAsia"/>
                <w:sz w:val="24"/>
                <w:szCs w:val="24"/>
                <w:vertAlign w:val="baseline"/>
                <w:lang w:val="en-US" w:eastAsia="zh-CN"/>
              </w:rPr>
              <w:t>24</w:t>
            </w:r>
          </w:p>
        </w:tc>
      </w:tr>
      <w:tr w14:paraId="4C1FF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tcPr>
          <w:p w14:paraId="39F03C37">
            <w:pPr>
              <w:widowControl w:val="0"/>
              <w:jc w:val="both"/>
              <w:rPr>
                <w:rFonts w:hint="eastAsia"/>
                <w:sz w:val="24"/>
                <w:szCs w:val="24"/>
                <w:vertAlign w:val="baseline"/>
                <w:lang w:val="en-US" w:eastAsia="zh-CN"/>
              </w:rPr>
            </w:pPr>
          </w:p>
        </w:tc>
        <w:tc>
          <w:tcPr>
            <w:tcW w:w="1938" w:type="dxa"/>
          </w:tcPr>
          <w:p w14:paraId="3886CCD8">
            <w:pPr>
              <w:widowControl w:val="0"/>
              <w:jc w:val="both"/>
              <w:rPr>
                <w:rFonts w:hint="eastAsia"/>
                <w:sz w:val="24"/>
                <w:szCs w:val="24"/>
                <w:vertAlign w:val="baseline"/>
                <w:lang w:val="en-US" w:eastAsia="zh-CN"/>
              </w:rPr>
            </w:pPr>
            <w:r>
              <w:rPr>
                <w:rFonts w:hint="eastAsia"/>
                <w:sz w:val="24"/>
                <w:szCs w:val="24"/>
                <w:vertAlign w:val="baseline"/>
                <w:lang w:val="en-US" w:eastAsia="zh-CN"/>
              </w:rPr>
              <w:t>室外切槽回复埋线</w:t>
            </w:r>
          </w:p>
        </w:tc>
        <w:tc>
          <w:tcPr>
            <w:tcW w:w="7812" w:type="dxa"/>
          </w:tcPr>
          <w:p w14:paraId="49472F4B">
            <w:pPr>
              <w:widowControl w:val="0"/>
              <w:jc w:val="both"/>
              <w:rPr>
                <w:rFonts w:hint="eastAsia"/>
                <w:sz w:val="24"/>
                <w:szCs w:val="24"/>
                <w:vertAlign w:val="baseline"/>
                <w:lang w:val="en-US" w:eastAsia="zh-CN"/>
              </w:rPr>
            </w:pPr>
          </w:p>
        </w:tc>
        <w:tc>
          <w:tcPr>
            <w:tcW w:w="813" w:type="dxa"/>
            <w:vAlign w:val="center"/>
          </w:tcPr>
          <w:p w14:paraId="304CE411">
            <w:pPr>
              <w:widowControl w:val="0"/>
              <w:jc w:val="both"/>
              <w:rPr>
                <w:rFonts w:hint="eastAsia"/>
                <w:sz w:val="24"/>
                <w:szCs w:val="24"/>
                <w:vertAlign w:val="baseline"/>
                <w:lang w:val="en-US" w:eastAsia="zh-CN"/>
              </w:rPr>
            </w:pPr>
            <w:r>
              <w:rPr>
                <w:rFonts w:hint="eastAsia"/>
                <w:sz w:val="24"/>
                <w:szCs w:val="24"/>
                <w:vertAlign w:val="baseline"/>
                <w:lang w:val="en-US" w:eastAsia="zh-CN"/>
              </w:rPr>
              <w:t>米</w:t>
            </w:r>
          </w:p>
        </w:tc>
        <w:tc>
          <w:tcPr>
            <w:tcW w:w="1462" w:type="dxa"/>
            <w:vAlign w:val="center"/>
          </w:tcPr>
          <w:p w14:paraId="19F9EF4C">
            <w:pPr>
              <w:widowControl w:val="0"/>
              <w:jc w:val="both"/>
              <w:rPr>
                <w:rFonts w:hint="eastAsia"/>
                <w:sz w:val="24"/>
                <w:szCs w:val="24"/>
                <w:vertAlign w:val="baseline"/>
                <w:lang w:val="en-US" w:eastAsia="zh-CN"/>
              </w:rPr>
            </w:pPr>
            <w:r>
              <w:rPr>
                <w:rFonts w:hint="eastAsia"/>
                <w:sz w:val="24"/>
                <w:szCs w:val="24"/>
                <w:vertAlign w:val="baseline"/>
                <w:lang w:val="en-US" w:eastAsia="zh-CN"/>
              </w:rPr>
              <w:t>60</w:t>
            </w:r>
          </w:p>
        </w:tc>
      </w:tr>
      <w:tr w14:paraId="35468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3" w:type="dxa"/>
            <w:vAlign w:val="center"/>
          </w:tcPr>
          <w:p w14:paraId="1556F54A">
            <w:pPr>
              <w:widowControl w:val="0"/>
              <w:jc w:val="both"/>
              <w:rPr>
                <w:rFonts w:hint="eastAsia"/>
                <w:sz w:val="24"/>
                <w:szCs w:val="24"/>
                <w:vertAlign w:val="baseline"/>
                <w:lang w:val="en-US" w:eastAsia="zh-CN"/>
              </w:rPr>
            </w:pPr>
            <w:r>
              <w:rPr>
                <w:rFonts w:hint="eastAsia"/>
                <w:sz w:val="24"/>
                <w:szCs w:val="24"/>
                <w:vertAlign w:val="baseline"/>
                <w:lang w:val="en-US" w:eastAsia="zh-CN"/>
              </w:rPr>
              <w:t>1.5匹空调</w:t>
            </w:r>
          </w:p>
        </w:tc>
        <w:tc>
          <w:tcPr>
            <w:tcW w:w="1938" w:type="dxa"/>
            <w:vAlign w:val="center"/>
          </w:tcPr>
          <w:p w14:paraId="656703FE">
            <w:pPr>
              <w:widowControl w:val="0"/>
              <w:jc w:val="both"/>
              <w:rPr>
                <w:rFonts w:hint="eastAsia"/>
                <w:sz w:val="24"/>
                <w:szCs w:val="24"/>
                <w:vertAlign w:val="baseline"/>
                <w:lang w:val="en-US" w:eastAsia="zh-CN"/>
              </w:rPr>
            </w:pPr>
            <w:r>
              <w:rPr>
                <w:rFonts w:hint="eastAsia"/>
                <w:sz w:val="24"/>
                <w:szCs w:val="24"/>
                <w:vertAlign w:val="baseline"/>
                <w:lang w:val="en-US" w:eastAsia="zh-CN"/>
              </w:rPr>
              <w:t>一级能效</w:t>
            </w:r>
          </w:p>
        </w:tc>
        <w:tc>
          <w:tcPr>
            <w:tcW w:w="7812" w:type="dxa"/>
            <w:vAlign w:val="center"/>
          </w:tcPr>
          <w:p w14:paraId="6402FBD8">
            <w:pPr>
              <w:widowControl w:val="0"/>
              <w:jc w:val="both"/>
              <w:rPr>
                <w:rFonts w:hint="eastAsia"/>
                <w:sz w:val="24"/>
                <w:szCs w:val="24"/>
                <w:vertAlign w:val="baseline"/>
                <w:lang w:val="en-US" w:eastAsia="zh-CN"/>
              </w:rPr>
            </w:pPr>
            <w:r>
              <w:rPr>
                <w:rFonts w:hint="eastAsia"/>
                <w:sz w:val="24"/>
                <w:szCs w:val="24"/>
                <w:vertAlign w:val="baseline"/>
                <w:lang w:val="en-US" w:eastAsia="zh-CN"/>
              </w:rPr>
              <w:t>1.变频冷暖两用 、220V、一级能效</w:t>
            </w:r>
            <w:r>
              <w:rPr>
                <w:rFonts w:hint="eastAsia"/>
                <w:sz w:val="24"/>
                <w:szCs w:val="24"/>
                <w:vertAlign w:val="baseline"/>
                <w:lang w:val="en-US" w:eastAsia="zh-CN"/>
              </w:rPr>
              <w:br w:type="textWrapping"/>
            </w:r>
            <w:r>
              <w:rPr>
                <w:rFonts w:hint="eastAsia"/>
                <w:sz w:val="24"/>
                <w:szCs w:val="24"/>
                <w:vertAlign w:val="baseline"/>
                <w:lang w:val="en-US" w:eastAsia="zh-CN"/>
              </w:rPr>
              <w:t>2.全年能源消耗效率APF≥5.20。</w:t>
            </w:r>
            <w:r>
              <w:rPr>
                <w:rFonts w:hint="eastAsia"/>
                <w:sz w:val="24"/>
                <w:szCs w:val="24"/>
                <w:vertAlign w:val="baseline"/>
                <w:lang w:val="en-US" w:eastAsia="zh-CN"/>
              </w:rPr>
              <w:br w:type="textWrapping"/>
            </w:r>
            <w:r>
              <w:rPr>
                <w:rFonts w:hint="eastAsia"/>
                <w:sz w:val="24"/>
                <w:szCs w:val="24"/>
                <w:vertAlign w:val="baseline"/>
                <w:lang w:val="en-US" w:eastAsia="zh-CN"/>
              </w:rPr>
              <w:t>3.额定制冷量≥3500W。</w:t>
            </w:r>
            <w:r>
              <w:rPr>
                <w:rFonts w:hint="eastAsia"/>
                <w:sz w:val="24"/>
                <w:szCs w:val="24"/>
                <w:vertAlign w:val="baseline"/>
                <w:lang w:val="en-US" w:eastAsia="zh-CN"/>
              </w:rPr>
              <w:br w:type="textWrapping"/>
            </w:r>
            <w:r>
              <w:rPr>
                <w:rFonts w:hint="eastAsia"/>
                <w:sz w:val="24"/>
                <w:szCs w:val="24"/>
                <w:vertAlign w:val="baseline"/>
                <w:lang w:val="en-US" w:eastAsia="zh-CN"/>
              </w:rPr>
              <w:t>4.额定制热量≥5000W(不含电辅加热)。</w:t>
            </w:r>
            <w:r>
              <w:rPr>
                <w:rFonts w:hint="eastAsia"/>
                <w:sz w:val="24"/>
                <w:szCs w:val="24"/>
                <w:vertAlign w:val="baseline"/>
                <w:lang w:val="en-US" w:eastAsia="zh-CN"/>
              </w:rPr>
              <w:br w:type="textWrapping"/>
            </w:r>
            <w:r>
              <w:rPr>
                <w:rFonts w:hint="eastAsia"/>
                <w:sz w:val="24"/>
                <w:szCs w:val="24"/>
                <w:vertAlign w:val="baseline"/>
                <w:lang w:val="en-US" w:eastAsia="zh-CN"/>
              </w:rPr>
              <w:t>5.额定制冷功率 ≤860W。</w:t>
            </w:r>
            <w:r>
              <w:rPr>
                <w:rFonts w:hint="eastAsia"/>
                <w:sz w:val="24"/>
                <w:szCs w:val="24"/>
                <w:vertAlign w:val="baseline"/>
                <w:lang w:val="en-US" w:eastAsia="zh-CN"/>
              </w:rPr>
              <w:br w:type="textWrapping"/>
            </w:r>
            <w:r>
              <w:rPr>
                <w:rFonts w:hint="eastAsia"/>
                <w:sz w:val="24"/>
                <w:szCs w:val="24"/>
                <w:vertAlign w:val="baseline"/>
                <w:lang w:val="en-US" w:eastAsia="zh-CN"/>
              </w:rPr>
              <w:t>6.额定制热功率 ≤1300W(不含电辅加热)。</w:t>
            </w:r>
            <w:r>
              <w:rPr>
                <w:rFonts w:hint="eastAsia"/>
                <w:sz w:val="24"/>
                <w:szCs w:val="24"/>
                <w:vertAlign w:val="baseline"/>
                <w:lang w:val="en-US" w:eastAsia="zh-CN"/>
              </w:rPr>
              <w:br w:type="textWrapping"/>
            </w:r>
            <w:r>
              <w:rPr>
                <w:rFonts w:hint="eastAsia"/>
                <w:sz w:val="24"/>
                <w:szCs w:val="24"/>
                <w:vertAlign w:val="baseline"/>
                <w:lang w:val="en-US" w:eastAsia="zh-CN"/>
              </w:rPr>
              <w:t>7.循环风量≥640m³/h。</w:t>
            </w:r>
            <w:r>
              <w:rPr>
                <w:rFonts w:hint="eastAsia"/>
                <w:sz w:val="24"/>
                <w:szCs w:val="24"/>
                <w:vertAlign w:val="baseline"/>
                <w:lang w:val="en-US" w:eastAsia="zh-CN"/>
              </w:rPr>
              <w:br w:type="textWrapping"/>
            </w:r>
            <w:r>
              <w:rPr>
                <w:rFonts w:hint="eastAsia"/>
                <w:sz w:val="24"/>
                <w:szCs w:val="24"/>
                <w:vertAlign w:val="baseline"/>
                <w:lang w:val="en-US" w:eastAsia="zh-CN"/>
              </w:rPr>
              <w:t>8.空调室内机噪音最大值 ≤43dB(A)。</w:t>
            </w:r>
            <w:r>
              <w:rPr>
                <w:rFonts w:hint="eastAsia"/>
                <w:sz w:val="24"/>
                <w:szCs w:val="24"/>
                <w:vertAlign w:val="baseline"/>
                <w:lang w:val="en-US" w:eastAsia="zh-CN"/>
              </w:rPr>
              <w:br w:type="textWrapping"/>
            </w:r>
            <w:r>
              <w:rPr>
                <w:rFonts w:hint="eastAsia"/>
                <w:sz w:val="24"/>
                <w:szCs w:val="24"/>
                <w:vertAlign w:val="baseline"/>
                <w:lang w:val="en-US" w:eastAsia="zh-CN"/>
              </w:rPr>
              <w:t>9.空调室外机噪音最大值 ≤52dB(A)。</w:t>
            </w:r>
          </w:p>
        </w:tc>
        <w:tc>
          <w:tcPr>
            <w:tcW w:w="813" w:type="dxa"/>
            <w:vAlign w:val="center"/>
          </w:tcPr>
          <w:p w14:paraId="29D0CE09">
            <w:pPr>
              <w:widowControl w:val="0"/>
              <w:jc w:val="both"/>
              <w:rPr>
                <w:rFonts w:hint="eastAsia"/>
                <w:sz w:val="24"/>
                <w:szCs w:val="24"/>
                <w:vertAlign w:val="baseline"/>
                <w:lang w:val="en-US" w:eastAsia="zh-CN"/>
              </w:rPr>
            </w:pPr>
            <w:r>
              <w:rPr>
                <w:rFonts w:hint="eastAsia"/>
                <w:sz w:val="24"/>
                <w:szCs w:val="24"/>
                <w:vertAlign w:val="baseline"/>
                <w:lang w:val="en-US" w:eastAsia="zh-CN"/>
              </w:rPr>
              <w:t>台</w:t>
            </w:r>
          </w:p>
        </w:tc>
        <w:tc>
          <w:tcPr>
            <w:tcW w:w="1462" w:type="dxa"/>
            <w:vAlign w:val="center"/>
          </w:tcPr>
          <w:p w14:paraId="23867211">
            <w:pPr>
              <w:widowControl w:val="0"/>
              <w:jc w:val="both"/>
              <w:rPr>
                <w:rFonts w:hint="eastAsia"/>
                <w:sz w:val="24"/>
                <w:szCs w:val="24"/>
                <w:vertAlign w:val="baseline"/>
                <w:lang w:val="en-US" w:eastAsia="zh-CN"/>
              </w:rPr>
            </w:pPr>
            <w:r>
              <w:rPr>
                <w:rFonts w:hint="eastAsia"/>
                <w:sz w:val="24"/>
                <w:szCs w:val="24"/>
                <w:vertAlign w:val="baseline"/>
                <w:lang w:val="en-US" w:eastAsia="zh-CN"/>
              </w:rPr>
              <w:t>1</w:t>
            </w:r>
          </w:p>
        </w:tc>
      </w:tr>
    </w:tbl>
    <w:p w14:paraId="64F0B06D">
      <w:pPr>
        <w:rPr>
          <w:rFonts w:hint="eastAsia"/>
          <w:sz w:val="28"/>
          <w:szCs w:val="28"/>
        </w:rPr>
      </w:pPr>
    </w:p>
    <w:p w14:paraId="61E74856">
      <w:pPr>
        <w:pStyle w:val="4"/>
        <w:rPr>
          <w:rFonts w:hint="eastAsia"/>
        </w:rPr>
      </w:pPr>
    </w:p>
    <w:p w14:paraId="57021AF9">
      <w:pPr>
        <w:jc w:val="left"/>
        <w:rPr>
          <w:rFonts w:hint="default" w:eastAsiaTheme="minorEastAsia"/>
          <w:b/>
          <w:bCs/>
          <w:sz w:val="28"/>
          <w:szCs w:val="28"/>
          <w:lang w:val="en-US" w:eastAsia="zh-CN"/>
        </w:rPr>
      </w:pPr>
      <w:r>
        <w:rPr>
          <w:rFonts w:hint="eastAsia"/>
          <w:b/>
          <w:bCs/>
          <w:sz w:val="28"/>
          <w:szCs w:val="28"/>
          <w:lang w:val="en-US" w:eastAsia="zh-CN"/>
        </w:rPr>
        <w:t>注：《暂列金计划使用明细》仅做计划罗列，在技术要求响应偏离表、商务要求偏离表做出响应即可，暂列金计划使用明细物品如属于政府强制采购节能产品的在本次投标文件中可不提供强制节能相关证书。后续项目实施过程中用到的产品属于强制节能采购产品，承建单位需提供国家确定的认证机构出具的、处于有效期之内的节能产品认证证书给采购人，最终据实结算。</w:t>
      </w:r>
    </w:p>
    <w:p w14:paraId="6E11E85C">
      <w:pPr>
        <w:pStyle w:val="4"/>
        <w:rPr>
          <w:rFonts w:hint="eastAsia"/>
        </w:rPr>
      </w:pPr>
    </w:p>
    <w:p w14:paraId="58FA8CA8">
      <w:pPr>
        <w:pStyle w:val="4"/>
        <w:rPr>
          <w:rFonts w:hint="eastAsia"/>
        </w:rPr>
      </w:pPr>
    </w:p>
    <w:p w14:paraId="01FCF85A">
      <w:pPr>
        <w:pStyle w:val="4"/>
        <w:rPr>
          <w:rFonts w:hint="eastAsia"/>
        </w:rPr>
      </w:pPr>
    </w:p>
    <w:p w14:paraId="7B4B4A55">
      <w:pPr>
        <w:pStyle w:val="4"/>
        <w:rPr>
          <w:rFonts w:hint="eastAsia"/>
        </w:rPr>
      </w:pPr>
    </w:p>
    <w:p w14:paraId="12558849">
      <w:pPr>
        <w:pStyle w:val="4"/>
        <w:rPr>
          <w:rFonts w:hint="eastAsia"/>
        </w:rPr>
      </w:pPr>
    </w:p>
    <w:p w14:paraId="24EB92BF">
      <w:pPr>
        <w:pStyle w:val="4"/>
        <w:rPr>
          <w:rFonts w:hint="eastAsia"/>
        </w:rPr>
        <w:sectPr>
          <w:pgSz w:w="16839" w:h="11906" w:orient="landscape"/>
          <w:pgMar w:top="1786" w:right="1423" w:bottom="1786" w:left="1423" w:header="0" w:footer="994" w:gutter="0"/>
          <w:cols w:space="720" w:num="1"/>
        </w:sectPr>
      </w:pPr>
    </w:p>
    <w:p w14:paraId="3F57A642">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注：详见设计施工图，以设计施工图为准。</w:t>
      </w:r>
    </w:p>
    <w:p w14:paraId="5669A778">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2、供应商拟用于本工程的建筑材料满足以下要求：</w:t>
      </w:r>
    </w:p>
    <w:p w14:paraId="3E8D748A">
      <w:pPr>
        <w:keepNext w:val="0"/>
        <w:keepLines w:val="0"/>
        <w:pageBreakBefore w:val="0"/>
        <w:numPr>
          <w:ilvl w:val="0"/>
          <w:numId w:val="0"/>
        </w:numPr>
        <w:wordWrap/>
        <w:overflowPunct/>
        <w:topLinePunct w:val="0"/>
        <w:bidi w:val="0"/>
        <w:adjustRightInd w:val="0"/>
        <w:snapToGrid w:val="0"/>
        <w:spacing w:line="520" w:lineRule="exact"/>
        <w:ind w:firstLine="480" w:firstLineChars="200"/>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kern w:val="2"/>
          <w:sz w:val="24"/>
          <w:szCs w:val="24"/>
          <w:lang w:val="en-US" w:eastAsia="zh-CN" w:bidi="ar-SA"/>
        </w:rPr>
        <w:t>2.1</w:t>
      </w:r>
      <w:r>
        <w:rPr>
          <w:rFonts w:hint="eastAsia" w:ascii="宋体" w:hAnsi="宋体" w:eastAsia="宋体" w:cs="宋体"/>
          <w:b w:val="0"/>
          <w:bCs w:val="0"/>
          <w:color w:val="000000"/>
          <w:kern w:val="2"/>
          <w:sz w:val="24"/>
          <w:szCs w:val="24"/>
          <w:highlight w:val="none"/>
          <w:lang w:val="en-US" w:eastAsia="zh-CN" w:bidi="ar-SA"/>
        </w:rPr>
        <w:t>，</w:t>
      </w:r>
      <w:r>
        <w:rPr>
          <w:rFonts w:hint="eastAsia" w:ascii="宋体" w:hAnsi="宋体" w:eastAsia="宋体" w:cs="宋体"/>
          <w:b w:val="0"/>
          <w:bCs w:val="0"/>
          <w:color w:val="000000"/>
          <w:sz w:val="24"/>
          <w:szCs w:val="24"/>
          <w:highlight w:val="none"/>
        </w:rPr>
        <w:t xml:space="preserve">本项目所使用的石墨复合保温板，符合《建筑绝热用石墨改性模塑聚苯乙烯泡沫塑料板》JC/T2441-2018技术要求如下： </w:t>
      </w:r>
    </w:p>
    <w:p w14:paraId="248E745B">
      <w:pPr>
        <w:keepNext w:val="0"/>
        <w:keepLines w:val="0"/>
        <w:pageBreakBefore w:val="0"/>
        <w:numPr>
          <w:ilvl w:val="0"/>
          <w:numId w:val="0"/>
        </w:numPr>
        <w:wordWrap/>
        <w:overflowPunct/>
        <w:topLinePunct w:val="0"/>
        <w:bidi w:val="0"/>
        <w:adjustRightInd w:val="0"/>
        <w:snapToGrid w:val="0"/>
        <w:spacing w:line="520" w:lineRule="exact"/>
        <w:ind w:firstLine="720" w:firstLineChars="300"/>
        <w:rPr>
          <w:rFonts w:hint="default" w:ascii="宋体" w:hAnsi="宋体" w:eastAsia="宋体" w:cs="宋体"/>
          <w:b w:val="0"/>
          <w:bCs w:val="0"/>
          <w:color w:val="000000"/>
          <w:sz w:val="24"/>
          <w:szCs w:val="24"/>
          <w:highlight w:val="none"/>
          <w:lang w:val="en-US" w:eastAsia="zh-CN"/>
        </w:rPr>
      </w:pPr>
      <w:r>
        <w:rPr>
          <w:rFonts w:hint="eastAsia" w:ascii="宋体" w:hAnsi="宋体" w:eastAsia="宋体" w:cs="宋体"/>
          <w:b w:val="0"/>
          <w:bCs w:val="0"/>
          <w:color w:val="000000"/>
          <w:sz w:val="24"/>
          <w:szCs w:val="24"/>
          <w:highlight w:val="none"/>
        </w:rPr>
        <w:t>a，</w:t>
      </w:r>
      <w:r>
        <w:rPr>
          <w:rFonts w:hint="eastAsia" w:ascii="宋体" w:hAnsi="宋体" w:eastAsia="宋体" w:cs="宋体"/>
          <w:b w:val="0"/>
          <w:bCs w:val="0"/>
          <w:color w:val="000000"/>
          <w:sz w:val="24"/>
          <w:szCs w:val="24"/>
          <w:highlight w:val="none"/>
          <w:lang w:val="en-US" w:eastAsia="zh-CN"/>
        </w:rPr>
        <w:t>导热系数[平均温度（25±2）℃]/[W/(m·K)]</w:t>
      </w:r>
      <w:r>
        <w:rPr>
          <w:rFonts w:hint="default" w:ascii="Arial" w:hAnsi="Arial" w:eastAsia="宋体" w:cs="Arial"/>
          <w:b w:val="0"/>
          <w:bCs w:val="0"/>
          <w:color w:val="000000"/>
          <w:sz w:val="24"/>
          <w:szCs w:val="24"/>
          <w:highlight w:val="none"/>
          <w:lang w:val="en-US" w:eastAsia="zh-CN"/>
        </w:rPr>
        <w:t>≤</w:t>
      </w:r>
      <w:r>
        <w:rPr>
          <w:rFonts w:hint="eastAsia" w:ascii="宋体" w:hAnsi="宋体" w:eastAsia="宋体" w:cs="宋体"/>
          <w:b w:val="0"/>
          <w:bCs w:val="0"/>
          <w:color w:val="000000"/>
          <w:sz w:val="24"/>
          <w:szCs w:val="24"/>
          <w:highlight w:val="none"/>
          <w:lang w:val="en-US" w:eastAsia="zh-CN"/>
        </w:rPr>
        <w:t>0.03</w:t>
      </w:r>
    </w:p>
    <w:p w14:paraId="7D7DF02F">
      <w:pPr>
        <w:keepNext w:val="0"/>
        <w:keepLines w:val="0"/>
        <w:pageBreakBefore w:val="0"/>
        <w:numPr>
          <w:ilvl w:val="0"/>
          <w:numId w:val="0"/>
        </w:numPr>
        <w:wordWrap/>
        <w:overflowPunct/>
        <w:topLinePunct w:val="0"/>
        <w:bidi w:val="0"/>
        <w:adjustRightInd w:val="0"/>
        <w:snapToGrid w:val="0"/>
        <w:spacing w:line="520" w:lineRule="exact"/>
        <w:ind w:firstLine="720" w:firstLineChars="300"/>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rPr>
        <w:t>b，体积吸水率(%)≤2.</w:t>
      </w:r>
    </w:p>
    <w:p w14:paraId="21A3F59A">
      <w:pPr>
        <w:keepNext w:val="0"/>
        <w:keepLines w:val="0"/>
        <w:pageBreakBefore w:val="0"/>
        <w:wordWrap/>
        <w:overflowPunct/>
        <w:topLinePunct w:val="0"/>
        <w:bidi w:val="0"/>
        <w:adjustRightInd w:val="0"/>
        <w:snapToGrid w:val="0"/>
        <w:spacing w:line="520" w:lineRule="exact"/>
        <w:ind w:firstLine="480" w:firstLineChars="200"/>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lang w:val="en-US" w:eastAsia="zh-CN"/>
        </w:rPr>
        <w:t>2.</w:t>
      </w:r>
      <w:r>
        <w:rPr>
          <w:rFonts w:hint="eastAsia" w:ascii="宋体" w:hAnsi="宋体" w:eastAsia="宋体" w:cs="宋体"/>
          <w:b w:val="0"/>
          <w:bCs w:val="0"/>
          <w:color w:val="000000"/>
          <w:sz w:val="24"/>
          <w:szCs w:val="24"/>
          <w:highlight w:val="none"/>
        </w:rPr>
        <w:t xml:space="preserve">2，本项目所使用的自粘聚合物改性沥青防水卷材，符合《自粘聚合物改性沥青防水卷材》GB23441-2009技术要求如下： </w:t>
      </w:r>
    </w:p>
    <w:p w14:paraId="357873CD">
      <w:pPr>
        <w:keepNext w:val="0"/>
        <w:keepLines w:val="0"/>
        <w:pageBreakBefore w:val="0"/>
        <w:wordWrap/>
        <w:overflowPunct/>
        <w:topLinePunct w:val="0"/>
        <w:bidi w:val="0"/>
        <w:adjustRightInd w:val="0"/>
        <w:snapToGrid w:val="0"/>
        <w:spacing w:line="520" w:lineRule="exact"/>
        <w:ind w:firstLine="720" w:firstLineChars="300"/>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rPr>
        <w:t>a，热老化后低温柔度-18</w:t>
      </w:r>
      <w:r>
        <w:rPr>
          <w:rFonts w:hint="eastAsia" w:ascii="宋体" w:hAnsi="宋体" w:eastAsia="宋体" w:cs="宋体"/>
          <w:b w:val="0"/>
          <w:bCs w:val="0"/>
          <w:color w:val="000000"/>
          <w:sz w:val="24"/>
          <w:szCs w:val="24"/>
          <w:highlight w:val="none"/>
          <w:lang w:val="en-US" w:eastAsia="zh-CN"/>
        </w:rPr>
        <w:t>℃</w:t>
      </w:r>
      <w:r>
        <w:rPr>
          <w:rFonts w:hint="eastAsia" w:ascii="宋体" w:hAnsi="宋体" w:eastAsia="宋体" w:cs="宋体"/>
          <w:b w:val="0"/>
          <w:bCs w:val="0"/>
          <w:color w:val="000000"/>
          <w:sz w:val="24"/>
          <w:szCs w:val="24"/>
          <w:highlight w:val="none"/>
        </w:rPr>
        <w:t>下无裂纹；</w:t>
      </w:r>
    </w:p>
    <w:p w14:paraId="12E72B02">
      <w:pPr>
        <w:keepNext w:val="0"/>
        <w:keepLines w:val="0"/>
        <w:pageBreakBefore w:val="0"/>
        <w:wordWrap/>
        <w:overflowPunct/>
        <w:topLinePunct w:val="0"/>
        <w:bidi w:val="0"/>
        <w:adjustRightInd w:val="0"/>
        <w:snapToGrid w:val="0"/>
        <w:spacing w:line="520" w:lineRule="exact"/>
        <w:ind w:firstLine="720" w:firstLineChars="300"/>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rPr>
        <w:t>b，拉伸性能(</w:t>
      </w:r>
      <w:r>
        <w:rPr>
          <w:rFonts w:hint="eastAsia" w:ascii="宋体" w:hAnsi="宋体" w:eastAsia="宋体" w:cs="宋体"/>
          <w:b w:val="0"/>
          <w:bCs w:val="0"/>
          <w:color w:val="000000"/>
          <w:sz w:val="24"/>
          <w:szCs w:val="24"/>
          <w:highlight w:val="none"/>
          <w:lang w:val="en-US" w:eastAsia="zh-CN"/>
        </w:rPr>
        <w:t>N</w:t>
      </w:r>
      <w:r>
        <w:rPr>
          <w:rFonts w:hint="eastAsia" w:ascii="宋体" w:hAnsi="宋体" w:eastAsia="宋体" w:cs="宋体"/>
          <w:b w:val="0"/>
          <w:bCs w:val="0"/>
          <w:color w:val="000000"/>
          <w:sz w:val="24"/>
          <w:szCs w:val="24"/>
          <w:highlight w:val="none"/>
        </w:rPr>
        <w:t>/50mm)≥700.</w:t>
      </w:r>
    </w:p>
    <w:p w14:paraId="6D7ED2D6">
      <w:pPr>
        <w:keepNext w:val="0"/>
        <w:keepLines w:val="0"/>
        <w:pageBreakBefore w:val="0"/>
        <w:wordWrap/>
        <w:overflowPunct/>
        <w:topLinePunct w:val="0"/>
        <w:bidi w:val="0"/>
        <w:adjustRightInd w:val="0"/>
        <w:snapToGrid w:val="0"/>
        <w:spacing w:line="520" w:lineRule="exact"/>
        <w:ind w:firstLine="480" w:firstLineChars="200"/>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lang w:val="en-US" w:eastAsia="zh-CN"/>
        </w:rPr>
        <w:t>2.3</w:t>
      </w:r>
      <w:r>
        <w:rPr>
          <w:rFonts w:hint="eastAsia" w:ascii="宋体" w:hAnsi="宋体" w:eastAsia="宋体" w:cs="宋体"/>
          <w:b w:val="0"/>
          <w:bCs w:val="0"/>
          <w:color w:val="000000"/>
          <w:sz w:val="24"/>
          <w:szCs w:val="24"/>
          <w:highlight w:val="none"/>
        </w:rPr>
        <w:t xml:space="preserve">，本项目所使用的多组分聚氨酯防水涂料，符合《聚氨酯防水涂料》GB/T19250-2013技术要求如下： </w:t>
      </w:r>
    </w:p>
    <w:p w14:paraId="39A0DDE6">
      <w:pPr>
        <w:keepNext w:val="0"/>
        <w:keepLines w:val="0"/>
        <w:pageBreakBefore w:val="0"/>
        <w:wordWrap/>
        <w:overflowPunct/>
        <w:topLinePunct w:val="0"/>
        <w:bidi w:val="0"/>
        <w:adjustRightInd w:val="0"/>
        <w:snapToGrid w:val="0"/>
        <w:spacing w:line="520" w:lineRule="exact"/>
        <w:ind w:firstLine="720" w:firstLineChars="300"/>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rPr>
        <w:t>a，拉伸强度(MPa)≥7.00;</w:t>
      </w:r>
    </w:p>
    <w:p w14:paraId="75B97319">
      <w:pPr>
        <w:keepNext w:val="0"/>
        <w:keepLines w:val="0"/>
        <w:pageBreakBefore w:val="0"/>
        <w:wordWrap/>
        <w:overflowPunct/>
        <w:topLinePunct w:val="0"/>
        <w:bidi w:val="0"/>
        <w:adjustRightInd w:val="0"/>
        <w:snapToGrid w:val="0"/>
        <w:spacing w:line="520" w:lineRule="exact"/>
        <w:ind w:firstLine="720" w:firstLineChars="300"/>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rPr>
        <w:t>b，断裂伸长率(%)≥550;</w:t>
      </w:r>
    </w:p>
    <w:p w14:paraId="0E789863">
      <w:pPr>
        <w:keepNext w:val="0"/>
        <w:keepLines w:val="0"/>
        <w:pageBreakBefore w:val="0"/>
        <w:wordWrap/>
        <w:overflowPunct/>
        <w:topLinePunct w:val="0"/>
        <w:bidi w:val="0"/>
        <w:adjustRightInd w:val="0"/>
        <w:snapToGrid w:val="0"/>
        <w:spacing w:line="520" w:lineRule="exact"/>
        <w:ind w:firstLine="720" w:firstLineChars="300"/>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rPr>
        <w:t>c，低温弯折性-35</w:t>
      </w:r>
      <w:r>
        <w:rPr>
          <w:rFonts w:hint="eastAsia" w:ascii="宋体" w:hAnsi="宋体" w:eastAsia="宋体" w:cs="宋体"/>
          <w:b w:val="0"/>
          <w:bCs w:val="0"/>
          <w:color w:val="000000"/>
          <w:sz w:val="24"/>
          <w:szCs w:val="24"/>
          <w:highlight w:val="none"/>
          <w:lang w:val="en-US" w:eastAsia="zh-CN"/>
        </w:rPr>
        <w:t>℃</w:t>
      </w:r>
      <w:r>
        <w:rPr>
          <w:rFonts w:hint="eastAsia" w:ascii="宋体" w:hAnsi="宋体" w:eastAsia="宋体" w:cs="宋体"/>
          <w:b w:val="0"/>
          <w:bCs w:val="0"/>
          <w:color w:val="000000"/>
          <w:sz w:val="24"/>
          <w:szCs w:val="24"/>
          <w:highlight w:val="none"/>
        </w:rPr>
        <w:t>，无裂纹；</w:t>
      </w:r>
    </w:p>
    <w:p w14:paraId="5DE1254D">
      <w:pPr>
        <w:keepNext w:val="0"/>
        <w:keepLines w:val="0"/>
        <w:pageBreakBefore w:val="0"/>
        <w:wordWrap/>
        <w:overflowPunct/>
        <w:topLinePunct w:val="0"/>
        <w:bidi w:val="0"/>
        <w:adjustRightInd w:val="0"/>
        <w:snapToGrid w:val="0"/>
        <w:spacing w:line="520" w:lineRule="exact"/>
        <w:ind w:firstLine="720" w:firstLineChars="300"/>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rPr>
        <w:t>d，不透水性0.3MPa,120min，不透水。</w:t>
      </w:r>
    </w:p>
    <w:p w14:paraId="6B251D46">
      <w:pPr>
        <w:keepNext w:val="0"/>
        <w:keepLines w:val="0"/>
        <w:pageBreakBefore w:val="0"/>
        <w:wordWrap/>
        <w:overflowPunct/>
        <w:topLinePunct w:val="0"/>
        <w:bidi w:val="0"/>
        <w:adjustRightInd w:val="0"/>
        <w:snapToGrid w:val="0"/>
        <w:spacing w:line="520" w:lineRule="exact"/>
        <w:ind w:firstLine="482" w:firstLineChars="200"/>
        <w:rPr>
          <w:rFonts w:hint="eastAsia" w:ascii="宋体" w:hAnsi="宋体" w:eastAsia="宋体" w:cs="宋体"/>
          <w:b/>
          <w:bCs/>
          <w:snapToGrid w:val="0"/>
          <w:color w:val="000000"/>
          <w:kern w:val="24"/>
          <w:sz w:val="24"/>
          <w:szCs w:val="24"/>
          <w:highlight w:val="none"/>
          <w:lang w:val="en-US" w:eastAsia="zh-CN" w:bidi="ar-SA"/>
        </w:rPr>
      </w:pPr>
      <w:r>
        <w:rPr>
          <w:rFonts w:hint="eastAsia" w:ascii="宋体" w:hAnsi="宋体" w:eastAsia="宋体" w:cs="宋体"/>
          <w:b/>
          <w:bCs/>
          <w:color w:val="000000"/>
          <w:sz w:val="24"/>
          <w:szCs w:val="24"/>
          <w:highlight w:val="none"/>
          <w:lang w:val="en-US" w:eastAsia="zh-CN"/>
        </w:rPr>
        <w:t>以上2.1、2.2、2.3</w:t>
      </w:r>
      <w:r>
        <w:rPr>
          <w:rFonts w:hint="eastAsia" w:ascii="宋体" w:hAnsi="宋体" w:eastAsia="宋体" w:cs="宋体"/>
          <w:b/>
          <w:bCs/>
          <w:color w:val="000000"/>
          <w:sz w:val="24"/>
          <w:szCs w:val="24"/>
          <w:highlight w:val="none"/>
        </w:rPr>
        <w:t>所需检测报告须</w:t>
      </w:r>
      <w:r>
        <w:rPr>
          <w:rFonts w:hint="eastAsia" w:ascii="宋体" w:hAnsi="宋体" w:eastAsia="宋体" w:cs="宋体"/>
          <w:b/>
          <w:bCs/>
          <w:color w:val="000000"/>
          <w:sz w:val="24"/>
          <w:szCs w:val="24"/>
          <w:highlight w:val="none"/>
          <w:lang w:val="en-US" w:eastAsia="zh-CN"/>
        </w:rPr>
        <w:t>由</w:t>
      </w:r>
      <w:r>
        <w:rPr>
          <w:rFonts w:hint="eastAsia" w:ascii="宋体" w:hAnsi="宋体" w:eastAsia="宋体" w:cs="宋体"/>
          <w:b/>
          <w:bCs/>
          <w:color w:val="000000"/>
          <w:sz w:val="24"/>
          <w:szCs w:val="24"/>
          <w:highlight w:val="none"/>
        </w:rPr>
        <w:t>建设工程质量检测</w:t>
      </w:r>
      <w:r>
        <w:rPr>
          <w:rFonts w:hint="eastAsia" w:ascii="宋体" w:hAnsi="宋体" w:eastAsia="宋体" w:cs="宋体"/>
          <w:b/>
          <w:bCs/>
          <w:color w:val="000000"/>
          <w:sz w:val="24"/>
          <w:szCs w:val="24"/>
          <w:highlight w:val="none"/>
          <w:lang w:val="en-US" w:eastAsia="zh-CN"/>
        </w:rPr>
        <w:t>机构</w:t>
      </w:r>
      <w:r>
        <w:rPr>
          <w:rFonts w:hint="eastAsia" w:ascii="宋体" w:hAnsi="宋体" w:eastAsia="宋体" w:cs="宋体"/>
          <w:b/>
          <w:bCs/>
          <w:color w:val="000000"/>
          <w:sz w:val="24"/>
          <w:szCs w:val="24"/>
          <w:highlight w:val="none"/>
        </w:rPr>
        <w:t>资质</w:t>
      </w:r>
      <w:r>
        <w:rPr>
          <w:rFonts w:hint="eastAsia" w:ascii="宋体" w:hAnsi="宋体" w:eastAsia="宋体" w:cs="宋体"/>
          <w:b/>
          <w:bCs/>
          <w:color w:val="000000"/>
          <w:sz w:val="24"/>
          <w:szCs w:val="24"/>
          <w:highlight w:val="none"/>
          <w:lang w:val="en-US" w:eastAsia="zh-CN"/>
        </w:rPr>
        <w:t>的</w:t>
      </w:r>
      <w:r>
        <w:rPr>
          <w:rFonts w:hint="eastAsia" w:ascii="宋体" w:hAnsi="宋体" w:eastAsia="宋体" w:cs="宋体"/>
          <w:b/>
          <w:bCs/>
          <w:color w:val="000000"/>
          <w:sz w:val="24"/>
          <w:szCs w:val="24"/>
          <w:highlight w:val="none"/>
        </w:rPr>
        <w:t>第三方检测机构出具；需附该机构资质证书彩色扫描件，并加盖建设工程质量检测机构资质专用章。</w:t>
      </w:r>
      <w:r>
        <w:rPr>
          <w:rFonts w:hint="eastAsia" w:ascii="宋体" w:hAnsi="宋体" w:eastAsia="宋体" w:cs="宋体"/>
          <w:b/>
          <w:bCs/>
          <w:color w:val="000000"/>
          <w:sz w:val="24"/>
          <w:szCs w:val="24"/>
          <w:highlight w:val="none"/>
          <w:lang w:val="en-US" w:eastAsia="zh-CN"/>
        </w:rPr>
        <w:t>且</w:t>
      </w:r>
      <w:r>
        <w:rPr>
          <w:rFonts w:hint="eastAsia" w:ascii="宋体" w:hAnsi="宋体" w:eastAsia="宋体" w:cs="宋体"/>
          <w:b/>
          <w:bCs/>
          <w:color w:val="000000"/>
          <w:sz w:val="24"/>
          <w:szCs w:val="24"/>
          <w:highlight w:val="none"/>
        </w:rPr>
        <w:t>提供加盖供应商公章的检测费用发票。前述全部佐证材料</w:t>
      </w:r>
      <w:r>
        <w:rPr>
          <w:rFonts w:hint="eastAsia" w:ascii="宋体" w:hAnsi="宋体" w:eastAsia="宋体" w:cs="宋体"/>
          <w:b/>
          <w:bCs/>
          <w:color w:val="000000"/>
          <w:sz w:val="24"/>
          <w:szCs w:val="24"/>
          <w:highlight w:val="none"/>
          <w:lang w:val="en-US" w:eastAsia="zh-CN"/>
        </w:rPr>
        <w:t>放入</w:t>
      </w:r>
      <w:r>
        <w:rPr>
          <w:rFonts w:hint="eastAsia" w:ascii="宋体" w:hAnsi="宋体" w:eastAsia="宋体" w:cs="宋体"/>
          <w:b/>
          <w:bCs/>
          <w:color w:val="000000"/>
          <w:sz w:val="24"/>
          <w:szCs w:val="24"/>
          <w:highlight w:val="none"/>
        </w:rPr>
        <w:t>电子投标文件</w:t>
      </w:r>
      <w:r>
        <w:rPr>
          <w:rFonts w:hint="eastAsia" w:ascii="宋体" w:hAnsi="宋体" w:eastAsia="宋体" w:cs="宋体"/>
          <w:b/>
          <w:bCs/>
          <w:color w:val="000000"/>
          <w:sz w:val="24"/>
          <w:szCs w:val="24"/>
          <w:highlight w:val="none"/>
          <w:lang w:val="en-US" w:eastAsia="zh-CN"/>
        </w:rPr>
        <w:t>中</w:t>
      </w:r>
      <w:r>
        <w:rPr>
          <w:rFonts w:hint="eastAsia" w:ascii="宋体" w:hAnsi="宋体" w:eastAsia="宋体" w:cs="宋体"/>
          <w:b/>
          <w:bCs/>
          <w:color w:val="000000"/>
          <w:sz w:val="24"/>
          <w:szCs w:val="24"/>
          <w:highlight w:val="none"/>
        </w:rPr>
        <w:t>，</w:t>
      </w:r>
      <w:r>
        <w:rPr>
          <w:rFonts w:hint="eastAsia" w:ascii="宋体" w:hAnsi="宋体" w:eastAsia="宋体" w:cs="宋体"/>
          <w:b/>
          <w:bCs/>
          <w:snapToGrid w:val="0"/>
          <w:color w:val="000000"/>
          <w:kern w:val="24"/>
          <w:sz w:val="24"/>
          <w:szCs w:val="24"/>
          <w:highlight w:val="none"/>
          <w:lang w:val="en-US" w:eastAsia="zh-CN" w:bidi="ar-SA"/>
        </w:rPr>
        <w:t>未按要求提供的，其投标按无效投标处理。</w:t>
      </w:r>
    </w:p>
    <w:p w14:paraId="02D9F4A0">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注：供应商提供的证明材料必须真实有效。</w:t>
      </w:r>
      <w:r>
        <w:rPr>
          <w:rFonts w:hint="eastAsia" w:ascii="宋体" w:hAnsi="宋体" w:eastAsia="宋体" w:cs="宋体"/>
          <w:b/>
          <w:bCs/>
          <w:sz w:val="24"/>
          <w:szCs w:val="24"/>
          <w:lang w:val="en-US" w:eastAsia="zh-CN"/>
        </w:rPr>
        <w:t>在中标结果公示后1个工作日内须按采购人要求提交原件（包括但不限于检测报告及相应的检验发票）审核</w:t>
      </w:r>
      <w:r>
        <w:rPr>
          <w:rFonts w:hint="eastAsia" w:ascii="宋体" w:hAnsi="宋体" w:eastAsia="宋体" w:cs="宋体"/>
          <w:sz w:val="24"/>
          <w:szCs w:val="24"/>
          <w:lang w:val="en-US" w:eastAsia="zh-CN"/>
        </w:rPr>
        <w:t>。采购人有权向第三方检测机构及相关部门核实相关材料的真实性。如证实中标供应商提供虚假材料或无效材料，采购人将相关材料上报至同级财政监管部门，追究其以虚假材料谋取中标的法律责任。</w:t>
      </w:r>
    </w:p>
    <w:p w14:paraId="64923CD7">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3、石墨复合保温板，燃烧性能等级为A级（A1/A2级，不燃材料），应符合GB8624-2012《建筑材料及制品燃烧性能分级》的规定 ；板材为无机或无机复合材质，不燃、不明火、不产生熔融滴落物，具有良好的防火与热稳定性能。</w:t>
      </w:r>
    </w:p>
    <w:p w14:paraId="7D832483">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、本项目应按采购人要求及国家、建设部、工程施工技术（验收）规程、规范标准作业，并配合好采购人的施工要求。</w:t>
      </w:r>
    </w:p>
    <w:p w14:paraId="632D122E">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rPr>
        <w:t>、成交施工商负责施工现场每日的施工垃圾清理，如果每日下班后成交施工商未清理施工现场施工垃圾，采购人将自行处理，所产生费用由成交施工商负责。</w:t>
      </w:r>
    </w:p>
    <w:p w14:paraId="530494A3">
      <w:pPr>
        <w:pStyle w:val="10"/>
        <w:keepNext w:val="0"/>
        <w:keepLines w:val="0"/>
        <w:pageBreakBefore w:val="0"/>
        <w:widowControl/>
        <w:kinsoku/>
        <w:wordWrap/>
        <w:overflowPunct/>
        <w:topLinePunct w:val="0"/>
        <w:autoSpaceDE/>
        <w:autoSpaceDN/>
        <w:bidi w:val="0"/>
        <w:adjustRightInd w:val="0"/>
        <w:snapToGrid w:val="0"/>
        <w:spacing w:beforeAutospacing="0" w:afterAutospacing="0" w:line="520" w:lineRule="exact"/>
        <w:textAlignment w:val="auto"/>
        <w:rPr>
          <w:rFonts w:hint="eastAsia" w:ascii="宋体" w:hAnsi="宋体" w:eastAsia="宋体" w:cs="宋体"/>
          <w:sz w:val="24"/>
          <w:szCs w:val="24"/>
          <w:lang w:val="zh-CN"/>
        </w:rPr>
      </w:pPr>
      <w:r>
        <w:rPr>
          <w:rFonts w:hint="eastAsia" w:cs="宋体"/>
          <w:kern w:val="2"/>
          <w:sz w:val="24"/>
          <w:szCs w:val="24"/>
          <w:lang w:val="en-US" w:eastAsia="zh-CN"/>
        </w:rPr>
        <w:t>6</w:t>
      </w:r>
      <w:r>
        <w:rPr>
          <w:rFonts w:hint="eastAsia" w:ascii="宋体" w:hAnsi="宋体" w:eastAsia="宋体" w:cs="宋体"/>
          <w:kern w:val="2"/>
          <w:sz w:val="24"/>
          <w:szCs w:val="24"/>
        </w:rPr>
        <w:t>、</w:t>
      </w:r>
      <w:r>
        <w:rPr>
          <w:rFonts w:hint="eastAsia" w:ascii="宋体" w:hAnsi="宋体" w:eastAsia="宋体" w:cs="宋体"/>
          <w:kern w:val="2"/>
          <w:sz w:val="24"/>
          <w:szCs w:val="24"/>
          <w:lang w:val="zh-TW"/>
        </w:rPr>
        <w:t>施工人员由成交施工商负责购买相应保险和福利，采购人不承担任何作业过程中所出现的风险。</w:t>
      </w:r>
    </w:p>
    <w:p w14:paraId="72F53911">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7</w:t>
      </w:r>
      <w:r>
        <w:rPr>
          <w:rFonts w:hint="eastAsia" w:ascii="宋体" w:hAnsi="宋体" w:eastAsia="宋体" w:cs="宋体"/>
          <w:sz w:val="24"/>
          <w:szCs w:val="24"/>
        </w:rPr>
        <w:t>、成交施工商应保证货物是全新、未使用过的合格产品，质量达到国家相关标准、行业标准、地方标准或者其他标准、规范，成交施工商供货时应当提供有关货物的合格证明材料等。</w:t>
      </w:r>
    </w:p>
    <w:p w14:paraId="5DEAA784">
      <w:pPr>
        <w:pStyle w:val="3"/>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8</w:t>
      </w:r>
      <w:r>
        <w:rPr>
          <w:rFonts w:hint="eastAsia" w:ascii="宋体" w:hAnsi="宋体" w:eastAsia="宋体" w:cs="宋体"/>
          <w:sz w:val="24"/>
          <w:szCs w:val="24"/>
        </w:rPr>
        <w:t>、安全文明施工</w:t>
      </w:r>
    </w:p>
    <w:p w14:paraId="37DA41F6">
      <w:pPr>
        <w:pStyle w:val="3"/>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（1）保证按照指定地点堆放扩建物料，不大量堆积扩建的物料，采用各种措施降噪、降尘，并符合有关规定。</w:t>
      </w:r>
    </w:p>
    <w:p w14:paraId="5C6F83C9">
      <w:pPr>
        <w:pStyle w:val="3"/>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（2）结构及保留设施保护对于回收材料及设备，指定地点停放，并派专人看管等待处理。对于保留的设施采用必要的防护，保证其在扩建施工过程中不受损坏。</w:t>
      </w:r>
    </w:p>
    <w:p w14:paraId="126782C7">
      <w:pPr>
        <w:pStyle w:val="3"/>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及时将垃圾清运出场。垃圾清运通道应及时洒水降尘。做好对施工人员的技术交底，并对参施人员进行质量及安全教育；机械施工时，设专人指导，严格按操作规程进行施工作业，不得违章施工；施工过程严格执行施工过程控制程序，确保施工质量。</w:t>
      </w:r>
    </w:p>
    <w:p w14:paraId="43CC9DA5">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机械设备使用做到定人、定机、定岗位，明确责任。用电时应做到一机、一闸、一保险，配电箱应有门锁及防雨措施。现场安全负责人对违章作业，违章指挥现象，必需做到严格、严肃、果断和及时的纠正和处理。电动机械和电动工具必需漏电保护器，其保护零线的电气连接应符合要求。扩建堆放的材料场地，要专人看管，加强治安保卫，严禁烟火，要配有一定的消防器材以防万</w:t>
      </w:r>
      <w:r>
        <w:rPr>
          <w:rFonts w:hint="eastAsia" w:ascii="宋体" w:hAnsi="宋体" w:eastAsia="宋体" w:cs="宋体"/>
          <w:sz w:val="24"/>
          <w:szCs w:val="24"/>
          <w:lang w:val="en-US" w:eastAsia="zh-CN"/>
        </w:rPr>
        <w:t>一</w:t>
      </w:r>
      <w:r>
        <w:rPr>
          <w:rFonts w:hint="eastAsia" w:ascii="宋体" w:hAnsi="宋体" w:eastAsia="宋体" w:cs="宋体"/>
          <w:sz w:val="24"/>
          <w:szCs w:val="24"/>
        </w:rPr>
        <w:t>。</w:t>
      </w:r>
    </w:p>
    <w:p w14:paraId="11141662">
      <w:pPr>
        <w:pStyle w:val="6"/>
        <w:keepNext w:val="0"/>
        <w:keepLines w:val="0"/>
        <w:pageBreakBefore w:val="0"/>
        <w:widowControl/>
        <w:kinsoku/>
        <w:wordWrap/>
        <w:overflowPunct/>
        <w:topLinePunct w:val="0"/>
        <w:autoSpaceDE/>
        <w:autoSpaceDN/>
        <w:bidi w:val="0"/>
        <w:adjustRightInd w:val="0"/>
        <w:snapToGrid w:val="0"/>
        <w:spacing w:before="0" w:beforeAutospacing="0" w:after="0" w:afterAutospacing="0" w:line="5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（5）如经采购人现场考核施工现场、人员或相关方面不合格的，应立即按采购人要求整改，整改期间造成得损失由成交施工商承担。</w:t>
      </w:r>
    </w:p>
    <w:p w14:paraId="1E1313A3">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9</w:t>
      </w:r>
      <w:r>
        <w:rPr>
          <w:rFonts w:hint="eastAsia" w:ascii="宋体" w:hAnsi="宋体" w:eastAsia="宋体" w:cs="宋体"/>
          <w:sz w:val="24"/>
          <w:szCs w:val="24"/>
        </w:rPr>
        <w:t>、现场勘查：施工商应自行安排时间进行实地勘察,为报价取得依据，一旦成交，不得以不了解现场情况为理由而提出额外费用，采购人将不予考虑。踏勘现场的费用自理，在现场考察过程中，投标如果发生人身伤亡、财务或其它损失，不论何种原因造成，均由施工商自行负责。</w:t>
      </w:r>
    </w:p>
    <w:p w14:paraId="3E7A39F3">
      <w:pPr>
        <w:pStyle w:val="4"/>
        <w:keepNext w:val="0"/>
        <w:keepLines w:val="0"/>
        <w:pageBreakBefore w:val="0"/>
        <w:widowControl/>
        <w:kinsoku w:val="0"/>
        <w:wordWrap/>
        <w:overflowPunct/>
        <w:topLinePunct w:val="0"/>
        <w:autoSpaceDE w:val="0"/>
        <w:autoSpaceDN w:val="0"/>
        <w:bidi w:val="0"/>
        <w:adjustRightInd w:val="0"/>
        <w:snapToGrid w:val="0"/>
        <w:spacing w:line="520" w:lineRule="exact"/>
        <w:ind w:firstLine="480" w:firstLineChars="200"/>
        <w:textAlignment w:val="baseline"/>
        <w:rPr>
          <w:rFonts w:hint="eastAsia" w:ascii="宋体" w:hAnsi="宋体" w:eastAsia="宋体" w:cs="宋体"/>
          <w:snapToGrid w:val="0"/>
          <w:color w:val="000000"/>
          <w:kern w:val="0"/>
          <w:sz w:val="24"/>
          <w:szCs w:val="24"/>
          <w:lang w:val="en-US" w:eastAsia="en-US" w:bidi="ar-SA"/>
        </w:rPr>
      </w:pPr>
      <w:r>
        <w:rPr>
          <w:rFonts w:hint="eastAsia" w:hAnsi="宋体" w:eastAsia="宋体" w:cs="宋体"/>
          <w:snapToGrid w:val="0"/>
          <w:color w:val="000000"/>
          <w:kern w:val="0"/>
          <w:sz w:val="24"/>
          <w:szCs w:val="24"/>
          <w:lang w:val="en-US" w:eastAsia="zh-CN" w:bidi="ar-SA"/>
        </w:rPr>
        <w:t>10</w:t>
      </w:r>
      <w:r>
        <w:rPr>
          <w:rFonts w:hint="eastAsia" w:ascii="宋体" w:hAnsi="宋体" w:eastAsia="宋体" w:cs="宋体"/>
          <w:snapToGrid w:val="0"/>
          <w:color w:val="000000"/>
          <w:kern w:val="0"/>
          <w:sz w:val="24"/>
          <w:szCs w:val="24"/>
          <w:lang w:val="en-US" w:eastAsia="en-US" w:bidi="ar-SA"/>
        </w:rPr>
        <w:t>、工程要求</w:t>
      </w:r>
    </w:p>
    <w:p w14:paraId="727FA537">
      <w:pPr>
        <w:pStyle w:val="4"/>
        <w:keepNext w:val="0"/>
        <w:keepLines w:val="0"/>
        <w:pageBreakBefore w:val="0"/>
        <w:widowControl/>
        <w:kinsoku w:val="0"/>
        <w:wordWrap/>
        <w:overflowPunct/>
        <w:topLinePunct w:val="0"/>
        <w:autoSpaceDE w:val="0"/>
        <w:autoSpaceDN w:val="0"/>
        <w:bidi w:val="0"/>
        <w:adjustRightInd w:val="0"/>
        <w:snapToGrid w:val="0"/>
        <w:spacing w:line="520" w:lineRule="exact"/>
        <w:ind w:firstLine="480" w:firstLineChars="200"/>
        <w:textAlignment w:val="baseline"/>
        <w:rPr>
          <w:rFonts w:hint="eastAsia" w:ascii="宋体" w:hAnsi="宋体" w:eastAsia="宋体" w:cs="宋体"/>
          <w:snapToGrid w:val="0"/>
          <w:color w:val="000000"/>
          <w:kern w:val="0"/>
          <w:sz w:val="24"/>
          <w:szCs w:val="24"/>
          <w:lang w:val="en-US" w:eastAsia="en-US" w:bidi="ar-SA"/>
        </w:rPr>
      </w:pPr>
      <w:r>
        <w:rPr>
          <w:rFonts w:hint="eastAsia" w:hAnsi="宋体" w:eastAsia="宋体" w:cs="宋体"/>
          <w:snapToGrid w:val="0"/>
          <w:color w:val="000000"/>
          <w:kern w:val="0"/>
          <w:sz w:val="24"/>
          <w:szCs w:val="24"/>
          <w:lang w:val="en-US" w:eastAsia="zh-CN" w:bidi="ar-SA"/>
        </w:rPr>
        <w:t>10</w:t>
      </w:r>
      <w:r>
        <w:rPr>
          <w:rFonts w:hint="eastAsia" w:ascii="宋体" w:hAnsi="宋体" w:eastAsia="宋体" w:cs="宋体"/>
          <w:snapToGrid w:val="0"/>
          <w:color w:val="000000"/>
          <w:kern w:val="0"/>
          <w:sz w:val="24"/>
          <w:szCs w:val="24"/>
          <w:lang w:val="en-US" w:eastAsia="en-US" w:bidi="ar-SA"/>
        </w:rPr>
        <w:t>.1、凡成交供应商采购的主要材料，必须提供出厂合格证书及试验资料原件给采购人查验，否则，采购人有权制止使用并追究成交供应商的违约责任。</w:t>
      </w:r>
    </w:p>
    <w:p w14:paraId="768499CE">
      <w:pPr>
        <w:pStyle w:val="4"/>
        <w:keepNext w:val="0"/>
        <w:keepLines w:val="0"/>
        <w:pageBreakBefore w:val="0"/>
        <w:widowControl/>
        <w:kinsoku w:val="0"/>
        <w:wordWrap/>
        <w:overflowPunct/>
        <w:topLinePunct w:val="0"/>
        <w:autoSpaceDE w:val="0"/>
        <w:autoSpaceDN w:val="0"/>
        <w:bidi w:val="0"/>
        <w:adjustRightInd w:val="0"/>
        <w:snapToGrid w:val="0"/>
        <w:spacing w:line="520" w:lineRule="exact"/>
        <w:ind w:firstLine="480" w:firstLineChars="200"/>
        <w:textAlignment w:val="baseline"/>
        <w:rPr>
          <w:rFonts w:hint="eastAsia" w:ascii="宋体" w:hAnsi="宋体" w:eastAsia="宋体" w:cs="宋体"/>
          <w:snapToGrid w:val="0"/>
          <w:color w:val="000000"/>
          <w:kern w:val="0"/>
          <w:sz w:val="24"/>
          <w:szCs w:val="24"/>
          <w:lang w:val="en-US" w:eastAsia="en-US" w:bidi="ar-SA"/>
        </w:rPr>
      </w:pPr>
      <w:r>
        <w:rPr>
          <w:rFonts w:hint="eastAsia" w:hAnsi="宋体" w:eastAsia="宋体" w:cs="宋体"/>
          <w:snapToGrid w:val="0"/>
          <w:color w:val="000000"/>
          <w:kern w:val="0"/>
          <w:sz w:val="24"/>
          <w:szCs w:val="24"/>
          <w:lang w:val="en-US" w:eastAsia="zh-CN" w:bidi="ar-SA"/>
        </w:rPr>
        <w:t>10</w:t>
      </w:r>
      <w:r>
        <w:rPr>
          <w:rFonts w:hint="eastAsia" w:ascii="宋体" w:hAnsi="宋体" w:eastAsia="宋体" w:cs="宋体"/>
          <w:snapToGrid w:val="0"/>
          <w:color w:val="000000"/>
          <w:kern w:val="0"/>
          <w:sz w:val="24"/>
          <w:szCs w:val="24"/>
          <w:lang w:val="en-US" w:eastAsia="en-US" w:bidi="ar-SA"/>
        </w:rPr>
        <w:t>.</w:t>
      </w:r>
      <w:r>
        <w:rPr>
          <w:rFonts w:hint="eastAsia" w:hAnsi="宋体" w:eastAsia="宋体" w:cs="宋体"/>
          <w:snapToGrid w:val="0"/>
          <w:color w:val="000000"/>
          <w:kern w:val="0"/>
          <w:sz w:val="24"/>
          <w:szCs w:val="24"/>
          <w:lang w:val="en-US" w:eastAsia="zh-CN" w:bidi="ar-SA"/>
        </w:rPr>
        <w:t>2</w:t>
      </w:r>
      <w:r>
        <w:rPr>
          <w:rFonts w:hint="eastAsia" w:ascii="宋体" w:hAnsi="宋体" w:eastAsia="宋体" w:cs="宋体"/>
          <w:snapToGrid w:val="0"/>
          <w:color w:val="000000"/>
          <w:kern w:val="0"/>
          <w:sz w:val="24"/>
          <w:szCs w:val="24"/>
          <w:lang w:val="en-US" w:eastAsia="en-US" w:bidi="ar-SA"/>
        </w:rPr>
        <w:t>、供应商应按照本文件中提供的工程量清单，根据项目特征描述的内容及有关要求实施合同工程，直到项目被改变为止。</w:t>
      </w:r>
    </w:p>
    <w:p w14:paraId="046F16C1">
      <w:pPr>
        <w:pStyle w:val="4"/>
        <w:keepNext w:val="0"/>
        <w:keepLines w:val="0"/>
        <w:pageBreakBefore w:val="0"/>
        <w:widowControl/>
        <w:kinsoku w:val="0"/>
        <w:wordWrap/>
        <w:overflowPunct/>
        <w:topLinePunct w:val="0"/>
        <w:autoSpaceDE w:val="0"/>
        <w:autoSpaceDN w:val="0"/>
        <w:bidi w:val="0"/>
        <w:adjustRightInd w:val="0"/>
        <w:snapToGrid w:val="0"/>
        <w:spacing w:line="520" w:lineRule="exact"/>
        <w:ind w:firstLine="480" w:firstLineChars="200"/>
        <w:textAlignment w:val="baseline"/>
        <w:rPr>
          <w:rFonts w:hint="eastAsia" w:ascii="宋体" w:hAnsi="宋体" w:eastAsia="宋体" w:cs="宋体"/>
          <w:snapToGrid w:val="0"/>
          <w:color w:val="000000"/>
          <w:kern w:val="0"/>
          <w:sz w:val="24"/>
          <w:szCs w:val="24"/>
          <w:lang w:val="en-US" w:eastAsia="en-US" w:bidi="ar-SA"/>
        </w:rPr>
      </w:pPr>
      <w:r>
        <w:rPr>
          <w:rFonts w:hint="eastAsia" w:hAnsi="宋体" w:eastAsia="宋体" w:cs="宋体"/>
          <w:snapToGrid w:val="0"/>
          <w:color w:val="000000"/>
          <w:kern w:val="0"/>
          <w:sz w:val="24"/>
          <w:szCs w:val="24"/>
          <w:lang w:val="en-US" w:eastAsia="zh-CN" w:bidi="ar-SA"/>
        </w:rPr>
        <w:t>10</w:t>
      </w:r>
      <w:r>
        <w:rPr>
          <w:rFonts w:hint="eastAsia" w:ascii="宋体" w:hAnsi="宋体" w:eastAsia="宋体" w:cs="宋体"/>
          <w:snapToGrid w:val="0"/>
          <w:color w:val="000000"/>
          <w:kern w:val="0"/>
          <w:sz w:val="24"/>
          <w:szCs w:val="24"/>
          <w:lang w:val="en-US" w:eastAsia="en-US" w:bidi="ar-SA"/>
        </w:rPr>
        <w:t>.</w:t>
      </w:r>
      <w:r>
        <w:rPr>
          <w:rFonts w:hint="eastAsia" w:hAnsi="宋体" w:eastAsia="宋体" w:cs="宋体"/>
          <w:snapToGrid w:val="0"/>
          <w:color w:val="000000"/>
          <w:kern w:val="0"/>
          <w:sz w:val="24"/>
          <w:szCs w:val="24"/>
          <w:lang w:val="en-US" w:eastAsia="zh-CN" w:bidi="ar-SA"/>
        </w:rPr>
        <w:t>3</w:t>
      </w:r>
      <w:r>
        <w:rPr>
          <w:rFonts w:hint="eastAsia" w:ascii="宋体" w:hAnsi="宋体" w:eastAsia="宋体" w:cs="宋体"/>
          <w:snapToGrid w:val="0"/>
          <w:color w:val="000000"/>
          <w:kern w:val="0"/>
          <w:sz w:val="24"/>
          <w:szCs w:val="24"/>
          <w:lang w:val="en-US" w:eastAsia="en-US" w:bidi="ar-SA"/>
        </w:rPr>
        <w:t>、供应商应按照采购人提供的</w:t>
      </w:r>
      <w:r>
        <w:rPr>
          <w:rFonts w:hint="eastAsia" w:ascii="宋体" w:hAnsi="宋体" w:eastAsia="宋体" w:cs="宋体"/>
          <w:snapToGrid w:val="0"/>
          <w:color w:val="000000"/>
          <w:kern w:val="0"/>
          <w:sz w:val="24"/>
          <w:szCs w:val="24"/>
          <w:lang w:val="en-US" w:eastAsia="zh-CN" w:bidi="ar-SA"/>
        </w:rPr>
        <w:t>施工</w:t>
      </w:r>
      <w:r>
        <w:rPr>
          <w:rFonts w:hint="eastAsia" w:ascii="宋体" w:hAnsi="宋体" w:eastAsia="宋体" w:cs="宋体"/>
          <w:snapToGrid w:val="0"/>
          <w:color w:val="000000"/>
          <w:kern w:val="0"/>
          <w:sz w:val="24"/>
          <w:szCs w:val="24"/>
          <w:lang w:val="en-US" w:eastAsia="en-US" w:bidi="ar-SA"/>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14:paraId="3575EFBA">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四、商务条款</w:t>
      </w:r>
    </w:p>
    <w:p w14:paraId="5009EB02">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1、整个项目质量保证期为</w:t>
      </w:r>
      <w:r>
        <w:rPr>
          <w:rFonts w:hint="eastAsia" w:ascii="宋体" w:hAnsi="宋体" w:eastAsia="宋体" w:cs="宋体"/>
          <w:sz w:val="24"/>
          <w:szCs w:val="24"/>
          <w:highlight w:val="none"/>
        </w:rPr>
        <w:t>壹</w:t>
      </w:r>
      <w:r>
        <w:rPr>
          <w:rFonts w:hint="eastAsia" w:ascii="宋体" w:hAnsi="宋体" w:eastAsia="宋体" w:cs="宋体"/>
          <w:sz w:val="24"/>
          <w:szCs w:val="24"/>
        </w:rPr>
        <w:t>年（国家另有规定的从其规定），质量保证期自采购人在验收报告上签署“验收合格”之日起计算，在质保期内出现的任何问题成交施工商须免费维修，所需的一切费用由成交施工商自行承担。</w:t>
      </w:r>
    </w:p>
    <w:p w14:paraId="61F94273">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kern w:val="24"/>
          <w:sz w:val="24"/>
          <w:szCs w:val="24"/>
        </w:rPr>
      </w:pPr>
      <w:r>
        <w:rPr>
          <w:rFonts w:hint="eastAsia" w:ascii="宋体" w:hAnsi="宋体" w:eastAsia="宋体" w:cs="宋体"/>
          <w:kern w:val="24"/>
          <w:sz w:val="24"/>
          <w:szCs w:val="24"/>
        </w:rPr>
        <w:t>2、保证施工过程中的安全，施工商任何人员事故由施工商自行负责并承担费用；施工商定期对其员工进行安全、文明教育并留有记录备查。</w:t>
      </w:r>
    </w:p>
    <w:p w14:paraId="412367E6">
      <w:pPr>
        <w:pStyle w:val="4"/>
        <w:keepNext w:val="0"/>
        <w:keepLines w:val="0"/>
        <w:pageBreakBefore w:val="0"/>
        <w:wordWrap/>
        <w:overflowPunct/>
        <w:topLinePunct w:val="0"/>
        <w:bidi w:val="0"/>
        <w:adjustRightInd w:val="0"/>
        <w:snapToGrid w:val="0"/>
        <w:spacing w:line="520" w:lineRule="exact"/>
        <w:ind w:firstLine="480" w:firstLineChars="200"/>
        <w:rPr>
          <w:rFonts w:hint="eastAsia" w:ascii="宋体" w:hAnsi="宋体" w:eastAsia="宋体" w:cs="宋体"/>
          <w:snapToGrid w:val="0"/>
          <w:color w:val="000000"/>
          <w:kern w:val="24"/>
          <w:sz w:val="24"/>
          <w:szCs w:val="24"/>
          <w:lang w:val="en-US" w:eastAsia="zh-CN" w:bidi="ar-SA"/>
        </w:rPr>
      </w:pPr>
      <w:r>
        <w:rPr>
          <w:rFonts w:hint="eastAsia" w:ascii="宋体" w:hAnsi="宋体" w:eastAsia="宋体" w:cs="宋体"/>
          <w:snapToGrid w:val="0"/>
          <w:color w:val="000000"/>
          <w:kern w:val="24"/>
          <w:sz w:val="24"/>
          <w:szCs w:val="24"/>
          <w:lang w:val="en-US" w:eastAsia="zh-CN" w:bidi="ar-SA"/>
        </w:rPr>
        <w:t>3、</w:t>
      </w:r>
      <w:r>
        <w:rPr>
          <w:rFonts w:hint="eastAsia" w:ascii="宋体" w:hAnsi="宋体" w:eastAsia="宋体" w:cs="宋体"/>
          <w:b/>
          <w:bCs/>
          <w:snapToGrid w:val="0"/>
          <w:color w:val="000000"/>
          <w:kern w:val="24"/>
          <w:sz w:val="24"/>
          <w:szCs w:val="24"/>
          <w:lang w:val="en-US" w:eastAsia="zh-CN" w:bidi="ar-SA"/>
        </w:rPr>
        <w:t>项目部人员配置</w:t>
      </w:r>
      <w:r>
        <w:rPr>
          <w:rFonts w:hint="eastAsia" w:ascii="宋体" w:hAnsi="宋体" w:eastAsia="宋体" w:cs="宋体"/>
          <w:snapToGrid w:val="0"/>
          <w:color w:val="000000"/>
          <w:kern w:val="24"/>
          <w:sz w:val="24"/>
          <w:szCs w:val="24"/>
          <w:lang w:val="en-US" w:eastAsia="zh-CN" w:bidi="ar-SA"/>
        </w:rPr>
        <w:t>：</w:t>
      </w:r>
    </w:p>
    <w:p w14:paraId="544C15A9">
      <w:pPr>
        <w:pStyle w:val="4"/>
        <w:keepNext w:val="0"/>
        <w:keepLines w:val="0"/>
        <w:pageBreakBefore w:val="0"/>
        <w:wordWrap/>
        <w:overflowPunct/>
        <w:topLinePunct w:val="0"/>
        <w:bidi w:val="0"/>
        <w:adjustRightInd w:val="0"/>
        <w:snapToGrid w:val="0"/>
        <w:spacing w:line="520" w:lineRule="exact"/>
        <w:ind w:firstLine="480" w:firstLineChars="200"/>
        <w:rPr>
          <w:rFonts w:hint="eastAsia" w:ascii="宋体" w:hAnsi="宋体" w:eastAsia="宋体" w:cs="宋体"/>
          <w:snapToGrid w:val="0"/>
          <w:color w:val="000000"/>
          <w:kern w:val="24"/>
          <w:sz w:val="24"/>
          <w:szCs w:val="24"/>
          <w:lang w:val="en-US" w:eastAsia="zh-CN" w:bidi="ar-SA"/>
        </w:rPr>
      </w:pPr>
      <w:r>
        <w:rPr>
          <w:rFonts w:hint="eastAsia" w:ascii="宋体" w:hAnsi="宋体" w:eastAsia="宋体" w:cs="宋体"/>
          <w:snapToGrid w:val="0"/>
          <w:color w:val="000000"/>
          <w:kern w:val="24"/>
          <w:sz w:val="24"/>
          <w:szCs w:val="24"/>
          <w:lang w:val="en-US" w:eastAsia="zh-CN" w:bidi="ar-SA"/>
        </w:rPr>
        <w:t>3.1项目负责人一名（需持有建筑工程二级及以上建造师证书、安全生产考核合格证书（B证））、项目负责人提供1项建筑工程类施工项目业绩，2023年1月1日至今（以合同签订时间为准），提供项目施工合同、竣工验收备案表或竣工验收报告的原件扫描件证。上述业绩材料中至少一份须载明项目负责人信息；若全部材料均未体现其任职身份，应另行提供建设单位加盖公章的专项任职证明。</w:t>
      </w:r>
    </w:p>
    <w:p w14:paraId="552C4FDF">
      <w:pPr>
        <w:pStyle w:val="4"/>
        <w:keepNext w:val="0"/>
        <w:keepLines w:val="0"/>
        <w:pageBreakBefore w:val="0"/>
        <w:wordWrap/>
        <w:overflowPunct/>
        <w:topLinePunct w:val="0"/>
        <w:bidi w:val="0"/>
        <w:adjustRightInd w:val="0"/>
        <w:snapToGrid w:val="0"/>
        <w:spacing w:line="520" w:lineRule="exact"/>
        <w:ind w:firstLine="480" w:firstLineChars="200"/>
        <w:rPr>
          <w:rFonts w:hint="eastAsia" w:ascii="宋体" w:hAnsi="宋体" w:eastAsia="宋体" w:cs="宋体"/>
          <w:snapToGrid w:val="0"/>
          <w:color w:val="000000"/>
          <w:kern w:val="24"/>
          <w:sz w:val="24"/>
          <w:szCs w:val="24"/>
          <w:lang w:val="en-US" w:eastAsia="zh-CN" w:bidi="ar-SA"/>
        </w:rPr>
      </w:pPr>
      <w:r>
        <w:rPr>
          <w:rFonts w:hint="eastAsia" w:ascii="宋体" w:hAnsi="宋体" w:eastAsia="宋体" w:cs="宋体"/>
          <w:snapToGrid w:val="0"/>
          <w:color w:val="000000"/>
          <w:kern w:val="24"/>
          <w:sz w:val="24"/>
          <w:szCs w:val="24"/>
          <w:lang w:val="en-US" w:eastAsia="zh-CN" w:bidi="ar-SA"/>
        </w:rPr>
        <w:t>3.2技术负责人一名持有建筑工程类中级及以上职称证书；</w:t>
      </w:r>
    </w:p>
    <w:p w14:paraId="436DE3AF">
      <w:pPr>
        <w:pStyle w:val="4"/>
        <w:keepNext w:val="0"/>
        <w:keepLines w:val="0"/>
        <w:pageBreakBefore w:val="0"/>
        <w:wordWrap/>
        <w:overflowPunct/>
        <w:topLinePunct w:val="0"/>
        <w:bidi w:val="0"/>
        <w:adjustRightInd w:val="0"/>
        <w:snapToGrid w:val="0"/>
        <w:spacing w:line="520" w:lineRule="exact"/>
        <w:ind w:firstLine="480" w:firstLineChars="200"/>
        <w:rPr>
          <w:rFonts w:hint="eastAsia" w:ascii="宋体" w:hAnsi="宋体" w:eastAsia="宋体" w:cs="宋体"/>
          <w:snapToGrid w:val="0"/>
          <w:color w:val="000000"/>
          <w:kern w:val="24"/>
          <w:sz w:val="24"/>
          <w:szCs w:val="24"/>
          <w:lang w:val="en-US" w:eastAsia="zh-CN" w:bidi="ar-SA"/>
        </w:rPr>
      </w:pPr>
      <w:r>
        <w:rPr>
          <w:rFonts w:hint="eastAsia" w:ascii="宋体" w:hAnsi="宋体" w:eastAsia="宋体" w:cs="宋体"/>
          <w:snapToGrid w:val="0"/>
          <w:color w:val="000000"/>
          <w:kern w:val="24"/>
          <w:sz w:val="24"/>
          <w:szCs w:val="24"/>
          <w:lang w:val="en-US" w:eastAsia="zh-CN" w:bidi="ar-SA"/>
        </w:rPr>
        <w:t>3.</w:t>
      </w:r>
      <w:r>
        <w:rPr>
          <w:rFonts w:hint="eastAsia" w:hAnsi="宋体" w:eastAsia="宋体" w:cs="宋体"/>
          <w:snapToGrid w:val="0"/>
          <w:color w:val="000000"/>
          <w:kern w:val="24"/>
          <w:sz w:val="24"/>
          <w:szCs w:val="24"/>
          <w:lang w:val="en-US" w:eastAsia="zh-CN" w:bidi="ar-SA"/>
        </w:rPr>
        <w:t>3</w:t>
      </w:r>
      <w:r>
        <w:rPr>
          <w:rFonts w:hint="eastAsia" w:ascii="宋体" w:hAnsi="宋体" w:eastAsia="宋体" w:cs="宋体"/>
          <w:snapToGrid w:val="0"/>
          <w:color w:val="000000"/>
          <w:kern w:val="24"/>
          <w:sz w:val="24"/>
          <w:szCs w:val="24"/>
          <w:lang w:val="en-US" w:eastAsia="zh-CN" w:bidi="ar-SA"/>
        </w:rPr>
        <w:t>专职安全生产管理人员一名（需持有安全生产考核合格证书（C证））、施工员一名（土建专业）、质量员一名（土建专业），</w:t>
      </w:r>
      <w:r>
        <w:rPr>
          <w:rFonts w:hint="eastAsia" w:ascii="宋体" w:hAnsi="宋体" w:eastAsia="宋体" w:cs="宋体"/>
          <w:b w:val="0"/>
          <w:bCs w:val="0"/>
          <w:color w:val="000000"/>
          <w:sz w:val="24"/>
          <w:szCs w:val="24"/>
        </w:rPr>
        <w:t>专职安全员须提供住建主管部门</w:t>
      </w:r>
      <w:r>
        <w:rPr>
          <w:rFonts w:ascii="Arial MT" w:hAnsi="Arial MT" w:eastAsia="Arial MT" w:cs="Arial MT"/>
          <w:b w:val="0"/>
          <w:bCs w:val="0"/>
          <w:color w:val="000000"/>
          <w:sz w:val="18"/>
          <w:szCs w:val="18"/>
        </w:rPr>
        <w:t xml:space="preserve"> </w:t>
      </w:r>
      <w:r>
        <w:rPr>
          <w:rFonts w:hint="eastAsia" w:ascii="宋体" w:hAnsi="宋体" w:eastAsia="宋体" w:cs="宋体"/>
          <w:b w:val="0"/>
          <w:bCs w:val="0"/>
          <w:color w:val="000000"/>
          <w:sz w:val="24"/>
          <w:szCs w:val="24"/>
        </w:rPr>
        <w:t>核发的经年检合格有效的安全生产考核合格证书C证，施工员、质量员提供有效的岗位证书或职业培训证书扫描件</w:t>
      </w:r>
      <w:r>
        <w:rPr>
          <w:rFonts w:hint="eastAsia" w:ascii="宋体" w:hAnsi="宋体" w:eastAsia="宋体" w:cs="宋体"/>
          <w:snapToGrid w:val="0"/>
          <w:color w:val="000000"/>
          <w:kern w:val="24"/>
          <w:sz w:val="24"/>
          <w:szCs w:val="24"/>
          <w:lang w:val="en-US" w:eastAsia="zh-CN" w:bidi="ar-SA"/>
        </w:rPr>
        <w:t>；</w:t>
      </w:r>
    </w:p>
    <w:p w14:paraId="3366E65A">
      <w:pPr>
        <w:pStyle w:val="4"/>
        <w:keepNext w:val="0"/>
        <w:keepLines w:val="0"/>
        <w:pageBreakBefore w:val="0"/>
        <w:wordWrap/>
        <w:overflowPunct/>
        <w:topLinePunct w:val="0"/>
        <w:bidi w:val="0"/>
        <w:adjustRightInd w:val="0"/>
        <w:snapToGrid w:val="0"/>
        <w:spacing w:line="520" w:lineRule="exact"/>
        <w:ind w:firstLine="480" w:firstLineChars="200"/>
        <w:rPr>
          <w:rFonts w:hint="eastAsia" w:ascii="宋体" w:hAnsi="宋体" w:eastAsia="宋体" w:cs="宋体"/>
          <w:snapToGrid w:val="0"/>
          <w:color w:val="000000"/>
          <w:kern w:val="24"/>
          <w:sz w:val="24"/>
          <w:szCs w:val="24"/>
          <w:lang w:val="en-US" w:eastAsia="zh-CN" w:bidi="ar-SA"/>
        </w:rPr>
      </w:pPr>
      <w:r>
        <w:rPr>
          <w:rFonts w:hint="eastAsia" w:ascii="宋体" w:hAnsi="宋体" w:eastAsia="宋体" w:cs="宋体"/>
          <w:snapToGrid w:val="0"/>
          <w:color w:val="000000"/>
          <w:kern w:val="24"/>
          <w:sz w:val="24"/>
          <w:szCs w:val="24"/>
          <w:lang w:val="en-US" w:eastAsia="zh-CN" w:bidi="ar-SA"/>
        </w:rPr>
        <w:t>3.</w:t>
      </w:r>
      <w:r>
        <w:rPr>
          <w:rFonts w:hint="eastAsia" w:hAnsi="宋体" w:eastAsia="宋体" w:cs="宋体"/>
          <w:snapToGrid w:val="0"/>
          <w:color w:val="000000"/>
          <w:kern w:val="24"/>
          <w:sz w:val="24"/>
          <w:szCs w:val="24"/>
          <w:lang w:val="en-US" w:eastAsia="zh-CN" w:bidi="ar-SA"/>
        </w:rPr>
        <w:t>4</w:t>
      </w:r>
      <w:r>
        <w:rPr>
          <w:rFonts w:hint="eastAsia" w:ascii="宋体" w:hAnsi="宋体" w:eastAsia="宋体" w:cs="宋体"/>
          <w:snapToGrid w:val="0"/>
          <w:color w:val="000000"/>
          <w:kern w:val="24"/>
          <w:sz w:val="24"/>
          <w:szCs w:val="24"/>
          <w:lang w:val="en-US" w:eastAsia="zh-CN" w:bidi="ar-SA"/>
        </w:rPr>
        <w:t>特种作业人员：建筑电工、施工升降机分别至少提供一人，提供有效的特种作业操作资格证或岗位证书或职业培训证书扫描件；</w:t>
      </w:r>
    </w:p>
    <w:p w14:paraId="1E0F3335">
      <w:pPr>
        <w:pStyle w:val="4"/>
        <w:keepNext w:val="0"/>
        <w:keepLines w:val="0"/>
        <w:pageBreakBefore w:val="0"/>
        <w:wordWrap/>
        <w:overflowPunct/>
        <w:topLinePunct w:val="0"/>
        <w:bidi w:val="0"/>
        <w:adjustRightInd w:val="0"/>
        <w:snapToGrid w:val="0"/>
        <w:spacing w:line="520" w:lineRule="exact"/>
        <w:ind w:firstLine="482" w:firstLineChars="200"/>
        <w:rPr>
          <w:rFonts w:hint="default" w:ascii="宋体" w:hAnsi="宋体" w:eastAsia="宋体" w:cs="宋体"/>
          <w:snapToGrid w:val="0"/>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bCs/>
          <w:snapToGrid w:val="0"/>
          <w:color w:val="000000"/>
          <w:kern w:val="24"/>
          <w:sz w:val="24"/>
          <w:szCs w:val="24"/>
          <w:lang w:val="en-US" w:eastAsia="zh-CN" w:bidi="ar-SA"/>
        </w:rPr>
        <w:t>以上</w:t>
      </w:r>
      <w:r>
        <w:rPr>
          <w:rFonts w:hint="eastAsia" w:hAnsi="宋体" w:eastAsia="宋体" w:cs="宋体"/>
          <w:b/>
          <w:bCs/>
          <w:snapToGrid w:val="0"/>
          <w:color w:val="000000"/>
          <w:kern w:val="24"/>
          <w:sz w:val="24"/>
          <w:szCs w:val="24"/>
          <w:lang w:val="en-US" w:eastAsia="zh-CN" w:bidi="ar-SA"/>
        </w:rPr>
        <w:t>3.1、3.2、3.3、3.4</w:t>
      </w:r>
      <w:r>
        <w:rPr>
          <w:rFonts w:hint="eastAsia" w:ascii="宋体" w:hAnsi="宋体" w:eastAsia="宋体" w:cs="宋体"/>
          <w:b/>
          <w:bCs/>
          <w:snapToGrid w:val="0"/>
          <w:color w:val="000000"/>
          <w:kern w:val="24"/>
          <w:sz w:val="24"/>
          <w:szCs w:val="24"/>
          <w:lang w:val="en-US" w:eastAsia="zh-CN" w:bidi="ar-SA"/>
        </w:rPr>
        <w:t>拟派人员岗位不重复，提供相应证书及</w:t>
      </w:r>
      <w:r>
        <w:rPr>
          <w:rFonts w:hint="eastAsia" w:hAnsi="宋体" w:eastAsia="宋体" w:cs="宋体"/>
          <w:b/>
          <w:bCs/>
          <w:snapToGrid w:val="0"/>
          <w:color w:val="000000"/>
          <w:kern w:val="24"/>
          <w:sz w:val="24"/>
          <w:szCs w:val="24"/>
          <w:lang w:val="en-US" w:eastAsia="zh-CN" w:bidi="ar-SA"/>
        </w:rPr>
        <w:t>投标人为其缴纳的</w:t>
      </w:r>
      <w:r>
        <w:rPr>
          <w:rFonts w:hint="eastAsia" w:ascii="宋体" w:hAnsi="宋体" w:eastAsia="宋体" w:cs="宋体"/>
          <w:b/>
          <w:bCs/>
          <w:snapToGrid w:val="0"/>
          <w:color w:val="000000"/>
          <w:kern w:val="24"/>
          <w:sz w:val="24"/>
          <w:szCs w:val="24"/>
          <w:lang w:val="en-US" w:eastAsia="zh-CN" w:bidi="ar-SA"/>
        </w:rPr>
        <w:t>开标前近6个月任意一个月的社会基本养老保险证明</w:t>
      </w:r>
      <w:r>
        <w:rPr>
          <w:rFonts w:hint="eastAsia" w:hAnsi="宋体" w:eastAsia="宋体" w:cs="宋体"/>
          <w:b/>
          <w:bCs/>
          <w:snapToGrid w:val="0"/>
          <w:color w:val="000000"/>
          <w:kern w:val="24"/>
          <w:sz w:val="24"/>
          <w:szCs w:val="24"/>
          <w:lang w:val="en-US" w:eastAsia="zh-CN" w:bidi="ar-SA"/>
        </w:rPr>
        <w:t>；</w:t>
      </w:r>
      <w:r>
        <w:rPr>
          <w:rFonts w:hint="eastAsia" w:ascii="宋体" w:hAnsi="宋体" w:eastAsia="宋体" w:cs="宋体"/>
          <w:b/>
          <w:bCs/>
          <w:snapToGrid w:val="0"/>
          <w:color w:val="000000"/>
          <w:kern w:val="24"/>
          <w:sz w:val="24"/>
          <w:szCs w:val="24"/>
          <w:lang w:val="en-US" w:eastAsia="zh-CN" w:bidi="ar-SA"/>
        </w:rPr>
        <w:t>退休人员提供退休证明及聘用合同</w:t>
      </w:r>
      <w:r>
        <w:rPr>
          <w:rFonts w:hint="eastAsia" w:hAnsi="宋体" w:eastAsia="宋体" w:cs="宋体"/>
          <w:b/>
          <w:bCs/>
          <w:snapToGrid w:val="0"/>
          <w:color w:val="000000"/>
          <w:kern w:val="24"/>
          <w:sz w:val="24"/>
          <w:szCs w:val="24"/>
          <w:lang w:val="en-US" w:eastAsia="zh-CN" w:bidi="ar-SA"/>
        </w:rPr>
        <w:t>；</w:t>
      </w:r>
      <w:r>
        <w:rPr>
          <w:rFonts w:hint="eastAsia" w:ascii="宋体" w:hAnsi="宋体" w:eastAsia="宋体" w:cs="宋体"/>
          <w:b/>
          <w:bCs/>
          <w:snapToGrid w:val="0"/>
          <w:color w:val="000000"/>
          <w:kern w:val="24"/>
          <w:sz w:val="24"/>
          <w:szCs w:val="24"/>
          <w:lang w:val="en-US" w:eastAsia="zh-CN" w:bidi="ar-SA"/>
        </w:rPr>
        <w:t xml:space="preserve"> 以上</w:t>
      </w:r>
      <w:r>
        <w:rPr>
          <w:rFonts w:hint="eastAsia" w:hAnsi="宋体" w:eastAsia="宋体" w:cs="宋体"/>
          <w:b/>
          <w:bCs/>
          <w:snapToGrid w:val="0"/>
          <w:color w:val="000000"/>
          <w:kern w:val="24"/>
          <w:sz w:val="24"/>
          <w:szCs w:val="24"/>
          <w:lang w:val="en-US" w:eastAsia="zh-CN" w:bidi="ar-SA"/>
        </w:rPr>
        <w:t>全部人员</w:t>
      </w:r>
      <w:r>
        <w:rPr>
          <w:rFonts w:hint="eastAsia" w:ascii="宋体" w:hAnsi="宋体" w:eastAsia="宋体" w:cs="宋体"/>
          <w:b/>
          <w:bCs/>
          <w:snapToGrid w:val="0"/>
          <w:color w:val="000000"/>
          <w:kern w:val="24"/>
          <w:sz w:val="24"/>
          <w:szCs w:val="24"/>
          <w:lang w:val="en-US" w:eastAsia="zh-CN" w:bidi="ar-SA"/>
        </w:rPr>
        <w:t>供应商承诺无在建工程（供应商出具加盖单位公章及法定代表人签字或盖章的承诺书，格式自拟）</w:t>
      </w:r>
      <w:r>
        <w:rPr>
          <w:rFonts w:hint="eastAsia" w:hAnsi="宋体" w:eastAsia="宋体" w:cs="宋体"/>
          <w:b/>
          <w:bCs/>
          <w:snapToGrid w:val="0"/>
          <w:color w:val="000000"/>
          <w:kern w:val="24"/>
          <w:sz w:val="24"/>
          <w:szCs w:val="24"/>
          <w:lang w:val="en-US" w:eastAsia="zh-CN" w:bidi="ar-SA"/>
        </w:rPr>
        <w:t>；项目负责人业绩证明材料；</w:t>
      </w:r>
      <w:r>
        <w:rPr>
          <w:rFonts w:hint="eastAsia" w:ascii="宋体" w:hAnsi="宋体" w:eastAsia="宋体" w:cs="宋体"/>
          <w:b/>
          <w:bCs/>
          <w:snapToGrid w:val="0"/>
          <w:color w:val="000000"/>
          <w:kern w:val="24"/>
          <w:sz w:val="24"/>
          <w:szCs w:val="24"/>
          <w:lang w:val="en-US" w:eastAsia="zh-CN" w:bidi="ar-SA"/>
        </w:rPr>
        <w:t>上述全部证明、承诺材料须完整编入电子投标文件，未按要求提供的，其投标按无效投标处理。</w:t>
      </w:r>
      <w:r>
        <w:rPr>
          <w:rFonts w:hint="eastAsia" w:ascii="宋体" w:hAnsi="宋体" w:eastAsia="宋体" w:cs="宋体"/>
          <w:snapToGrid w:val="0"/>
          <w:color w:val="000000" w:themeColor="text1"/>
          <w:kern w:val="0"/>
          <w:sz w:val="24"/>
          <w:szCs w:val="24"/>
          <w:highlight w:val="none"/>
          <w:lang w:val="en-US" w:eastAsia="zh-CN" w:bidi="ar-SA"/>
          <w14:textFill>
            <w14:solidFill>
              <w14:schemeClr w14:val="tx1"/>
            </w14:solidFill>
          </w14:textFill>
        </w:rPr>
        <w:t>项目管理人员考勤根据《吉安市房屋建筑和市政基础设施工程施工现场重点岗位管理人员电子考勤暂行规定》及《吉安市建筑工人实名制管理实施细则（修订）执行</w:t>
      </w:r>
      <w:r>
        <w:rPr>
          <w:rFonts w:hint="eastAsia" w:hAnsi="宋体" w:eastAsia="宋体" w:cs="宋体"/>
          <w:snapToGrid w:val="0"/>
          <w:color w:val="000000" w:themeColor="text1"/>
          <w:kern w:val="0"/>
          <w:sz w:val="24"/>
          <w:szCs w:val="24"/>
          <w:highlight w:val="none"/>
          <w:lang w:val="en-US" w:eastAsia="zh-CN" w:bidi="ar-SA"/>
          <w14:textFill>
            <w14:solidFill>
              <w14:schemeClr w14:val="tx1"/>
            </w14:solidFill>
          </w14:textFill>
        </w:rPr>
        <w:t>，如有最新规定以最新规定为准及施工许可证办理所需人员以管理部门规定为准。</w:t>
      </w:r>
    </w:p>
    <w:p w14:paraId="5B81E6D6">
      <w:pPr>
        <w:pStyle w:val="4"/>
        <w:keepNext w:val="0"/>
        <w:keepLines w:val="0"/>
        <w:pageBreakBefore w:val="0"/>
        <w:wordWrap/>
        <w:overflowPunct/>
        <w:topLinePunct w:val="0"/>
        <w:bidi w:val="0"/>
        <w:adjustRightInd w:val="0"/>
        <w:snapToGrid w:val="0"/>
        <w:spacing w:line="520" w:lineRule="exact"/>
        <w:ind w:firstLine="480" w:firstLineChars="200"/>
        <w:rPr>
          <w:rFonts w:hint="eastAsia" w:ascii="宋体" w:hAnsi="宋体" w:eastAsia="宋体" w:cs="宋体"/>
          <w:sz w:val="24"/>
          <w:szCs w:val="24"/>
          <w:lang w:eastAsia="zh-CN"/>
        </w:rPr>
      </w:pPr>
      <w:r>
        <w:rPr>
          <w:rFonts w:hint="eastAsia" w:ascii="宋体" w:hAnsi="宋体" w:eastAsia="宋体" w:cs="宋体"/>
          <w:snapToGrid w:val="0"/>
          <w:color w:val="000000"/>
          <w:kern w:val="24"/>
          <w:sz w:val="24"/>
          <w:szCs w:val="24"/>
          <w:lang w:val="en-US" w:eastAsia="zh-CN" w:bidi="ar-SA"/>
        </w:rPr>
        <w:t>4、</w:t>
      </w:r>
      <w:r>
        <w:rPr>
          <w:rFonts w:hint="eastAsia" w:ascii="宋体" w:hAnsi="宋体" w:eastAsia="宋体" w:cs="宋体"/>
          <w:b/>
          <w:bCs/>
          <w:snapToGrid w:val="0"/>
          <w:color w:val="000000"/>
          <w:kern w:val="24"/>
          <w:sz w:val="24"/>
          <w:szCs w:val="24"/>
          <w:lang w:val="en-US" w:eastAsia="zh-CN" w:bidi="ar-SA"/>
        </w:rPr>
        <w:t>业绩：</w:t>
      </w:r>
      <w:r>
        <w:rPr>
          <w:rFonts w:hint="eastAsia" w:ascii="宋体" w:hAnsi="宋体" w:eastAsia="宋体" w:cs="宋体"/>
          <w:b w:val="0"/>
          <w:bCs w:val="0"/>
          <w:color w:val="000000"/>
          <w:sz w:val="24"/>
          <w:szCs w:val="24"/>
          <w:lang w:val="en-US" w:eastAsia="zh-CN"/>
        </w:rPr>
        <w:t>投标人</w:t>
      </w:r>
      <w:r>
        <w:rPr>
          <w:rFonts w:hint="eastAsia" w:ascii="宋体" w:hAnsi="宋体" w:eastAsia="宋体" w:cs="宋体"/>
          <w:b w:val="0"/>
          <w:bCs w:val="0"/>
          <w:color w:val="000000"/>
          <w:sz w:val="24"/>
          <w:szCs w:val="24"/>
        </w:rPr>
        <w:t>自202</w:t>
      </w:r>
      <w:r>
        <w:rPr>
          <w:rFonts w:hint="eastAsia" w:ascii="宋体" w:hAnsi="宋体" w:eastAsia="宋体" w:cs="宋体"/>
          <w:b w:val="0"/>
          <w:bCs w:val="0"/>
          <w:color w:val="000000"/>
          <w:sz w:val="24"/>
          <w:szCs w:val="24"/>
          <w:lang w:val="en-US" w:eastAsia="zh-CN"/>
        </w:rPr>
        <w:t>3</w:t>
      </w:r>
      <w:r>
        <w:rPr>
          <w:rFonts w:hint="eastAsia" w:ascii="宋体" w:hAnsi="宋体" w:eastAsia="宋体" w:cs="宋体"/>
          <w:b w:val="0"/>
          <w:bCs w:val="0"/>
          <w:color w:val="000000"/>
          <w:sz w:val="24"/>
          <w:szCs w:val="24"/>
        </w:rPr>
        <w:t>年</w:t>
      </w:r>
      <w:r>
        <w:rPr>
          <w:rFonts w:hint="eastAsia" w:ascii="宋体" w:hAnsi="宋体" w:eastAsia="宋体" w:cs="宋体"/>
          <w:b w:val="0"/>
          <w:bCs w:val="0"/>
          <w:color w:val="000000"/>
          <w:sz w:val="24"/>
          <w:szCs w:val="24"/>
          <w:lang w:val="en-US" w:eastAsia="zh-CN"/>
        </w:rPr>
        <w:t>1</w:t>
      </w:r>
      <w:r>
        <w:rPr>
          <w:rFonts w:hint="eastAsia" w:ascii="宋体" w:hAnsi="宋体" w:eastAsia="宋体" w:cs="宋体"/>
          <w:b w:val="0"/>
          <w:bCs w:val="0"/>
          <w:color w:val="000000"/>
          <w:sz w:val="24"/>
          <w:szCs w:val="24"/>
        </w:rPr>
        <w:t>月1日</w:t>
      </w:r>
      <w:r>
        <w:rPr>
          <w:rFonts w:hint="eastAsia" w:ascii="宋体" w:hAnsi="宋体" w:eastAsia="宋体" w:cs="宋体"/>
          <w:b w:val="0"/>
          <w:bCs w:val="0"/>
          <w:color w:val="000000"/>
          <w:sz w:val="24"/>
          <w:szCs w:val="24"/>
          <w:lang w:val="en-US" w:eastAsia="zh-CN"/>
        </w:rPr>
        <w:t>至今（</w:t>
      </w:r>
      <w:r>
        <w:rPr>
          <w:rFonts w:hint="eastAsia" w:ascii="宋体" w:hAnsi="宋体" w:eastAsia="宋体" w:cs="宋体"/>
          <w:b w:val="0"/>
          <w:bCs w:val="0"/>
          <w:color w:val="000000"/>
          <w:sz w:val="24"/>
          <w:szCs w:val="24"/>
        </w:rPr>
        <w:t>以合同签订时间为准</w:t>
      </w:r>
      <w:r>
        <w:rPr>
          <w:rFonts w:hint="eastAsia" w:ascii="宋体" w:hAnsi="宋体" w:eastAsia="宋体" w:cs="宋体"/>
          <w:b w:val="0"/>
          <w:bCs w:val="0"/>
          <w:color w:val="000000"/>
          <w:sz w:val="24"/>
          <w:szCs w:val="24"/>
          <w:lang w:eastAsia="zh-CN"/>
        </w:rPr>
        <w:t>）</w:t>
      </w:r>
      <w:r>
        <w:rPr>
          <w:rFonts w:hint="eastAsia" w:ascii="宋体" w:hAnsi="宋体" w:eastAsia="宋体" w:cs="宋体"/>
          <w:b w:val="0"/>
          <w:bCs w:val="0"/>
          <w:color w:val="000000"/>
          <w:sz w:val="24"/>
          <w:szCs w:val="24"/>
        </w:rPr>
        <w:t>,须提供</w:t>
      </w:r>
      <w:r>
        <w:rPr>
          <w:rFonts w:hint="eastAsia" w:ascii="宋体" w:hAnsi="宋体" w:eastAsia="宋体" w:cs="宋体"/>
          <w:b w:val="0"/>
          <w:bCs w:val="0"/>
          <w:color w:val="000000"/>
          <w:sz w:val="24"/>
          <w:szCs w:val="24"/>
          <w:lang w:val="en-US" w:eastAsia="zh-CN"/>
        </w:rPr>
        <w:t>1</w:t>
      </w:r>
      <w:r>
        <w:rPr>
          <w:rFonts w:hint="eastAsia" w:ascii="宋体" w:hAnsi="宋体" w:eastAsia="宋体" w:cs="宋体"/>
          <w:b w:val="0"/>
          <w:bCs w:val="0"/>
          <w:color w:val="000000"/>
          <w:sz w:val="24"/>
          <w:szCs w:val="24"/>
        </w:rPr>
        <w:t>个</w:t>
      </w:r>
      <w:r>
        <w:rPr>
          <w:rFonts w:hint="eastAsia" w:ascii="宋体" w:hAnsi="宋体" w:eastAsia="宋体" w:cs="宋体"/>
          <w:b w:val="0"/>
          <w:bCs w:val="0"/>
          <w:color w:val="000000"/>
          <w:sz w:val="24"/>
          <w:szCs w:val="24"/>
          <w:lang w:val="en-US" w:eastAsia="zh-CN"/>
        </w:rPr>
        <w:t>建筑</w:t>
      </w:r>
      <w:r>
        <w:rPr>
          <w:rFonts w:hint="eastAsia" w:ascii="宋体" w:hAnsi="宋体" w:eastAsia="宋体" w:cs="宋体"/>
          <w:b w:val="0"/>
          <w:bCs w:val="0"/>
          <w:color w:val="000000"/>
          <w:sz w:val="24"/>
          <w:szCs w:val="24"/>
        </w:rPr>
        <w:t>类施工项目业绩，提供项目项目施工合同、竣工验收备案表或竣工验收报告的原件扫描件证</w:t>
      </w:r>
      <w:r>
        <w:rPr>
          <w:rFonts w:hint="eastAsia" w:ascii="宋体" w:hAnsi="宋体" w:eastAsia="宋体" w:cs="宋体"/>
          <w:b/>
          <w:bCs/>
          <w:snapToGrid w:val="0"/>
          <w:color w:val="000000"/>
          <w:kern w:val="24"/>
          <w:sz w:val="24"/>
          <w:szCs w:val="24"/>
          <w:lang w:val="en-US" w:eastAsia="zh-CN" w:bidi="ar-SA"/>
        </w:rPr>
        <w:t>编入电子投标文件，未按要求提供的，其投标按无效投标处理。</w:t>
      </w:r>
    </w:p>
    <w:p w14:paraId="535A26C0">
      <w:pPr>
        <w:keepNext w:val="0"/>
        <w:keepLines w:val="0"/>
        <w:pageBreakBefore w:val="0"/>
        <w:widowControl/>
        <w:numPr>
          <w:ilvl w:val="0"/>
          <w:numId w:val="0"/>
        </w:numPr>
        <w:kinsoku/>
        <w:wordWrap/>
        <w:overflowPunct/>
        <w:topLinePunct w:val="0"/>
        <w:autoSpaceDE/>
        <w:autoSpaceDN/>
        <w:bidi w:val="0"/>
        <w:adjustRightInd w:val="0"/>
        <w:snapToGrid w:val="0"/>
        <w:spacing w:beforeAutospacing="0" w:afterAutospacing="0" w:line="520" w:lineRule="exact"/>
        <w:ind w:left="19" w:leftChars="9" w:firstLine="393" w:firstLineChars="164"/>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bCs/>
          <w:sz w:val="24"/>
          <w:szCs w:val="24"/>
          <w:highlight w:val="white"/>
          <w:lang w:val="en-US" w:eastAsia="zh-CN"/>
        </w:rPr>
        <w:t>5</w:t>
      </w:r>
      <w:r>
        <w:rPr>
          <w:rFonts w:hint="eastAsia" w:ascii="宋体" w:hAnsi="宋体" w:eastAsia="宋体" w:cs="宋体"/>
          <w:bCs/>
          <w:sz w:val="24"/>
          <w:szCs w:val="24"/>
          <w:highlight w:val="white"/>
          <w:lang w:val="en-US" w:eastAsia="en-US"/>
        </w:rPr>
        <w:t>、</w:t>
      </w:r>
      <w:r>
        <w:rPr>
          <w:rFonts w:hint="eastAsia" w:ascii="宋体" w:hAnsi="宋体" w:eastAsia="宋体" w:cs="宋体"/>
          <w:bCs/>
          <w:sz w:val="24"/>
          <w:szCs w:val="24"/>
          <w:highlight w:val="white"/>
        </w:rPr>
        <w:t>付款方式：</w:t>
      </w:r>
      <w:r>
        <w:rPr>
          <w:rFonts w:hint="eastAsia" w:ascii="宋体" w:hAnsi="宋体" w:eastAsia="宋体" w:cs="宋体"/>
          <w:color w:val="000000" w:themeColor="text1"/>
          <w:sz w:val="24"/>
          <w:szCs w:val="24"/>
          <w:highlight w:val="none"/>
          <w14:textFill>
            <w14:solidFill>
              <w14:schemeClr w14:val="tx1"/>
            </w14:solidFill>
          </w14:textFill>
        </w:rPr>
        <w:t>按工程节点支付工程进度款：1</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.根据实际发生工程量，经业主、监理和施工方三方共同核实后据实支付；2</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.项目竣工验收，累计拨付到工程合同总价款的80%；3</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.凭竣工验收备案表</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审计报告，累计拨付到</w:t>
      </w:r>
      <w:r>
        <w:rPr>
          <w:rFonts w:hint="eastAsia" w:ascii="宋体" w:hAnsi="宋体" w:eastAsia="宋体" w:cs="宋体"/>
          <w:color w:val="000000" w:themeColor="text1"/>
          <w:sz w:val="24"/>
          <w:szCs w:val="24"/>
          <w:highlight w:val="none"/>
          <w:lang w:val="en-US" w:eastAsia="zh-CN"/>
          <w14:textFill>
            <w14:solidFill>
              <w14:schemeClr w14:val="tx1"/>
            </w14:solidFill>
          </w14:textFill>
        </w:rPr>
        <w:t>审计</w:t>
      </w:r>
      <w:r>
        <w:rPr>
          <w:rFonts w:hint="eastAsia" w:ascii="宋体" w:hAnsi="宋体" w:eastAsia="宋体" w:cs="宋体"/>
          <w:color w:val="000000" w:themeColor="text1"/>
          <w:sz w:val="24"/>
          <w:szCs w:val="24"/>
          <w:highlight w:val="none"/>
          <w14:textFill>
            <w14:solidFill>
              <w14:schemeClr w14:val="tx1"/>
            </w14:solidFill>
          </w14:textFill>
        </w:rPr>
        <w:t>价款的97%；4</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 工程验收后满壹年，工程无质量问题，累计拨付到工程审计价的100%。</w:t>
      </w:r>
    </w:p>
    <w:p w14:paraId="2F7E2AB0">
      <w:pPr>
        <w:keepNext w:val="0"/>
        <w:keepLines w:val="0"/>
        <w:pageBreakBefore w:val="0"/>
        <w:widowControl/>
        <w:numPr>
          <w:ilvl w:val="0"/>
          <w:numId w:val="0"/>
        </w:numPr>
        <w:kinsoku/>
        <w:wordWrap/>
        <w:overflowPunct/>
        <w:topLinePunct w:val="0"/>
        <w:autoSpaceDE/>
        <w:autoSpaceDN/>
        <w:bidi w:val="0"/>
        <w:adjustRightInd w:val="0"/>
        <w:snapToGrid w:val="0"/>
        <w:spacing w:beforeAutospacing="0" w:afterAutospacing="0" w:line="520" w:lineRule="exact"/>
        <w:ind w:left="19" w:leftChars="9" w:firstLine="393" w:firstLineChars="164"/>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6</w:t>
      </w:r>
      <w:r>
        <w:rPr>
          <w:rFonts w:hint="eastAsia" w:ascii="宋体" w:hAnsi="宋体" w:eastAsia="宋体" w:cs="宋体"/>
          <w:sz w:val="24"/>
          <w:szCs w:val="24"/>
        </w:rPr>
        <w:t>、本项目为交钥匙工程，施工商应自行前往施工现场进行勘察，并对清单及图纸仔细核算成本，报价应包括招标范围内的全部内容，含设备、材料、运保费（包括吊装）、装卸费、安装、调试费、检测验收费、场内二次搬运费、管理费、保管、维修备件、专用工具、管理费、利润、税金及质保期内维修费用和相关技术服务及完成本项目所需的一切费用等。</w:t>
      </w:r>
    </w:p>
    <w:p w14:paraId="22655C10">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default" w:ascii="宋体" w:hAnsi="宋体" w:eastAsia="宋体" w:cs="宋体"/>
          <w:sz w:val="24"/>
          <w:szCs w:val="24"/>
          <w:lang w:val="en-US" w:eastAsia="zh-CN"/>
        </w:rPr>
      </w:pPr>
      <w:r>
        <w:rPr>
          <w:rFonts w:hint="eastAsia" w:ascii="宋体" w:hAnsi="宋体" w:eastAsia="宋体" w:cs="宋体"/>
          <w:sz w:val="24"/>
          <w:szCs w:val="24"/>
        </w:rPr>
        <w:t>施工商应充分考虑本项目合同实施期间可能发生的一切费用并承担由此而带来的风险。凡施工商在报价中未列明但又为投标所必备的项目或遗漏项目，采购人将一律视为已包括在其报价中，在合同执行中将不予考虑。</w:t>
      </w:r>
    </w:p>
    <w:p w14:paraId="5E49F90B">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lang w:val="en-US" w:eastAsia="zh-CN"/>
        </w:rPr>
        <w:t>7</w:t>
      </w:r>
      <w:r>
        <w:rPr>
          <w:rFonts w:hint="eastAsia" w:ascii="宋体" w:hAnsi="宋体" w:eastAsia="宋体" w:cs="宋体"/>
          <w:sz w:val="24"/>
          <w:szCs w:val="24"/>
        </w:rPr>
        <w:t>、施工时间:</w:t>
      </w:r>
      <w:r>
        <w:rPr>
          <w:rFonts w:hint="eastAsia" w:ascii="宋体" w:hAnsi="宋体" w:eastAsia="宋体" w:cs="宋体"/>
          <w:sz w:val="24"/>
          <w:szCs w:val="24"/>
          <w:highlight w:val="none"/>
        </w:rPr>
        <w:t xml:space="preserve">  施工合同签订后12个月内完成项目施工。</w:t>
      </w:r>
    </w:p>
    <w:p w14:paraId="069B0A43">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8</w:t>
      </w:r>
      <w:r>
        <w:rPr>
          <w:rFonts w:hint="eastAsia" w:ascii="宋体" w:hAnsi="宋体" w:eastAsia="宋体" w:cs="宋体"/>
          <w:sz w:val="24"/>
          <w:szCs w:val="24"/>
        </w:rPr>
        <w:t>、施工地点:</w:t>
      </w:r>
      <w:r>
        <w:rPr>
          <w:rFonts w:hint="eastAsia" w:ascii="宋体" w:hAnsi="宋体" w:eastAsia="宋体" w:cs="宋体"/>
          <w:sz w:val="24"/>
          <w:szCs w:val="24"/>
          <w:lang w:val="en-US" w:eastAsia="zh-CN"/>
        </w:rPr>
        <w:t>万安县韶口乡</w:t>
      </w:r>
      <w:r>
        <w:rPr>
          <w:rFonts w:hint="eastAsia" w:ascii="宋体" w:hAnsi="宋体" w:eastAsia="宋体" w:cs="宋体"/>
          <w:sz w:val="24"/>
          <w:szCs w:val="24"/>
        </w:rPr>
        <w:t>。</w:t>
      </w:r>
    </w:p>
    <w:p w14:paraId="185C8CF9">
      <w:pPr>
        <w:pStyle w:val="4"/>
        <w:keepNext w:val="0"/>
        <w:keepLines w:val="0"/>
        <w:pageBreakBefore w:val="0"/>
        <w:widowControl/>
        <w:kinsoku w:val="0"/>
        <w:wordWrap/>
        <w:overflowPunct/>
        <w:topLinePunct w:val="0"/>
        <w:autoSpaceDE w:val="0"/>
        <w:autoSpaceDN w:val="0"/>
        <w:bidi w:val="0"/>
        <w:adjustRightInd w:val="0"/>
        <w:snapToGrid w:val="0"/>
        <w:spacing w:line="520" w:lineRule="exact"/>
        <w:ind w:firstLine="480" w:firstLineChars="200"/>
        <w:textAlignment w:val="baseline"/>
        <w:rPr>
          <w:rFonts w:hint="eastAsia" w:ascii="宋体" w:hAnsi="宋体" w:eastAsia="宋体" w:cs="宋体"/>
          <w:b/>
          <w:bCs/>
          <w:snapToGrid w:val="0"/>
          <w:color w:val="000000"/>
          <w:kern w:val="0"/>
          <w:sz w:val="24"/>
          <w:szCs w:val="24"/>
          <w:highlight w:val="none"/>
          <w:lang w:val="en-US" w:eastAsia="en-US" w:bidi="ar-SA"/>
        </w:rPr>
      </w:pPr>
      <w:r>
        <w:rPr>
          <w:rFonts w:hint="eastAsia" w:ascii="宋体" w:hAnsi="宋体" w:eastAsia="宋体" w:cs="宋体"/>
          <w:sz w:val="24"/>
          <w:szCs w:val="24"/>
          <w:lang w:val="en-US" w:eastAsia="zh-CN"/>
        </w:rPr>
        <w:t>9、</w:t>
      </w:r>
      <w:r>
        <w:rPr>
          <w:rFonts w:hint="eastAsia" w:ascii="宋体" w:hAnsi="宋体" w:eastAsia="宋体" w:cs="宋体"/>
          <w:b w:val="0"/>
          <w:bCs w:val="0"/>
          <w:color w:val="000000"/>
          <w:sz w:val="24"/>
          <w:szCs w:val="24"/>
        </w:rPr>
        <w:t>谈判文件工程量清单中暂估价、暂列金、不可预见费等，均属于不可竞争费，不得让利，否则视为无效响应（包括二次报价）。</w:t>
      </w:r>
      <w:r>
        <w:rPr>
          <w:rFonts w:hint="eastAsia" w:ascii="宋体" w:hAnsi="宋体" w:eastAsia="宋体" w:cs="宋体"/>
          <w:snapToGrid w:val="0"/>
          <w:color w:val="FF0000"/>
          <w:kern w:val="0"/>
          <w:sz w:val="24"/>
          <w:szCs w:val="24"/>
          <w:highlight w:val="none"/>
          <w:lang w:val="en-US" w:eastAsia="en-US" w:bidi="ar-SA"/>
        </w:rPr>
        <w:t>计价时采用的计价计算标准和费用计取办法</w:t>
      </w:r>
      <w:r>
        <w:rPr>
          <w:rFonts w:hint="eastAsia" w:ascii="宋体" w:hAnsi="宋体" w:eastAsia="宋体" w:cs="宋体"/>
          <w:snapToGrid w:val="0"/>
          <w:color w:val="000000"/>
          <w:kern w:val="0"/>
          <w:sz w:val="24"/>
          <w:szCs w:val="24"/>
          <w:highlight w:val="none"/>
          <w:lang w:val="en-US" w:eastAsia="zh-CN" w:bidi="ar-SA"/>
        </w:rPr>
        <w:t>：《建设工程工程量清单计价规范》GB50500-2024、2017年《江西省房屋建筑与装饰工程消耗量定额及统一基价表》、2017年《江西省通用安装工程消耗量定额及统一基价表》、2017年《江西省市政工程消耗量定额及统一基价表》、2023年《江西省园林工程消耗量定额及单位估价表》。</w:t>
      </w:r>
    </w:p>
    <w:p w14:paraId="658161F8">
      <w:pPr>
        <w:pStyle w:val="4"/>
        <w:keepNext w:val="0"/>
        <w:keepLines w:val="0"/>
        <w:pageBreakBefore w:val="0"/>
        <w:widowControl/>
        <w:kinsoku w:val="0"/>
        <w:wordWrap/>
        <w:overflowPunct/>
        <w:topLinePunct w:val="0"/>
        <w:autoSpaceDE w:val="0"/>
        <w:autoSpaceDN w:val="0"/>
        <w:bidi w:val="0"/>
        <w:adjustRightInd w:val="0"/>
        <w:snapToGrid w:val="0"/>
        <w:spacing w:line="520" w:lineRule="exact"/>
        <w:ind w:firstLine="482" w:firstLineChars="200"/>
        <w:textAlignment w:val="baseline"/>
        <w:rPr>
          <w:rFonts w:hint="eastAsia" w:ascii="宋体" w:hAnsi="宋体" w:eastAsia="宋体" w:cs="宋体"/>
          <w:b/>
          <w:bCs/>
          <w:snapToGrid w:val="0"/>
          <w:color w:val="000000"/>
          <w:kern w:val="0"/>
          <w:sz w:val="24"/>
          <w:szCs w:val="24"/>
          <w:highlight w:val="none"/>
          <w:lang w:val="en-US" w:eastAsia="en-US" w:bidi="ar-SA"/>
        </w:rPr>
      </w:pPr>
      <w:r>
        <w:rPr>
          <w:rFonts w:hint="eastAsia" w:ascii="宋体" w:hAnsi="宋体" w:eastAsia="宋体" w:cs="宋体"/>
          <w:b/>
          <w:bCs/>
          <w:snapToGrid w:val="0"/>
          <w:color w:val="000000"/>
          <w:kern w:val="0"/>
          <w:sz w:val="24"/>
          <w:szCs w:val="24"/>
          <w:highlight w:val="none"/>
          <w:lang w:val="en-US" w:eastAsia="en-US" w:bidi="ar-SA"/>
        </w:rPr>
        <w:t>供应商应充分考虑本项目在施工期间各类建材的市场风险和国家政策性调整等风险因素及自身响应报价风险和中标后自身的经济承受能力，慎重确定合理利润，自主响应报价，承诺不盲目压价低于成本恶性竞争。最终总价报价应为首次总价报价同比例下浮，供应商中标后应在提供纸质版响应文件的同时提供最终报价的完整清单并加盖本单位公章。</w:t>
      </w:r>
    </w:p>
    <w:p w14:paraId="468B85A8">
      <w:pPr>
        <w:keepNext w:val="0"/>
        <w:keepLines w:val="0"/>
        <w:pageBreakBefore w:val="0"/>
        <w:kinsoku/>
        <w:wordWrap/>
        <w:overflowPunct/>
        <w:topLinePunct w:val="0"/>
        <w:autoSpaceDE w:val="0"/>
        <w:autoSpaceDN w:val="0"/>
        <w:bidi w:val="0"/>
        <w:adjustRightInd w:val="0"/>
        <w:snapToGrid w:val="0"/>
        <w:spacing w:line="520" w:lineRule="exact"/>
        <w:ind w:left="641" w:leftChars="0" w:hanging="641" w:hangingChars="266"/>
        <w:jc w:val="both"/>
        <w:textAlignment w:val="baseline"/>
        <w:rPr>
          <w:rFonts w:hint="eastAsia" w:ascii="宋体" w:hAnsi="宋体" w:eastAsia="宋体" w:cs="宋体"/>
          <w:b/>
          <w:bCs/>
          <w:i w:val="0"/>
          <w:iCs w:val="0"/>
          <w:color w:val="auto"/>
          <w:spacing w:val="0"/>
          <w:position w:val="0"/>
          <w:sz w:val="24"/>
          <w:szCs w:val="24"/>
          <w:highlight w:val="none"/>
          <w:lang w:eastAsia="zh-CN"/>
        </w:rPr>
      </w:pPr>
      <w:r>
        <w:rPr>
          <w:rFonts w:hint="eastAsia" w:ascii="宋体" w:hAnsi="宋体" w:eastAsia="宋体" w:cs="宋体"/>
          <w:b/>
          <w:bCs/>
          <w:snapToGrid w:val="0"/>
          <w:color w:val="000000"/>
          <w:kern w:val="0"/>
          <w:sz w:val="24"/>
          <w:szCs w:val="24"/>
          <w:highlight w:val="none"/>
          <w:lang w:val="en-US" w:eastAsia="zh-CN" w:bidi="ar-SA"/>
        </w:rPr>
        <w:t>10、</w:t>
      </w:r>
      <w:r>
        <w:rPr>
          <w:rFonts w:hint="eastAsia" w:ascii="宋体" w:hAnsi="宋体" w:eastAsia="宋体" w:cs="宋体"/>
          <w:b/>
          <w:bCs/>
          <w:i w:val="0"/>
          <w:iCs w:val="0"/>
          <w:color w:val="auto"/>
          <w:spacing w:val="0"/>
          <w:position w:val="0"/>
          <w:sz w:val="24"/>
          <w:szCs w:val="24"/>
          <w:highlight w:val="none"/>
          <w:lang w:eastAsia="zh-CN"/>
        </w:rPr>
        <w:t>异常低价审查</w:t>
      </w:r>
    </w:p>
    <w:p w14:paraId="3991D69A">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520" w:lineRule="exact"/>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10.1 评审中出现下列情</w:t>
      </w: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形之一的，谈判小组应当启动异常低价投标审查程序：</w:t>
      </w:r>
    </w:p>
    <w:p w14:paraId="7BD5D3B4">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520" w:lineRule="exact"/>
        <w:ind w:left="638" w:leftChars="0" w:right="0" w:hanging="638" w:hangingChars="266"/>
        <w:jc w:val="both"/>
        <w:textAlignment w:val="baseline"/>
        <w:rPr>
          <w:rFonts w:hint="eastAsia" w:ascii="宋体" w:hAnsi="宋体" w:eastAsia="宋体" w:cs="宋体"/>
          <w:b/>
          <w:bCs/>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w:t>
      </w:r>
      <w:r>
        <w:rPr>
          <w:rFonts w:hint="eastAsia" w:ascii="宋体" w:hAnsi="宋体" w:eastAsia="宋体" w:cs="宋体"/>
          <w:b/>
          <w:bCs/>
          <w:i w:val="0"/>
          <w:iCs w:val="0"/>
          <w:caps w:val="0"/>
          <w:snapToGrid w:val="0"/>
          <w:color w:val="auto"/>
          <w:spacing w:val="0"/>
          <w:kern w:val="0"/>
          <w:sz w:val="24"/>
          <w:szCs w:val="24"/>
          <w:highlight w:val="none"/>
          <w:shd w:val="clear" w:fill="auto"/>
          <w:vertAlign w:val="baseline"/>
          <w:lang w:val="en-US" w:eastAsia="zh-CN" w:bidi="ar"/>
        </w:rPr>
        <w:t>1）响应报价低于全部通过符合性审查供应商响应报价平均值50%的，即响应报价&lt;全部通过符合性审查供应商响应报价平均值×50%；</w:t>
      </w:r>
    </w:p>
    <w:p w14:paraId="051C4833">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520" w:lineRule="exact"/>
        <w:ind w:left="641" w:leftChars="0" w:right="0" w:hanging="641" w:hangingChars="266"/>
        <w:jc w:val="both"/>
        <w:textAlignment w:val="baseline"/>
        <w:rPr>
          <w:rFonts w:hint="eastAsia" w:ascii="宋体" w:hAnsi="宋体" w:eastAsia="宋体" w:cs="宋体"/>
          <w:b/>
          <w:bCs/>
          <w:i w:val="0"/>
          <w:iCs w:val="0"/>
          <w:caps w:val="0"/>
          <w:color w:val="auto"/>
          <w:spacing w:val="0"/>
          <w:sz w:val="24"/>
          <w:szCs w:val="24"/>
          <w:highlight w:val="none"/>
          <w:lang w:eastAsia="zh-CN"/>
        </w:rPr>
      </w:pPr>
      <w:r>
        <w:rPr>
          <w:rFonts w:hint="eastAsia" w:ascii="宋体" w:hAnsi="宋体" w:eastAsia="宋体" w:cs="宋体"/>
          <w:b/>
          <w:bCs/>
          <w:i w:val="0"/>
          <w:iCs w:val="0"/>
          <w:caps w:val="0"/>
          <w:snapToGrid w:val="0"/>
          <w:color w:val="auto"/>
          <w:spacing w:val="0"/>
          <w:kern w:val="0"/>
          <w:sz w:val="24"/>
          <w:szCs w:val="24"/>
          <w:highlight w:val="none"/>
          <w:shd w:val="clear" w:fill="auto"/>
          <w:vertAlign w:val="baseline"/>
          <w:lang w:val="en-US" w:eastAsia="zh-CN" w:bidi="ar"/>
        </w:rPr>
        <w:t>（2）响应报价低于通过符合性审查的次低报价供应商响应报价50%的，即响应报价&lt;通过符合性审查的次低报价供应商响应报价×50%；</w:t>
      </w:r>
    </w:p>
    <w:p w14:paraId="62161031">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520" w:lineRule="exact"/>
        <w:ind w:left="422" w:leftChars="0" w:right="0" w:hanging="422" w:hangingChars="175"/>
        <w:jc w:val="both"/>
        <w:textAlignment w:val="baseline"/>
        <w:rPr>
          <w:rFonts w:hint="eastAsia" w:ascii="宋体" w:hAnsi="宋体" w:eastAsia="宋体" w:cs="宋体"/>
          <w:b/>
          <w:bCs/>
          <w:i w:val="0"/>
          <w:iCs w:val="0"/>
          <w:caps w:val="0"/>
          <w:color w:val="auto"/>
          <w:spacing w:val="0"/>
          <w:sz w:val="24"/>
          <w:szCs w:val="24"/>
          <w:highlight w:val="none"/>
          <w:lang w:eastAsia="zh-CN"/>
        </w:rPr>
      </w:pPr>
      <w:r>
        <w:rPr>
          <w:rFonts w:hint="eastAsia" w:ascii="宋体" w:hAnsi="宋体" w:eastAsia="宋体" w:cs="宋体"/>
          <w:b/>
          <w:bCs/>
          <w:i w:val="0"/>
          <w:iCs w:val="0"/>
          <w:caps w:val="0"/>
          <w:snapToGrid w:val="0"/>
          <w:color w:val="auto"/>
          <w:spacing w:val="0"/>
          <w:kern w:val="0"/>
          <w:sz w:val="24"/>
          <w:szCs w:val="24"/>
          <w:highlight w:val="none"/>
          <w:shd w:val="clear" w:fill="auto"/>
          <w:vertAlign w:val="baseline"/>
          <w:lang w:val="en-US" w:eastAsia="zh-CN" w:bidi="ar"/>
        </w:rPr>
        <w:t>（3）响应报价低于采购项目最高限价45%的，即响应报价&lt;采购项目最高限价×45%；</w:t>
      </w:r>
    </w:p>
    <w:p w14:paraId="60166FAE">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520" w:lineRule="exact"/>
        <w:ind w:left="641" w:leftChars="0" w:right="0" w:hanging="641" w:hangingChars="266"/>
        <w:jc w:val="both"/>
        <w:textAlignment w:val="baseline"/>
        <w:rPr>
          <w:rFonts w:hint="eastAsia" w:ascii="宋体" w:hAnsi="宋体" w:eastAsia="宋体" w:cs="宋体"/>
          <w:b/>
          <w:bCs/>
          <w:i w:val="0"/>
          <w:iCs w:val="0"/>
          <w:caps w:val="0"/>
          <w:color w:val="auto"/>
          <w:spacing w:val="0"/>
          <w:sz w:val="24"/>
          <w:szCs w:val="24"/>
          <w:highlight w:val="none"/>
          <w:lang w:eastAsia="zh-CN"/>
        </w:rPr>
      </w:pPr>
      <w:r>
        <w:rPr>
          <w:rFonts w:hint="eastAsia" w:ascii="宋体" w:hAnsi="宋体" w:eastAsia="宋体" w:cs="宋体"/>
          <w:b/>
          <w:bCs/>
          <w:i w:val="0"/>
          <w:iCs w:val="0"/>
          <w:caps w:val="0"/>
          <w:snapToGrid w:val="0"/>
          <w:color w:val="auto"/>
          <w:spacing w:val="0"/>
          <w:kern w:val="0"/>
          <w:sz w:val="24"/>
          <w:szCs w:val="24"/>
          <w:highlight w:val="none"/>
          <w:shd w:val="clear" w:fill="auto"/>
          <w:vertAlign w:val="baseline"/>
          <w:lang w:val="en-US" w:eastAsia="zh-CN" w:bidi="ar"/>
        </w:rPr>
        <w:t>（4）谈判小组认为供应商报价过低，有可能影响产品质量或者不能诚信履约的其他情形。</w:t>
      </w:r>
    </w:p>
    <w:p w14:paraId="45E5442D">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520" w:lineRule="exact"/>
        <w:ind w:right="0" w:firstLine="482" w:firstLineChars="200"/>
        <w:jc w:val="both"/>
        <w:textAlignment w:val="baseline"/>
        <w:rPr>
          <w:rFonts w:hint="eastAsia" w:ascii="宋体" w:hAnsi="宋体" w:eastAsia="宋体" w:cs="宋体"/>
          <w:b/>
          <w:bCs/>
          <w:i w:val="0"/>
          <w:iCs w:val="0"/>
          <w:caps w:val="0"/>
          <w:snapToGrid w:val="0"/>
          <w:color w:val="auto"/>
          <w:spacing w:val="0"/>
          <w:kern w:val="0"/>
          <w:sz w:val="24"/>
          <w:szCs w:val="24"/>
          <w:highlight w:val="none"/>
          <w:shd w:val="clear" w:fill="auto"/>
          <w:vertAlign w:val="baseline"/>
          <w:lang w:val="en-US" w:eastAsia="zh-CN" w:bidi="ar"/>
        </w:rPr>
      </w:pPr>
      <w:r>
        <w:rPr>
          <w:rFonts w:hint="eastAsia" w:ascii="宋体" w:hAnsi="宋体" w:eastAsia="宋体" w:cs="宋体"/>
          <w:b/>
          <w:bCs/>
          <w:i w:val="0"/>
          <w:iCs w:val="0"/>
          <w:caps w:val="0"/>
          <w:snapToGrid w:val="0"/>
          <w:color w:val="auto"/>
          <w:spacing w:val="0"/>
          <w:kern w:val="0"/>
          <w:sz w:val="24"/>
          <w:szCs w:val="24"/>
          <w:highlight w:val="none"/>
          <w:shd w:val="clear" w:fill="auto"/>
          <w:vertAlign w:val="baseline"/>
          <w:lang w:val="en-US" w:eastAsia="zh-CN" w:bidi="ar"/>
        </w:rPr>
        <w:t>相关法律法规对供应商报价有规定的，从其规定。</w:t>
      </w:r>
    </w:p>
    <w:p w14:paraId="300FC8DD">
      <w:pPr>
        <w:pStyle w:val="3"/>
        <w:keepNext w:val="0"/>
        <w:keepLines w:val="0"/>
        <w:pageBreakBefore w:val="0"/>
        <w:wordWrap/>
        <w:overflowPunct/>
        <w:topLinePunct w:val="0"/>
        <w:autoSpaceDE w:val="0"/>
        <w:autoSpaceDN w:val="0"/>
        <w:bidi w:val="0"/>
        <w:adjustRightInd w:val="0"/>
        <w:snapToGrid w:val="0"/>
        <w:spacing w:line="520" w:lineRule="exact"/>
        <w:ind w:firstLine="482" w:firstLineChars="200"/>
        <w:textAlignment w:val="baseline"/>
        <w:rPr>
          <w:rFonts w:hint="eastAsia" w:ascii="宋体" w:hAnsi="宋体" w:eastAsia="宋体" w:cs="宋体"/>
          <w:b/>
          <w:bCs/>
          <w:sz w:val="24"/>
          <w:szCs w:val="24"/>
          <w:highlight w:val="none"/>
          <w:lang w:val="en-US" w:eastAsia="zh-CN"/>
        </w:rPr>
      </w:pPr>
      <w:r>
        <w:rPr>
          <w:rFonts w:hint="eastAsia" w:ascii="宋体" w:hAnsi="宋体" w:eastAsia="宋体" w:cs="宋体"/>
          <w:b/>
          <w:bCs/>
          <w:i w:val="0"/>
          <w:iCs w:val="0"/>
          <w:caps w:val="0"/>
          <w:snapToGrid w:val="0"/>
          <w:color w:val="auto"/>
          <w:spacing w:val="0"/>
          <w:kern w:val="0"/>
          <w:sz w:val="24"/>
          <w:szCs w:val="24"/>
          <w:highlight w:val="none"/>
          <w:shd w:val="clear" w:fill="auto"/>
          <w:vertAlign w:val="baseline"/>
          <w:lang w:val="en-US" w:eastAsia="zh-CN" w:bidi="ar"/>
        </w:rPr>
        <w:t>以上“响应报价”未特别说明的，均指“最后报价”。</w:t>
      </w:r>
    </w:p>
    <w:p w14:paraId="4865BF08">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520" w:lineRule="exact"/>
        <w:ind w:left="420" w:leftChars="0" w:right="0" w:hanging="420" w:hangingChars="175"/>
        <w:jc w:val="both"/>
        <w:textAlignment w:val="baseline"/>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10.2 谈判小组启动异常低价审查后，相关供应商在评审现场</w:t>
      </w:r>
      <w:r>
        <w:rPr>
          <w:rFonts w:hint="eastAsia" w:ascii="宋体" w:hAnsi="宋体" w:eastAsia="宋体" w:cs="宋体"/>
          <w:b/>
          <w:bCs/>
          <w:i w:val="0"/>
          <w:iCs w:val="0"/>
          <w:caps w:val="0"/>
          <w:snapToGrid w:val="0"/>
          <w:color w:val="FF0000"/>
          <w:spacing w:val="0"/>
          <w:kern w:val="0"/>
          <w:sz w:val="24"/>
          <w:szCs w:val="24"/>
          <w:shd w:val="clear" w:fill="auto"/>
          <w:vertAlign w:val="baseline"/>
          <w:lang w:val="en-US" w:eastAsia="zh-CN" w:bidi="ar"/>
        </w:rPr>
        <w:t>40分钟内</w:t>
      </w: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对响应报价作出解释，提供项目具体成本测算等与报价合理性相关的书面说明及必要的证明材料。谈判小组结合同类项目的中标价格、在主要电商平台的价格、行业薪资水平等情况，依据专业经验对报价合理性进行判断。供应商不能提供书面说明、证明材料，或者提供的书面说明、证明材料不能证明其报价合理性的，谈判小组应当将其作为无效投标（响应）处理，并在评审报告中记录审查相关情况。</w:t>
      </w:r>
    </w:p>
    <w:p w14:paraId="57BDEF05">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520" w:lineRule="exact"/>
        <w:ind w:left="420" w:leftChars="0" w:right="0" w:hanging="420" w:hangingChars="175"/>
        <w:jc w:val="both"/>
        <w:textAlignment w:val="baseline"/>
        <w:rPr>
          <w:rFonts w:hint="default" w:ascii="宋体" w:hAnsi="宋体" w:eastAsia="宋体" w:cs="宋体"/>
          <w:i w:val="0"/>
          <w:iCs w:val="0"/>
          <w:caps w:val="0"/>
          <w:snapToGrid w:val="0"/>
          <w:color w:val="auto"/>
          <w:spacing w:val="0"/>
          <w:kern w:val="0"/>
          <w:sz w:val="24"/>
          <w:szCs w:val="24"/>
          <w:shd w:val="clear" w:fill="auto"/>
          <w:vertAlign w:val="baseline"/>
          <w:lang w:val="en-US" w:eastAsia="zh-CN" w:bidi="ar"/>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11、</w:t>
      </w:r>
      <w:r>
        <w:rPr>
          <w:rFonts w:hint="eastAsia" w:ascii="宋体" w:hAnsi="宋体" w:eastAsia="宋体" w:cs="宋体"/>
          <w:b w:val="0"/>
          <w:bCs w:val="0"/>
          <w:color w:val="000000"/>
          <w:sz w:val="24"/>
          <w:szCs w:val="24"/>
        </w:rPr>
        <w:t>供应商应保证采购人及用户不受到第三方关于</w:t>
      </w:r>
      <w:r>
        <w:rPr>
          <w:rFonts w:ascii="Arial MT" w:hAnsi="Arial MT" w:eastAsia="Arial MT" w:cs="Arial MT"/>
          <w:b w:val="0"/>
          <w:bCs w:val="0"/>
          <w:color w:val="000000"/>
          <w:sz w:val="18"/>
          <w:szCs w:val="18"/>
        </w:rPr>
        <w:t xml:space="preserve"> </w:t>
      </w:r>
      <w:r>
        <w:rPr>
          <w:rFonts w:hint="eastAsia" w:ascii="宋体" w:hAnsi="宋体" w:eastAsia="宋体" w:cs="宋体"/>
          <w:b w:val="0"/>
          <w:bCs w:val="0"/>
          <w:color w:val="000000"/>
          <w:sz w:val="24"/>
          <w:szCs w:val="24"/>
        </w:rPr>
        <w:t>侵犯专利权的指控，任何第三方如果提出指控，供应商应与第三方交涉，承担 可能发生的一切法律责任费用和后果，并全额赔偿采购人和用户的损失。</w:t>
      </w:r>
    </w:p>
    <w:p w14:paraId="74477D44">
      <w:pPr>
        <w:keepNext w:val="0"/>
        <w:keepLines w:val="0"/>
        <w:pageBreakBefore w:val="0"/>
        <w:widowControl/>
        <w:tabs>
          <w:tab w:val="left" w:pos="360"/>
        </w:tabs>
        <w:kinsoku/>
        <w:wordWrap/>
        <w:overflowPunct/>
        <w:topLinePunct w:val="0"/>
        <w:autoSpaceDE/>
        <w:autoSpaceDN/>
        <w:bidi w:val="0"/>
        <w:adjustRightInd w:val="0"/>
        <w:snapToGrid w:val="0"/>
        <w:spacing w:beforeAutospacing="0" w:afterAutospacing="0" w:line="520" w:lineRule="exact"/>
        <w:ind w:firstLine="482" w:firstLineChars="200"/>
        <w:textAlignment w:val="auto"/>
        <w:rPr>
          <w:rFonts w:hint="eastAsia" w:ascii="宋体" w:hAnsi="宋体" w:eastAsia="宋体" w:cs="宋体"/>
          <w:b/>
          <w:sz w:val="24"/>
          <w:szCs w:val="24"/>
        </w:rPr>
      </w:pPr>
      <w:r>
        <w:rPr>
          <w:rFonts w:hint="eastAsia" w:ascii="宋体" w:hAnsi="宋体" w:eastAsia="宋体" w:cs="宋体"/>
          <w:b/>
          <w:sz w:val="24"/>
          <w:szCs w:val="24"/>
          <w:lang w:val="en-US" w:eastAsia="zh-CN"/>
        </w:rPr>
        <w:t>11</w:t>
      </w:r>
      <w:r>
        <w:rPr>
          <w:rFonts w:hint="eastAsia" w:ascii="宋体" w:hAnsi="宋体" w:eastAsia="宋体" w:cs="宋体"/>
          <w:b/>
          <w:sz w:val="24"/>
          <w:szCs w:val="24"/>
        </w:rPr>
        <w:t>、售后服务：</w:t>
      </w:r>
    </w:p>
    <w:p w14:paraId="72FD1A53">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（1）质量保证期内，成交施工商负责对其提供的货物整机进行维修和系统维护，不再收取任何费用，但不可抗力（如火灾、雷击等）造成的故障除外。</w:t>
      </w:r>
    </w:p>
    <w:p w14:paraId="5B69635B">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bCs/>
          <w:sz w:val="24"/>
          <w:szCs w:val="24"/>
          <w:highlight w:val="white"/>
        </w:rPr>
        <w:t>在接到采购人通知后，</w:t>
      </w:r>
      <w:r>
        <w:rPr>
          <w:rFonts w:hint="eastAsia" w:ascii="宋体" w:hAnsi="宋体" w:eastAsia="宋体" w:cs="宋体"/>
          <w:sz w:val="24"/>
          <w:szCs w:val="24"/>
        </w:rPr>
        <w:t>成交施工商应在</w:t>
      </w:r>
      <w:r>
        <w:rPr>
          <w:rFonts w:hint="eastAsia" w:ascii="宋体" w:hAnsi="宋体" w:eastAsia="宋体" w:cs="宋体"/>
          <w:bCs/>
          <w:color w:val="FF0000"/>
          <w:sz w:val="24"/>
          <w:szCs w:val="24"/>
          <w:highlight w:val="white"/>
          <w:lang w:val="en-US" w:eastAsia="zh-CN"/>
        </w:rPr>
        <w:t>1天</w:t>
      </w:r>
      <w:r>
        <w:rPr>
          <w:rFonts w:hint="eastAsia" w:ascii="宋体" w:hAnsi="宋体" w:eastAsia="宋体" w:cs="宋体"/>
          <w:bCs/>
          <w:sz w:val="24"/>
          <w:szCs w:val="24"/>
          <w:highlight w:val="white"/>
        </w:rPr>
        <w:t>内安排维护作业人员和机械设备到达现场并按采购人要求的时间进行问题解决</w:t>
      </w:r>
      <w:r>
        <w:rPr>
          <w:rFonts w:hint="eastAsia" w:ascii="宋体" w:hAnsi="宋体" w:eastAsia="宋体" w:cs="宋体"/>
          <w:sz w:val="24"/>
          <w:szCs w:val="24"/>
        </w:rPr>
        <w:t>。</w:t>
      </w:r>
    </w:p>
    <w:p w14:paraId="2E5CD559">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（3）所有货物保修服务方式均为成交施工商上门保修，即由成交施工商派员到货物使用现场维修，由此产生的一切费用均由成交施工商承担。</w:t>
      </w:r>
    </w:p>
    <w:p w14:paraId="50B19A62">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（4）成交施工商在项目实施或服务过程中发生的重大人员、质量事故，或因中标企业管理不善等原因造成的人员伤亡等责任事故均由成交施工商负责，采购人不承担任何法律及经济责任。</w:t>
      </w:r>
    </w:p>
    <w:p w14:paraId="59BCE4EA">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（5）保修期后的货物维护由双方协商再定。</w:t>
      </w:r>
    </w:p>
    <w:p w14:paraId="14DD7467">
      <w:pPr>
        <w:pStyle w:val="2"/>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textAlignment w:val="auto"/>
        <w:rPr>
          <w:rFonts w:hint="eastAsia" w:ascii="宋体" w:hAnsi="宋体" w:eastAsia="宋体" w:cs="宋体"/>
          <w:sz w:val="24"/>
          <w:szCs w:val="24"/>
        </w:rPr>
      </w:pPr>
      <w:r>
        <w:rPr>
          <w:rFonts w:hint="eastAsia" w:ascii="宋体" w:hAnsi="宋体" w:eastAsia="宋体" w:cs="宋体"/>
          <w:sz w:val="24"/>
          <w:szCs w:val="24"/>
        </w:rPr>
        <w:t>（6）工程竣工验收合格后，施工商未发生违约情况，凭竣工验收备案表向采购单位申请退还履约保证金。</w:t>
      </w:r>
    </w:p>
    <w:p w14:paraId="4CA235D0">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2" w:firstLineChars="200"/>
        <w:textAlignment w:val="auto"/>
        <w:rPr>
          <w:rFonts w:hint="eastAsia" w:ascii="宋体" w:hAnsi="宋体" w:eastAsia="宋体" w:cs="宋体"/>
          <w:b/>
          <w:sz w:val="24"/>
          <w:szCs w:val="24"/>
        </w:rPr>
      </w:pPr>
      <w:r>
        <w:rPr>
          <w:rFonts w:hint="eastAsia" w:ascii="宋体" w:hAnsi="宋体" w:eastAsia="宋体" w:cs="宋体"/>
          <w:b/>
          <w:sz w:val="24"/>
          <w:szCs w:val="24"/>
          <w:lang w:val="en-US" w:eastAsia="zh-CN"/>
        </w:rPr>
        <w:t>12</w:t>
      </w:r>
      <w:r>
        <w:rPr>
          <w:rFonts w:hint="eastAsia" w:ascii="宋体" w:hAnsi="宋体" w:eastAsia="宋体" w:cs="宋体"/>
          <w:b/>
          <w:sz w:val="24"/>
          <w:szCs w:val="24"/>
        </w:rPr>
        <w:t>、验收：</w:t>
      </w:r>
    </w:p>
    <w:p w14:paraId="72157F22">
      <w:pPr>
        <w:pStyle w:val="6"/>
        <w:keepNext w:val="0"/>
        <w:keepLines w:val="0"/>
        <w:pageBreakBefore w:val="0"/>
        <w:widowControl/>
        <w:kinsoku/>
        <w:wordWrap/>
        <w:overflowPunct/>
        <w:topLinePunct w:val="0"/>
        <w:autoSpaceDE/>
        <w:autoSpaceDN/>
        <w:bidi w:val="0"/>
        <w:adjustRightInd w:val="0"/>
        <w:snapToGrid w:val="0"/>
        <w:spacing w:before="0" w:beforeAutospacing="0" w:after="0" w:afterAutospacing="0" w:line="520" w:lineRule="exact"/>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（1）必需在规定的时间内，按照采购人提出的标准要求完成交办项目，并及时以书面形式向采购人申请验收，验收标准应按国家、建设部、工程施工技术（验收）规程、规范标准进行验收。</w:t>
      </w:r>
    </w:p>
    <w:p w14:paraId="661FF634">
      <w:pPr>
        <w:pStyle w:val="6"/>
        <w:keepNext w:val="0"/>
        <w:keepLines w:val="0"/>
        <w:pageBreakBefore w:val="0"/>
        <w:widowControl/>
        <w:kinsoku/>
        <w:wordWrap/>
        <w:overflowPunct/>
        <w:topLinePunct w:val="0"/>
        <w:autoSpaceDE/>
        <w:autoSpaceDN/>
        <w:bidi w:val="0"/>
        <w:adjustRightInd w:val="0"/>
        <w:snapToGrid w:val="0"/>
        <w:spacing w:before="0" w:beforeAutospacing="0" w:after="0" w:afterAutospacing="0" w:line="520" w:lineRule="exact"/>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（2）在验收过程中发现技术问题，施工商应负责按照采购人的要求采取补足、更换等措施妥善处理，并承担由此发生的一切费用和损失。</w:t>
      </w:r>
    </w:p>
    <w:p w14:paraId="4357FB93">
      <w:pPr>
        <w:pStyle w:val="6"/>
        <w:keepNext w:val="0"/>
        <w:keepLines w:val="0"/>
        <w:pageBreakBefore w:val="0"/>
        <w:widowControl/>
        <w:kinsoku/>
        <w:wordWrap/>
        <w:overflowPunct/>
        <w:topLinePunct w:val="0"/>
        <w:autoSpaceDE/>
        <w:autoSpaceDN/>
        <w:bidi w:val="0"/>
        <w:adjustRightInd w:val="0"/>
        <w:snapToGrid w:val="0"/>
        <w:spacing w:before="0" w:beforeAutospacing="0" w:after="0" w:afterAutospacing="0" w:line="520" w:lineRule="exact"/>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（3）验收结果须整改的，成交施工商必需在采购人规定的时间内进行整改，直至项目通过验收，采购人出具验收单。</w:t>
      </w:r>
    </w:p>
    <w:p w14:paraId="3FD0D5FA">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（4）项目结算时，须附项目验收单作为依据，验收所产生的一切费用由成交施工商全部承担。</w:t>
      </w:r>
    </w:p>
    <w:p w14:paraId="57DFD579">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上述标准必须是有关官方机构发布的最新版本的标准。</w:t>
      </w:r>
    </w:p>
    <w:p w14:paraId="15B1BF33">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13、</w:t>
      </w:r>
      <w:r>
        <w:rPr>
          <w:rFonts w:hint="eastAsia" w:ascii="宋体" w:hAnsi="宋体" w:eastAsia="宋体" w:cs="宋体"/>
          <w:color w:val="000000"/>
          <w:sz w:val="24"/>
          <w:szCs w:val="24"/>
        </w:rPr>
        <w:t>本项目实施过程中，若涉及专利、著作权、商标等知识产权使用事宜，全部相关协调、许可、付费及侵权责任均由中标承建单位自行承担，由此产生的一切法律纠纷、经济赔偿、行政处罚等全部责任与费用均归属承建单位，招标人不承担任何连带责任。</w:t>
      </w:r>
    </w:p>
    <w:p w14:paraId="307E75A0">
      <w:pPr>
        <w:keepNext w:val="0"/>
        <w:keepLines w:val="0"/>
        <w:pageBreakBefore w:val="0"/>
        <w:widowControl/>
        <w:kinsoku/>
        <w:wordWrap/>
        <w:overflowPunct/>
        <w:topLinePunct w:val="0"/>
        <w:autoSpaceDE/>
        <w:autoSpaceDN/>
        <w:bidi w:val="0"/>
        <w:adjustRightInd w:val="0"/>
        <w:snapToGrid w:val="0"/>
        <w:spacing w:beforeAutospacing="0" w:afterAutospacing="0" w:line="520" w:lineRule="exact"/>
        <w:ind w:firstLine="482" w:firstLineChars="200"/>
        <w:textAlignment w:val="auto"/>
        <w:rPr>
          <w:rFonts w:hint="eastAsia" w:ascii="宋体" w:hAnsi="宋体" w:eastAsia="宋体" w:cs="宋体"/>
          <w:b/>
          <w:sz w:val="24"/>
          <w:szCs w:val="24"/>
        </w:rPr>
      </w:pPr>
      <w:r>
        <w:rPr>
          <w:rFonts w:hint="eastAsia" w:ascii="宋体" w:hAnsi="宋体" w:eastAsia="宋体" w:cs="宋体"/>
          <w:b/>
          <w:sz w:val="24"/>
          <w:szCs w:val="24"/>
          <w:lang w:val="en-US" w:eastAsia="zh-CN"/>
        </w:rPr>
        <w:t>13</w:t>
      </w:r>
      <w:r>
        <w:rPr>
          <w:rFonts w:hint="eastAsia" w:ascii="宋体" w:hAnsi="宋体" w:eastAsia="宋体" w:cs="宋体"/>
          <w:b/>
          <w:sz w:val="24"/>
          <w:szCs w:val="24"/>
        </w:rPr>
        <w:t>、未尽事宜，以签订合同为准。</w:t>
      </w:r>
    </w:p>
    <w:p w14:paraId="238C7B78">
      <w:pPr>
        <w:keepNext w:val="0"/>
        <w:keepLines w:val="0"/>
        <w:pageBreakBefore w:val="0"/>
        <w:wordWrap/>
        <w:overflowPunct/>
        <w:topLinePunct w:val="0"/>
        <w:bidi w:val="0"/>
        <w:adjustRightInd w:val="0"/>
        <w:snapToGrid w:val="0"/>
        <w:spacing w:line="520" w:lineRule="exact"/>
        <w:jc w:val="both"/>
        <w:rPr>
          <w:rFonts w:hint="eastAsia" w:ascii="宋体" w:hAnsi="宋体" w:eastAsia="宋体" w:cs="宋体"/>
          <w:color w:val="auto"/>
          <w:sz w:val="24"/>
          <w:szCs w:val="24"/>
          <w:highlight w:val="none"/>
          <w:lang w:eastAsia="zh-CN"/>
        </w:rPr>
      </w:pPr>
    </w:p>
    <w:p w14:paraId="7B1879A3">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Arial Rounded MT Bold"/>
    <w:panose1 w:val="020F0502020204030204"/>
    <w:charset w:val="00"/>
    <w:family w:val="swiss"/>
    <w:pitch w:val="default"/>
    <w:sig w:usb0="00000000" w:usb1="00000000" w:usb2="00000001" w:usb3="00000000" w:csb0="0000019F" w:csb1="00000000"/>
  </w:font>
  <w:font w:name="Arial Rounded MT Bold">
    <w:panose1 w:val="020F0704030504030204"/>
    <w:charset w:val="00"/>
    <w:family w:val="auto"/>
    <w:pitch w:val="default"/>
    <w:sig w:usb0="00000003" w:usb1="00000000" w:usb2="00000000" w:usb3="00000000" w:csb0="20000001" w:csb1="00000000"/>
  </w:font>
  <w:font w:name="KSOF6AF88583">
    <w:panose1 w:val="020F0704030504030204"/>
    <w:charset w:val="00"/>
    <w:family w:val="auto"/>
    <w:pitch w:val="default"/>
    <w:sig w:usb0="00000001" w:usb1="00000000" w:usb2="00000000" w:usb3="00000000" w:csb0="00000001" w:csb1="00000000"/>
  </w:font>
  <w:font w:name="仿宋">
    <w:panose1 w:val="02010609060101010101"/>
    <w:charset w:val="86"/>
    <w:family w:val="auto"/>
    <w:pitch w:val="default"/>
    <w:sig w:usb0="800002BF" w:usb1="38CF7CFA" w:usb2="00000016" w:usb3="00000000" w:csb0="00040001" w:csb1="00000000"/>
  </w:font>
  <w:font w:name="Arial MT">
    <w:altName w:val="Arial"/>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B1514E">
    <w:pPr>
      <w:pStyle w:val="5"/>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6742F1">
                          <w:pPr>
                            <w:pStyle w:val="5"/>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2D6742F1">
                    <w:pPr>
                      <w:pStyle w:val="5"/>
                    </w:pPr>
                    <w:r>
                      <w:fldChar w:fldCharType="begin"/>
                    </w:r>
                    <w:r>
                      <w:instrText xml:space="preserve"> PAGE  \* MERGEFORMAT </w:instrText>
                    </w:r>
                    <w:r>
                      <w:fldChar w:fldCharType="separate"/>
                    </w:r>
                    <w:r>
                      <w:t>61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79717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9">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200"/>
    </w:pPr>
    <w:rPr>
      <w:rFonts w:ascii="Calibri" w:hAnsi="Calibri" w:eastAsia="宋体" w:cs="Times New Roman"/>
    </w:rPr>
  </w:style>
  <w:style w:type="paragraph" w:styleId="3">
    <w:name w:val="Body Text"/>
    <w:basedOn w:val="1"/>
    <w:next w:val="1"/>
    <w:qFormat/>
    <w:uiPriority w:val="0"/>
    <w:rPr>
      <w:rFonts w:ascii="仿宋" w:hAnsi="仿宋" w:eastAsia="仿宋" w:cs="仿宋"/>
      <w:sz w:val="30"/>
      <w:szCs w:val="30"/>
    </w:rPr>
  </w:style>
  <w:style w:type="paragraph" w:styleId="4">
    <w:name w:val="Plain Text"/>
    <w:basedOn w:val="1"/>
    <w:qFormat/>
    <w:uiPriority w:val="0"/>
    <w:rPr>
      <w:rFonts w:ascii="宋体" w:hAnsi="Courier New"/>
      <w:kern w:val="0"/>
      <w:sz w:val="20"/>
      <w:szCs w:val="21"/>
    </w:rPr>
  </w:style>
  <w:style w:type="paragraph" w:styleId="5">
    <w:name w:val="footer"/>
    <w:basedOn w:val="1"/>
    <w:qFormat/>
    <w:uiPriority w:val="0"/>
    <w:pPr>
      <w:tabs>
        <w:tab w:val="center" w:pos="4153"/>
        <w:tab w:val="right" w:pos="8306"/>
      </w:tabs>
    </w:pPr>
    <w:rPr>
      <w:sz w:val="18"/>
    </w:rPr>
  </w:style>
  <w:style w:type="paragraph" w:styleId="6">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首行缩进"/>
    <w:basedOn w:val="1"/>
    <w:qFormat/>
    <w:uiPriority w:val="0"/>
    <w:pPr>
      <w:spacing w:line="360" w:lineRule="auto"/>
      <w:ind w:firstLine="480" w:firstLineChars="200"/>
    </w:pPr>
    <w:rPr>
      <w:rFonts w:ascii="宋体" w:hAnsi="宋体" w:eastAsia="宋体" w:cs="宋体"/>
      <w:kern w:val="0"/>
      <w:sz w:val="24"/>
    </w:rPr>
  </w:style>
</w:styles>
</file>

<file path=word/_rels/document.xml.rels><?xml version="1.0" encoding="UTF-8" standalone="yes"?>
<Relationships xmlns="http://schemas.openxmlformats.org/package/2006/relationships"><Relationship Id="rId99" Type="http://schemas.openxmlformats.org/officeDocument/2006/relationships/oleObject" Target="embeddings/oleObject48.bin"/><Relationship Id="rId98" Type="http://schemas.openxmlformats.org/officeDocument/2006/relationships/image" Target="media/image47.emf"/><Relationship Id="rId97" Type="http://schemas.openxmlformats.org/officeDocument/2006/relationships/oleObject" Target="embeddings/oleObject47.bin"/><Relationship Id="rId96" Type="http://schemas.openxmlformats.org/officeDocument/2006/relationships/image" Target="media/image46.emf"/><Relationship Id="rId95" Type="http://schemas.openxmlformats.org/officeDocument/2006/relationships/oleObject" Target="embeddings/oleObject46.bin"/><Relationship Id="rId94" Type="http://schemas.openxmlformats.org/officeDocument/2006/relationships/image" Target="media/image45.emf"/><Relationship Id="rId93" Type="http://schemas.openxmlformats.org/officeDocument/2006/relationships/oleObject" Target="embeddings/oleObject45.bin"/><Relationship Id="rId92" Type="http://schemas.openxmlformats.org/officeDocument/2006/relationships/image" Target="media/image44.emf"/><Relationship Id="rId91" Type="http://schemas.openxmlformats.org/officeDocument/2006/relationships/oleObject" Target="embeddings/oleObject44.bin"/><Relationship Id="rId90" Type="http://schemas.openxmlformats.org/officeDocument/2006/relationships/image" Target="media/image43.emf"/><Relationship Id="rId9" Type="http://schemas.openxmlformats.org/officeDocument/2006/relationships/oleObject" Target="embeddings/oleObject3.bin"/><Relationship Id="rId89" Type="http://schemas.openxmlformats.org/officeDocument/2006/relationships/oleObject" Target="embeddings/oleObject43.bin"/><Relationship Id="rId88" Type="http://schemas.openxmlformats.org/officeDocument/2006/relationships/image" Target="media/image42.emf"/><Relationship Id="rId87" Type="http://schemas.openxmlformats.org/officeDocument/2006/relationships/oleObject" Target="embeddings/oleObject42.bin"/><Relationship Id="rId86" Type="http://schemas.openxmlformats.org/officeDocument/2006/relationships/image" Target="media/image41.emf"/><Relationship Id="rId85" Type="http://schemas.openxmlformats.org/officeDocument/2006/relationships/oleObject" Target="embeddings/oleObject41.bin"/><Relationship Id="rId84" Type="http://schemas.openxmlformats.org/officeDocument/2006/relationships/image" Target="media/image40.emf"/><Relationship Id="rId83" Type="http://schemas.openxmlformats.org/officeDocument/2006/relationships/oleObject" Target="embeddings/oleObject40.bin"/><Relationship Id="rId82" Type="http://schemas.openxmlformats.org/officeDocument/2006/relationships/image" Target="media/image39.emf"/><Relationship Id="rId81" Type="http://schemas.openxmlformats.org/officeDocument/2006/relationships/oleObject" Target="embeddings/oleObject39.bin"/><Relationship Id="rId80" Type="http://schemas.openxmlformats.org/officeDocument/2006/relationships/image" Target="media/image38.emf"/><Relationship Id="rId8" Type="http://schemas.openxmlformats.org/officeDocument/2006/relationships/image" Target="media/image2.emf"/><Relationship Id="rId79" Type="http://schemas.openxmlformats.org/officeDocument/2006/relationships/oleObject" Target="embeddings/oleObject38.bin"/><Relationship Id="rId78" Type="http://schemas.openxmlformats.org/officeDocument/2006/relationships/image" Target="media/image37.emf"/><Relationship Id="rId77" Type="http://schemas.openxmlformats.org/officeDocument/2006/relationships/oleObject" Target="embeddings/oleObject37.bin"/><Relationship Id="rId76" Type="http://schemas.openxmlformats.org/officeDocument/2006/relationships/image" Target="media/image36.emf"/><Relationship Id="rId75" Type="http://schemas.openxmlformats.org/officeDocument/2006/relationships/oleObject" Target="embeddings/oleObject36.bin"/><Relationship Id="rId74" Type="http://schemas.openxmlformats.org/officeDocument/2006/relationships/image" Target="media/image35.emf"/><Relationship Id="rId73" Type="http://schemas.openxmlformats.org/officeDocument/2006/relationships/oleObject" Target="embeddings/oleObject35.bin"/><Relationship Id="rId72" Type="http://schemas.openxmlformats.org/officeDocument/2006/relationships/image" Target="media/image34.emf"/><Relationship Id="rId71" Type="http://schemas.openxmlformats.org/officeDocument/2006/relationships/oleObject" Target="embeddings/oleObject34.bin"/><Relationship Id="rId70" Type="http://schemas.openxmlformats.org/officeDocument/2006/relationships/image" Target="media/image33.emf"/><Relationship Id="rId7" Type="http://schemas.openxmlformats.org/officeDocument/2006/relationships/oleObject" Target="embeddings/oleObject2.bin"/><Relationship Id="rId69" Type="http://schemas.openxmlformats.org/officeDocument/2006/relationships/oleObject" Target="embeddings/oleObject33.bin"/><Relationship Id="rId68" Type="http://schemas.openxmlformats.org/officeDocument/2006/relationships/image" Target="media/image32.emf"/><Relationship Id="rId67" Type="http://schemas.openxmlformats.org/officeDocument/2006/relationships/oleObject" Target="embeddings/oleObject32.bin"/><Relationship Id="rId66" Type="http://schemas.openxmlformats.org/officeDocument/2006/relationships/image" Target="media/image31.emf"/><Relationship Id="rId65" Type="http://schemas.openxmlformats.org/officeDocument/2006/relationships/oleObject" Target="embeddings/oleObject31.bin"/><Relationship Id="rId64" Type="http://schemas.openxmlformats.org/officeDocument/2006/relationships/image" Target="media/image30.emf"/><Relationship Id="rId63" Type="http://schemas.openxmlformats.org/officeDocument/2006/relationships/oleObject" Target="embeddings/oleObject30.bin"/><Relationship Id="rId62" Type="http://schemas.openxmlformats.org/officeDocument/2006/relationships/image" Target="media/image29.emf"/><Relationship Id="rId61" Type="http://schemas.openxmlformats.org/officeDocument/2006/relationships/oleObject" Target="embeddings/oleObject29.bin"/><Relationship Id="rId60" Type="http://schemas.openxmlformats.org/officeDocument/2006/relationships/image" Target="media/image28.emf"/><Relationship Id="rId6" Type="http://schemas.openxmlformats.org/officeDocument/2006/relationships/image" Target="media/image1.emf"/><Relationship Id="rId59" Type="http://schemas.openxmlformats.org/officeDocument/2006/relationships/oleObject" Target="embeddings/oleObject28.bin"/><Relationship Id="rId58" Type="http://schemas.openxmlformats.org/officeDocument/2006/relationships/image" Target="media/image27.emf"/><Relationship Id="rId57" Type="http://schemas.openxmlformats.org/officeDocument/2006/relationships/oleObject" Target="embeddings/oleObject27.bin"/><Relationship Id="rId56" Type="http://schemas.openxmlformats.org/officeDocument/2006/relationships/image" Target="media/image26.emf"/><Relationship Id="rId55" Type="http://schemas.openxmlformats.org/officeDocument/2006/relationships/oleObject" Target="embeddings/oleObject26.bin"/><Relationship Id="rId54" Type="http://schemas.openxmlformats.org/officeDocument/2006/relationships/image" Target="media/image25.emf"/><Relationship Id="rId53" Type="http://schemas.openxmlformats.org/officeDocument/2006/relationships/oleObject" Target="embeddings/oleObject25.bin"/><Relationship Id="rId52" Type="http://schemas.openxmlformats.org/officeDocument/2006/relationships/image" Target="media/image24.emf"/><Relationship Id="rId51" Type="http://schemas.openxmlformats.org/officeDocument/2006/relationships/oleObject" Target="embeddings/oleObject24.bin"/><Relationship Id="rId50" Type="http://schemas.openxmlformats.org/officeDocument/2006/relationships/image" Target="media/image23.emf"/><Relationship Id="rId5" Type="http://schemas.openxmlformats.org/officeDocument/2006/relationships/oleObject" Target="embeddings/oleObject1.bin"/><Relationship Id="rId49" Type="http://schemas.openxmlformats.org/officeDocument/2006/relationships/oleObject" Target="embeddings/oleObject23.bin"/><Relationship Id="rId48" Type="http://schemas.openxmlformats.org/officeDocument/2006/relationships/image" Target="media/image22.emf"/><Relationship Id="rId47" Type="http://schemas.openxmlformats.org/officeDocument/2006/relationships/oleObject" Target="embeddings/oleObject22.bin"/><Relationship Id="rId46" Type="http://schemas.openxmlformats.org/officeDocument/2006/relationships/image" Target="media/image21.emf"/><Relationship Id="rId45" Type="http://schemas.openxmlformats.org/officeDocument/2006/relationships/oleObject" Target="embeddings/oleObject21.bin"/><Relationship Id="rId44" Type="http://schemas.openxmlformats.org/officeDocument/2006/relationships/image" Target="media/image20.emf"/><Relationship Id="rId43" Type="http://schemas.openxmlformats.org/officeDocument/2006/relationships/oleObject" Target="embeddings/oleObject20.bin"/><Relationship Id="rId42" Type="http://schemas.openxmlformats.org/officeDocument/2006/relationships/image" Target="media/image19.emf"/><Relationship Id="rId41" Type="http://schemas.openxmlformats.org/officeDocument/2006/relationships/oleObject" Target="embeddings/oleObject19.bin"/><Relationship Id="rId40" Type="http://schemas.openxmlformats.org/officeDocument/2006/relationships/image" Target="media/image18.emf"/><Relationship Id="rId4" Type="http://schemas.openxmlformats.org/officeDocument/2006/relationships/theme" Target="theme/theme1.xml"/><Relationship Id="rId39" Type="http://schemas.openxmlformats.org/officeDocument/2006/relationships/oleObject" Target="embeddings/oleObject18.bin"/><Relationship Id="rId38" Type="http://schemas.openxmlformats.org/officeDocument/2006/relationships/image" Target="media/image17.emf"/><Relationship Id="rId37" Type="http://schemas.openxmlformats.org/officeDocument/2006/relationships/oleObject" Target="embeddings/oleObject17.bin"/><Relationship Id="rId36" Type="http://schemas.openxmlformats.org/officeDocument/2006/relationships/image" Target="media/image16.emf"/><Relationship Id="rId35" Type="http://schemas.openxmlformats.org/officeDocument/2006/relationships/oleObject" Target="embeddings/oleObject16.bin"/><Relationship Id="rId34" Type="http://schemas.openxmlformats.org/officeDocument/2006/relationships/image" Target="media/image15.emf"/><Relationship Id="rId33" Type="http://schemas.openxmlformats.org/officeDocument/2006/relationships/oleObject" Target="embeddings/oleObject15.bin"/><Relationship Id="rId32" Type="http://schemas.openxmlformats.org/officeDocument/2006/relationships/image" Target="media/image14.emf"/><Relationship Id="rId31" Type="http://schemas.openxmlformats.org/officeDocument/2006/relationships/oleObject" Target="embeddings/oleObject14.bin"/><Relationship Id="rId30" Type="http://schemas.openxmlformats.org/officeDocument/2006/relationships/image" Target="media/image13.emf"/><Relationship Id="rId3" Type="http://schemas.openxmlformats.org/officeDocument/2006/relationships/footer" Target="footer1.xml"/><Relationship Id="rId29" Type="http://schemas.openxmlformats.org/officeDocument/2006/relationships/oleObject" Target="embeddings/oleObject13.bin"/><Relationship Id="rId28" Type="http://schemas.openxmlformats.org/officeDocument/2006/relationships/image" Target="media/image12.emf"/><Relationship Id="rId27" Type="http://schemas.openxmlformats.org/officeDocument/2006/relationships/oleObject" Target="embeddings/oleObject12.bin"/><Relationship Id="rId26" Type="http://schemas.openxmlformats.org/officeDocument/2006/relationships/image" Target="media/image11.emf"/><Relationship Id="rId25" Type="http://schemas.openxmlformats.org/officeDocument/2006/relationships/oleObject" Target="embeddings/oleObject11.bin"/><Relationship Id="rId24" Type="http://schemas.openxmlformats.org/officeDocument/2006/relationships/image" Target="media/image10.emf"/><Relationship Id="rId23" Type="http://schemas.openxmlformats.org/officeDocument/2006/relationships/oleObject" Target="embeddings/oleObject10.bin"/><Relationship Id="rId22" Type="http://schemas.openxmlformats.org/officeDocument/2006/relationships/image" Target="media/image9.emf"/><Relationship Id="rId21" Type="http://schemas.openxmlformats.org/officeDocument/2006/relationships/oleObject" Target="embeddings/oleObject9.bin"/><Relationship Id="rId20" Type="http://schemas.openxmlformats.org/officeDocument/2006/relationships/image" Target="media/image8.emf"/><Relationship Id="rId2" Type="http://schemas.openxmlformats.org/officeDocument/2006/relationships/settings" Target="settings.xml"/><Relationship Id="rId19" Type="http://schemas.openxmlformats.org/officeDocument/2006/relationships/oleObject" Target="embeddings/oleObject8.bin"/><Relationship Id="rId18" Type="http://schemas.openxmlformats.org/officeDocument/2006/relationships/image" Target="media/image7.emf"/><Relationship Id="rId17" Type="http://schemas.openxmlformats.org/officeDocument/2006/relationships/oleObject" Target="embeddings/oleObject7.bin"/><Relationship Id="rId16" Type="http://schemas.openxmlformats.org/officeDocument/2006/relationships/image" Target="media/image6.emf"/><Relationship Id="rId15" Type="http://schemas.openxmlformats.org/officeDocument/2006/relationships/oleObject" Target="embeddings/oleObject6.bin"/><Relationship Id="rId14" Type="http://schemas.openxmlformats.org/officeDocument/2006/relationships/image" Target="media/image5.emf"/><Relationship Id="rId13" Type="http://schemas.openxmlformats.org/officeDocument/2006/relationships/oleObject" Target="embeddings/oleObject5.bin"/><Relationship Id="rId12" Type="http://schemas.openxmlformats.org/officeDocument/2006/relationships/image" Target="media/image4.emf"/><Relationship Id="rId110" Type="http://schemas.openxmlformats.org/officeDocument/2006/relationships/fontTable" Target="fontTable.xml"/><Relationship Id="rId11" Type="http://schemas.openxmlformats.org/officeDocument/2006/relationships/oleObject" Target="embeddings/oleObject4.bin"/><Relationship Id="rId109" Type="http://schemas.openxmlformats.org/officeDocument/2006/relationships/customXml" Target="../customXml/item1.xml"/><Relationship Id="rId108" Type="http://schemas.openxmlformats.org/officeDocument/2006/relationships/image" Target="media/image52.emf"/><Relationship Id="rId107" Type="http://schemas.openxmlformats.org/officeDocument/2006/relationships/oleObject" Target="embeddings/oleObject52.bin"/><Relationship Id="rId106" Type="http://schemas.openxmlformats.org/officeDocument/2006/relationships/image" Target="media/image51.emf"/><Relationship Id="rId105" Type="http://schemas.openxmlformats.org/officeDocument/2006/relationships/oleObject" Target="embeddings/oleObject51.bin"/><Relationship Id="rId104" Type="http://schemas.openxmlformats.org/officeDocument/2006/relationships/image" Target="media/image50.emf"/><Relationship Id="rId103" Type="http://schemas.openxmlformats.org/officeDocument/2006/relationships/oleObject" Target="embeddings/oleObject50.bin"/><Relationship Id="rId102" Type="http://schemas.openxmlformats.org/officeDocument/2006/relationships/image" Target="media/image49.emf"/><Relationship Id="rId101" Type="http://schemas.openxmlformats.org/officeDocument/2006/relationships/oleObject" Target="embeddings/oleObject49.bin"/><Relationship Id="rId100" Type="http://schemas.openxmlformats.org/officeDocument/2006/relationships/image" Target="media/image48.emf"/><Relationship Id="rId10" Type="http://schemas.openxmlformats.org/officeDocument/2006/relationships/image" Target="media/image3.emf"/><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67</Pages>
  <Words>0</Words>
  <Characters>0</Characters>
  <Lines>0</Lines>
  <Paragraphs>0</Paragraphs>
  <TotalTime>1</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2026-06-18T07:24:01Z</dcterms:created>
  <dc:creator>Administrator</dc:creator>
  <cp:lastModifiedBy>Dnc</cp:lastModifiedBy>
  <dcterms:modified xsi:type="dcterms:W3CDTF">2026-06-18T07:26:16Z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eyJoZGlkIjoiYzg5ZDFlM2Q1MDViMTg5MjEzM2U5YzBiYTdkMjgyNGEiLCJ1c2VySWQiOiIyMDMwNTE1MDIifQ==</vt:lpwstr>
  </property>
  <property fmtid="{D5CDD505-2E9C-101B-9397-08002B2CF9AE}" pid="4" name="ICV">
    <vt:lpwstr>6AA5EA54C8AA422FB268A9FC468C6766_12</vt:lpwstr>
  </property>
</Properties>
</file>