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DDD35D">
      <w:pPr>
        <w:pageBreakBefore w:val="0"/>
        <w:widowControl w:val="0"/>
        <w:wordWrap/>
        <w:overflowPunct/>
        <w:topLinePunct w:val="0"/>
        <w:bidi w:val="0"/>
        <w:spacing w:before="83" w:line="224" w:lineRule="auto"/>
        <w:jc w:val="center"/>
        <w:outlineLvl w:val="0"/>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bookmarkStart w:id="0" w:name="_Toc19189"/>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第五章  货物需求表及采购需求</w:t>
      </w:r>
      <w:bookmarkEnd w:id="0"/>
    </w:p>
    <w:p w14:paraId="6280DFB2">
      <w:pPr>
        <w:pageBreakBefore w:val="0"/>
        <w:widowControl w:val="0"/>
        <w:wordWrap/>
        <w:overflowPunct/>
        <w:topLinePunct w:val="0"/>
        <w:bidi w:val="0"/>
        <w:spacing w:before="83" w:line="224" w:lineRule="auto"/>
        <w:jc w:val="center"/>
        <w:outlineLvl w:val="0"/>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p>
    <w:p w14:paraId="59C0E240">
      <w:pPr>
        <w:pageBreakBefore w:val="0"/>
        <w:widowControl w:val="0"/>
        <w:wordWrap/>
        <w:overflowPunct/>
        <w:topLinePunct w:val="0"/>
        <w:bidi w:val="0"/>
        <w:spacing w:before="78" w:line="220" w:lineRule="auto"/>
        <w:outlineLvl w:val="1"/>
        <w:rPr>
          <w:color w:val="auto"/>
          <w:spacing w:val="0"/>
          <w:w w:val="100"/>
          <w:position w:val="0"/>
        </w:rPr>
      </w:pPr>
      <w:bookmarkStart w:id="1" w:name="_Toc5037"/>
      <w:bookmarkStart w:id="2" w:name="_Toc18808"/>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bookmarkEnd w:id="1"/>
      <w:bookmarkEnd w:id="2"/>
    </w:p>
    <w:tbl>
      <w:tblPr>
        <w:tblStyle w:val="7"/>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406AB7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154A7007">
            <w:pPr>
              <w:pageBreakBefore w:val="0"/>
              <w:widowControl w:val="0"/>
              <w:wordWrap/>
              <w:overflowPunct/>
              <w:topLinePunct w:val="0"/>
              <w:bidi w:val="0"/>
              <w:spacing w:before="253" w:line="219" w:lineRule="auto"/>
              <w:ind w:left="1188"/>
              <w:rPr>
                <w:rFonts w:hint="eastAsia" w:ascii="宋体" w:hAnsi="宋体" w:eastAsia="宋体" w:cs="宋体"/>
                <w:color w:val="auto"/>
                <w:spacing w:val="0"/>
                <w:w w:val="100"/>
                <w:position w:val="0"/>
                <w:sz w:val="24"/>
                <w:szCs w:val="24"/>
                <w:lang w:val="en-US" w:eastAsia="zh-CN"/>
              </w:rPr>
            </w:pPr>
            <w:r>
              <w:rPr>
                <w:color w:val="auto"/>
                <w:spacing w:val="0"/>
                <w:w w:val="100"/>
                <w:position w:val="0"/>
              </w:rPr>
              <w:drawing>
                <wp:anchor distT="0" distB="0" distL="0" distR="0" simplePos="0" relativeHeight="251660288" behindDoc="1" locked="0" layoutInCell="1" allowOverlap="1">
                  <wp:simplePos x="0" y="0"/>
                  <wp:positionH relativeFrom="column">
                    <wp:posOffset>16510</wp:posOffset>
                  </wp:positionH>
                  <wp:positionV relativeFrom="paragraph">
                    <wp:posOffset>10160</wp:posOffset>
                  </wp:positionV>
                  <wp:extent cx="1817370" cy="1807210"/>
                  <wp:effectExtent l="0" t="0" r="11430" b="254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17370" cy="1807210"/>
                          </a:xfrm>
                          <a:prstGeom prst="rect">
                            <a:avLst/>
                          </a:prstGeom>
                        </pic:spPr>
                      </pic:pic>
                    </a:graphicData>
                  </a:graphic>
                </wp:anchor>
              </w:drawing>
            </w:r>
            <w:r>
              <w:rPr>
                <w:rFonts w:hint="eastAsia" w:eastAsia="宋体"/>
                <w:color w:val="auto"/>
                <w:spacing w:val="0"/>
                <w:w w:val="100"/>
                <w:position w:val="0"/>
                <w:lang w:eastAsia="zh-CN"/>
              </w:rPr>
              <w:t>名</w:t>
            </w:r>
            <w:r>
              <w:rPr>
                <w:rFonts w:hint="eastAsia" w:ascii="宋体" w:hAnsi="宋体" w:eastAsia="宋体" w:cs="宋体"/>
                <w:color w:val="auto"/>
                <w:spacing w:val="0"/>
                <w:w w:val="100"/>
                <w:position w:val="0"/>
                <w:sz w:val="24"/>
                <w:szCs w:val="24"/>
                <w:lang w:val="en-US" w:eastAsia="zh-CN"/>
              </w:rPr>
              <w:t xml:space="preserve">    </w:t>
            </w:r>
          </w:p>
          <w:p w14:paraId="3493C905">
            <w:pPr>
              <w:pageBreakBefore w:val="0"/>
              <w:widowControl w:val="0"/>
              <w:wordWrap/>
              <w:overflowPunct/>
              <w:topLinePunct w:val="0"/>
              <w:bidi w:val="0"/>
              <w:spacing w:before="253" w:line="219" w:lineRule="auto"/>
              <w:ind w:left="1188"/>
              <w:rPr>
                <w:rFonts w:hint="eastAsia" w:ascii="宋体" w:hAnsi="宋体" w:eastAsia="宋体" w:cs="宋体"/>
                <w:color w:val="auto"/>
                <w:spacing w:val="0"/>
                <w:w w:val="100"/>
                <w:position w:val="0"/>
                <w:sz w:val="24"/>
                <w:szCs w:val="24"/>
                <w:lang w:eastAsia="zh-CN"/>
              </w:rPr>
            </w:pPr>
            <w:r>
              <w:rPr>
                <w:rFonts w:hint="eastAsia" w:ascii="宋体" w:hAnsi="宋体" w:eastAsia="宋体" w:cs="宋体"/>
                <w:color w:val="auto"/>
                <w:spacing w:val="0"/>
                <w:w w:val="100"/>
                <w:position w:val="0"/>
                <w:sz w:val="24"/>
                <w:szCs w:val="24"/>
                <w:lang w:eastAsia="zh-CN"/>
              </w:rPr>
              <w:t>称</w:t>
            </w:r>
          </w:p>
          <w:p w14:paraId="06CF4FE7">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rPr>
            </w:pPr>
          </w:p>
          <w:p w14:paraId="4BF0C3D5">
            <w:pPr>
              <w:pStyle w:val="8"/>
              <w:pageBreakBefore w:val="0"/>
              <w:widowControl w:val="0"/>
              <w:wordWrap/>
              <w:overflowPunct/>
              <w:topLinePunct w:val="0"/>
              <w:bidi w:val="0"/>
              <w:spacing w:line="246" w:lineRule="auto"/>
              <w:rPr>
                <w:color w:val="auto"/>
                <w:spacing w:val="0"/>
                <w:w w:val="100"/>
                <w:position w:val="0"/>
              </w:rPr>
            </w:pPr>
          </w:p>
          <w:p w14:paraId="3E1FD7B1">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内</w:t>
            </w:r>
          </w:p>
          <w:p w14:paraId="79DB94C7">
            <w:pPr>
              <w:pStyle w:val="8"/>
              <w:pageBreakBefore w:val="0"/>
              <w:widowControl w:val="0"/>
              <w:wordWrap/>
              <w:overflowPunct/>
              <w:topLinePunct w:val="0"/>
              <w:bidi w:val="0"/>
              <w:spacing w:line="338" w:lineRule="auto"/>
              <w:rPr>
                <w:color w:val="auto"/>
                <w:spacing w:val="0"/>
                <w:w w:val="100"/>
                <w:position w:val="0"/>
              </w:rPr>
            </w:pPr>
          </w:p>
          <w:p w14:paraId="20FACD0C">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容</w:t>
            </w:r>
          </w:p>
        </w:tc>
        <w:tc>
          <w:tcPr>
            <w:tcW w:w="1101" w:type="dxa"/>
            <w:tcBorders>
              <w:left w:val="nil"/>
            </w:tcBorders>
          </w:tcPr>
          <w:p w14:paraId="32496F6D">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rPr>
            </w:pPr>
          </w:p>
          <w:p w14:paraId="62CE3B34">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rPr>
            </w:pPr>
          </w:p>
          <w:p w14:paraId="21445A7A">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rPr>
            </w:pPr>
          </w:p>
          <w:p w14:paraId="3654D0C9">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称</w:t>
            </w:r>
          </w:p>
        </w:tc>
        <w:tc>
          <w:tcPr>
            <w:tcW w:w="6263" w:type="dxa"/>
            <w:vAlign w:val="center"/>
          </w:tcPr>
          <w:p w14:paraId="3336B127">
            <w:pPr>
              <w:pageBreakBefore w:val="0"/>
              <w:widowControl w:val="0"/>
              <w:wordWrap/>
              <w:overflowPunct/>
              <w:topLinePunct w:val="0"/>
              <w:bidi w:val="0"/>
              <w:spacing w:before="47" w:line="219" w:lineRule="auto"/>
              <w:jc w:val="both"/>
              <w:outlineLvl w:val="1"/>
              <w:rPr>
                <w:rFonts w:hint="eastAsia" w:ascii="宋体" w:hAnsi="宋体" w:eastAsia="宋体" w:cs="宋体"/>
                <w:color w:val="auto"/>
                <w:spacing w:val="-6"/>
                <w:sz w:val="24"/>
                <w:szCs w:val="24"/>
                <w:highlight w:val="none"/>
                <w:lang w:val="en-US" w:eastAsia="zh-CN"/>
              </w:rPr>
            </w:pPr>
          </w:p>
          <w:p w14:paraId="42D9E965">
            <w:pPr>
              <w:pageBreakBefore w:val="0"/>
              <w:widowControl w:val="0"/>
              <w:wordWrap/>
              <w:overflowPunct/>
              <w:topLinePunct w:val="0"/>
              <w:bidi w:val="0"/>
              <w:spacing w:before="253" w:line="219" w:lineRule="auto"/>
              <w:jc w:val="center"/>
              <w:rPr>
                <w:rFonts w:ascii="宋体" w:hAnsi="宋体" w:eastAsia="宋体" w:cs="宋体"/>
                <w:color w:val="auto"/>
                <w:spacing w:val="0"/>
                <w:w w:val="100"/>
                <w:position w:val="0"/>
                <w:sz w:val="24"/>
                <w:szCs w:val="24"/>
              </w:rPr>
            </w:pPr>
            <w:r>
              <w:rPr>
                <w:rFonts w:hint="eastAsia" w:ascii="宋体" w:hAnsi="宋体" w:eastAsia="宋体" w:cs="宋体"/>
                <w:color w:val="auto"/>
                <w:spacing w:val="0"/>
                <w:w w:val="100"/>
                <w:kern w:val="0"/>
                <w:position w:val="0"/>
                <w:sz w:val="24"/>
                <w:szCs w:val="24"/>
                <w:highlight w:val="none"/>
                <w:u w:val="none"/>
                <w:shd w:val="clear" w:color="auto" w:fill="FFFFFF"/>
                <w:lang w:val="en-US" w:eastAsia="zh-CN"/>
              </w:rPr>
              <w:t>赣县工业园区大气污染溯源监测能力建设服务项目</w:t>
            </w:r>
            <w:r>
              <w:rPr>
                <w:rFonts w:hint="eastAsia" w:ascii="宋体" w:hAnsi="宋体" w:eastAsia="宋体" w:cs="宋体"/>
                <w:color w:val="auto"/>
                <w:spacing w:val="0"/>
                <w:w w:val="100"/>
                <w:position w:val="0"/>
                <w:sz w:val="24"/>
                <w:szCs w:val="24"/>
                <w:highlight w:val="none"/>
                <w:u w:val="none"/>
                <w:lang w:val="en-US" w:eastAsia="zh-CN"/>
              </w:rPr>
              <w:t xml:space="preserve"> </w:t>
            </w:r>
          </w:p>
        </w:tc>
      </w:tr>
      <w:tr w14:paraId="0090FA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4BE35E6">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数量</w:t>
            </w:r>
          </w:p>
        </w:tc>
        <w:tc>
          <w:tcPr>
            <w:tcW w:w="6263" w:type="dxa"/>
            <w:vAlign w:val="center"/>
          </w:tcPr>
          <w:p w14:paraId="28AB5673">
            <w:pPr>
              <w:pStyle w:val="8"/>
              <w:pageBreakBefore w:val="0"/>
              <w:widowControl w:val="0"/>
              <w:wordWrap/>
              <w:overflowPunct/>
              <w:topLinePunct w:val="0"/>
              <w:bidi w:val="0"/>
              <w:jc w:val="center"/>
              <w:rPr>
                <w:color w:val="auto"/>
                <w:spacing w:val="0"/>
                <w:w w:val="100"/>
                <w:position w:val="0"/>
              </w:rPr>
            </w:pPr>
          </w:p>
          <w:p w14:paraId="024880F8">
            <w:pPr>
              <w:bidi w:val="0"/>
              <w:jc w:val="center"/>
            </w:pPr>
          </w:p>
          <w:p w14:paraId="6D1E460B">
            <w:pPr>
              <w:pStyle w:val="8"/>
              <w:pageBreakBefore w:val="0"/>
              <w:widowControl w:val="0"/>
              <w:wordWrap/>
              <w:overflowPunct/>
              <w:topLinePunct w:val="0"/>
              <w:bidi w:val="0"/>
              <w:jc w:val="center"/>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详见“二、采购需求”</w:t>
            </w:r>
          </w:p>
          <w:p w14:paraId="2F87F5BF">
            <w:pPr>
              <w:tabs>
                <w:tab w:val="left" w:pos="3636"/>
              </w:tabs>
              <w:bidi w:val="0"/>
              <w:jc w:val="center"/>
              <w:rPr>
                <w:rFonts w:hint="default" w:eastAsia="宋体"/>
                <w:lang w:val="en-US" w:eastAsia="zh-CN"/>
              </w:rPr>
            </w:pPr>
          </w:p>
        </w:tc>
      </w:tr>
      <w:tr w14:paraId="72E5D1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5FFC8AD">
            <w:pPr>
              <w:pageBreakBefore w:val="0"/>
              <w:widowControl w:val="0"/>
              <w:wordWrap/>
              <w:overflowPunct/>
              <w:topLinePunct w:val="0"/>
              <w:bidi w:val="0"/>
              <w:spacing w:before="253" w:line="219" w:lineRule="auto"/>
              <w:ind w:left="107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交货期</w:t>
            </w:r>
          </w:p>
        </w:tc>
        <w:tc>
          <w:tcPr>
            <w:tcW w:w="6263" w:type="dxa"/>
            <w:vAlign w:val="center"/>
          </w:tcPr>
          <w:p w14:paraId="5319C121">
            <w:pPr>
              <w:pStyle w:val="8"/>
              <w:pageBreakBefore w:val="0"/>
              <w:widowControl w:val="0"/>
              <w:wordWrap/>
              <w:overflowPunct/>
              <w:topLinePunct w:val="0"/>
              <w:bidi w:val="0"/>
              <w:jc w:val="center"/>
              <w:rPr>
                <w:rFonts w:hint="default" w:eastAsia="宋体"/>
                <w:color w:val="auto"/>
                <w:spacing w:val="0"/>
                <w:w w:val="100"/>
                <w:position w:val="0"/>
                <w:lang w:val="en-US" w:eastAsia="zh-CN"/>
              </w:rPr>
            </w:pPr>
            <w:r>
              <w:rPr>
                <w:rFonts w:hint="eastAsia" w:ascii="宋体" w:hAnsi="宋体" w:eastAsia="宋体" w:cs="宋体"/>
                <w:color w:val="auto"/>
                <w:spacing w:val="-6"/>
                <w:sz w:val="24"/>
                <w:szCs w:val="24"/>
                <w:highlight w:val="none"/>
                <w:lang w:eastAsia="zh-CN"/>
              </w:rPr>
              <w:t>详见商务需求</w:t>
            </w:r>
          </w:p>
        </w:tc>
      </w:tr>
      <w:tr w14:paraId="5AC8AA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8B41E86">
            <w:pPr>
              <w:pageBreakBefore w:val="0"/>
              <w:widowControl w:val="0"/>
              <w:wordWrap/>
              <w:overflowPunct/>
              <w:topLinePunct w:val="0"/>
              <w:bidi w:val="0"/>
              <w:spacing w:before="256" w:line="219" w:lineRule="auto"/>
              <w:ind w:left="95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交货地点</w:t>
            </w:r>
          </w:p>
        </w:tc>
        <w:tc>
          <w:tcPr>
            <w:tcW w:w="6263" w:type="dxa"/>
            <w:vAlign w:val="center"/>
          </w:tcPr>
          <w:p w14:paraId="0473D917">
            <w:pPr>
              <w:pStyle w:val="8"/>
              <w:pageBreakBefore w:val="0"/>
              <w:widowControl w:val="0"/>
              <w:wordWrap/>
              <w:overflowPunct/>
              <w:topLinePunct w:val="0"/>
              <w:bidi w:val="0"/>
              <w:jc w:val="center"/>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采购人指定地点</w:t>
            </w:r>
          </w:p>
        </w:tc>
      </w:tr>
      <w:tr w14:paraId="2F5334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36F5190D">
            <w:pPr>
              <w:pageBreakBefore w:val="0"/>
              <w:widowControl w:val="0"/>
              <w:wordWrap/>
              <w:overflowPunct/>
              <w:topLinePunct w:val="0"/>
              <w:bidi w:val="0"/>
              <w:spacing w:before="257" w:line="220" w:lineRule="auto"/>
              <w:ind w:left="95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安装地点</w:t>
            </w:r>
          </w:p>
        </w:tc>
        <w:tc>
          <w:tcPr>
            <w:tcW w:w="6263" w:type="dxa"/>
            <w:vAlign w:val="center"/>
          </w:tcPr>
          <w:p w14:paraId="0504E396">
            <w:pPr>
              <w:pStyle w:val="8"/>
              <w:pageBreakBefore w:val="0"/>
              <w:widowControl w:val="0"/>
              <w:wordWrap/>
              <w:overflowPunct/>
              <w:topLinePunct w:val="0"/>
              <w:bidi w:val="0"/>
              <w:jc w:val="center"/>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eastAsia="zh-CN"/>
              </w:rPr>
              <w:t>采购人指定地点</w:t>
            </w:r>
          </w:p>
        </w:tc>
      </w:tr>
      <w:tr w14:paraId="6D6942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05" w:hRule="atLeast"/>
        </w:trPr>
        <w:tc>
          <w:tcPr>
            <w:tcW w:w="2838" w:type="dxa"/>
            <w:gridSpan w:val="2"/>
            <w:vAlign w:val="center"/>
          </w:tcPr>
          <w:p w14:paraId="00F89E43">
            <w:pPr>
              <w:pageBreakBefore w:val="0"/>
              <w:widowControl w:val="0"/>
              <w:wordWrap/>
              <w:overflowPunct/>
              <w:topLinePunct w:val="0"/>
              <w:bidi w:val="0"/>
              <w:spacing w:before="256" w:line="221" w:lineRule="auto"/>
              <w:ind w:left="1189"/>
              <w:jc w:val="both"/>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备注</w:t>
            </w:r>
          </w:p>
        </w:tc>
        <w:tc>
          <w:tcPr>
            <w:tcW w:w="6263" w:type="dxa"/>
            <w:vAlign w:val="center"/>
          </w:tcPr>
          <w:p w14:paraId="473D8BD6">
            <w:pPr>
              <w:pStyle w:val="8"/>
              <w:pageBreakBefore w:val="0"/>
              <w:widowControl w:val="0"/>
              <w:wordWrap/>
              <w:overflowPunct/>
              <w:topLinePunct w:val="0"/>
              <w:bidi w:val="0"/>
              <w:jc w:val="center"/>
              <w:rPr>
                <w:color w:val="auto"/>
                <w:spacing w:val="0"/>
                <w:w w:val="100"/>
                <w:position w:val="0"/>
              </w:rPr>
            </w:pPr>
            <w:r>
              <w:rPr>
                <w:rFonts w:hint="eastAsia" w:ascii="宋体" w:hAnsi="宋体" w:eastAsia="宋体" w:cs="宋体"/>
                <w:color w:val="auto"/>
                <w:spacing w:val="-6"/>
                <w:sz w:val="24"/>
                <w:szCs w:val="24"/>
                <w:highlight w:val="none"/>
                <w:lang w:eastAsia="zh-CN"/>
              </w:rPr>
              <w:t>所有产品设计、制造、包装、仓储、运输、辅材、调试、检测、验收、售后服务、税金、采购代理服务费及验收合格之前及保修期内备品备件发生的所有含税费用等费用均包含在投标总价中，并要求提供的设备为全新原装设备。</w:t>
            </w:r>
          </w:p>
        </w:tc>
      </w:tr>
    </w:tbl>
    <w:p w14:paraId="7FC7DDB7">
      <w:pPr>
        <w:pageBreakBefore w:val="0"/>
        <w:widowControl w:val="0"/>
        <w:wordWrap/>
        <w:overflowPunct/>
        <w:topLinePunct w:val="0"/>
        <w:bidi w:val="0"/>
        <w:rPr>
          <w:rFonts w:hint="eastAsia" w:eastAsia="宋体"/>
          <w:color w:val="auto"/>
          <w:spacing w:val="0"/>
          <w:w w:val="100"/>
          <w:position w:val="0"/>
          <w:lang w:eastAsia="zh-CN"/>
        </w:rPr>
        <w:sectPr>
          <w:footerReference r:id="rId3" w:type="default"/>
          <w:pgSz w:w="11906" w:h="16839"/>
          <w:pgMar w:top="1429" w:right="1587" w:bottom="1429" w:left="1587" w:header="0" w:footer="994" w:gutter="0"/>
          <w:pgNumType w:fmt="decimal"/>
          <w:cols w:space="720" w:num="1"/>
        </w:sectPr>
      </w:pPr>
      <w:bookmarkStart w:id="12" w:name="_GoBack"/>
      <w:bookmarkEnd w:id="12"/>
    </w:p>
    <w:p w14:paraId="40F383FA">
      <w:pPr>
        <w:pageBreakBefore w:val="0"/>
        <w:widowControl w:val="0"/>
        <w:wordWrap/>
        <w:overflowPunct/>
        <w:topLinePunct w:val="0"/>
        <w:bidi w:val="0"/>
        <w:spacing w:before="78" w:line="220" w:lineRule="auto"/>
        <w:jc w:val="center"/>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bookmarkStart w:id="3" w:name="bookmark81"/>
      <w:bookmarkEnd w:id="3"/>
      <w:bookmarkStart w:id="4" w:name="_Toc10990"/>
      <w:bookmarkStart w:id="5" w:name="_Toc28394"/>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bookmarkEnd w:id="4"/>
      <w:bookmarkEnd w:id="5"/>
    </w:p>
    <w:p w14:paraId="7E0FF02D">
      <w:pPr>
        <w:pageBreakBefore w:val="0"/>
        <w:widowControl w:val="0"/>
        <w:wordWrap/>
        <w:overflowPunct/>
        <w:topLinePunct w:val="0"/>
        <w:bidi w:val="0"/>
        <w:spacing w:line="257" w:lineRule="auto"/>
        <w:rPr>
          <w:color w:val="auto"/>
          <w:spacing w:val="0"/>
          <w:w w:val="100"/>
          <w:position w:val="0"/>
        </w:rPr>
      </w:pPr>
    </w:p>
    <w:p w14:paraId="51008461">
      <w:pPr>
        <w:pageBreakBefore w:val="0"/>
        <w:widowControl w:val="0"/>
        <w:wordWrap/>
        <w:overflowPunct/>
        <w:topLinePunct w:val="0"/>
        <w:bidi w:val="0"/>
        <w:spacing w:line="258" w:lineRule="auto"/>
        <w:rPr>
          <w:color w:val="auto"/>
          <w:spacing w:val="0"/>
          <w:w w:val="100"/>
          <w:position w:val="0"/>
        </w:rPr>
      </w:pPr>
    </w:p>
    <w:p w14:paraId="661422D7">
      <w:pPr>
        <w:pageBreakBefore w:val="0"/>
        <w:widowControl w:val="0"/>
        <w:wordWrap/>
        <w:overflowPunct/>
        <w:topLinePunct w:val="0"/>
        <w:bidi w:val="0"/>
        <w:spacing w:line="258" w:lineRule="auto"/>
        <w:rPr>
          <w:color w:val="auto"/>
          <w:spacing w:val="0"/>
          <w:w w:val="100"/>
          <w:position w:val="0"/>
        </w:rPr>
      </w:pPr>
    </w:p>
    <w:p w14:paraId="31AE964A">
      <w:pPr>
        <w:pageBreakBefore w:val="0"/>
        <w:widowControl w:val="0"/>
        <w:wordWrap/>
        <w:overflowPunct/>
        <w:topLinePunct w:val="0"/>
        <w:bidi w:val="0"/>
        <w:spacing w:before="78" w:line="220" w:lineRule="auto"/>
        <w:jc w:val="left"/>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52BE5AE7">
      <w:pPr>
        <w:pageBreakBefore w:val="0"/>
        <w:widowControl w:val="0"/>
        <w:wordWrap/>
        <w:overflowPunct/>
        <w:topLinePunct w:val="0"/>
        <w:bidi w:val="0"/>
        <w:spacing w:before="78" w:line="220" w:lineRule="auto"/>
        <w:jc w:val="left"/>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bookmarkStart w:id="6" w:name="_Toc6291"/>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 技术需求</w:t>
      </w:r>
      <w:bookmarkEnd w:id="6"/>
    </w:p>
    <w:p w14:paraId="6ECA59C9">
      <w:pPr>
        <w:keepNext w:val="0"/>
        <w:keepLines w:val="0"/>
        <w:pageBreakBefore w:val="0"/>
        <w:widowControl w:val="0"/>
        <w:kinsoku/>
        <w:wordWrap/>
        <w:overflowPunct w:val="0"/>
        <w:topLinePunct w:val="0"/>
        <w:autoSpaceDE w:val="0"/>
        <w:autoSpaceDN w:val="0"/>
        <w:bidi w:val="0"/>
        <w:adjustRightInd w:val="0"/>
        <w:snapToGrid w:val="0"/>
        <w:spacing w:line="242" w:lineRule="auto"/>
        <w:textAlignment w:val="baseline"/>
        <w:rPr>
          <w:color w:val="auto"/>
          <w:spacing w:val="0"/>
          <w:w w:val="100"/>
          <w:position w:val="0"/>
        </w:rPr>
      </w:pPr>
    </w:p>
    <w:p w14:paraId="68AAC894">
      <w:pPr>
        <w:keepNext w:val="0"/>
        <w:keepLines w:val="0"/>
        <w:pageBreakBefore w:val="0"/>
        <w:widowControl/>
        <w:numPr>
          <w:ilvl w:val="0"/>
          <w:numId w:val="1"/>
        </w:numPr>
        <w:kinsoku/>
        <w:wordWrap/>
        <w:overflowPunct w:val="0"/>
        <w:topLinePunct w:val="0"/>
        <w:autoSpaceDE w:val="0"/>
        <w:autoSpaceDN w:val="0"/>
        <w:bidi w:val="0"/>
        <w:adjustRightInd w:val="0"/>
        <w:snapToGrid w:val="0"/>
        <w:spacing w:line="360" w:lineRule="auto"/>
        <w:ind w:left="425" w:leftChars="0" w:hanging="425" w:firstLineChars="0"/>
        <w:jc w:val="left"/>
        <w:textAlignment w:val="baseline"/>
        <w:rPr>
          <w:rFonts w:hint="eastAsia" w:ascii="宋体" w:hAnsi="宋体" w:eastAsia="宋体" w:cs="宋体"/>
          <w:color w:val="auto"/>
          <w:kern w:val="0"/>
          <w:sz w:val="24"/>
        </w:rPr>
      </w:pPr>
      <w:r>
        <w:rPr>
          <w:rFonts w:hint="eastAsia" w:ascii="宋体" w:hAnsi="宋体" w:eastAsia="宋体" w:cs="宋体"/>
          <w:color w:val="auto"/>
          <w:kern w:val="0"/>
          <w:sz w:val="24"/>
        </w:rPr>
        <w:t xml:space="preserve">投标人须提供全新、原装，并符合质量标准的货物。 </w:t>
      </w:r>
    </w:p>
    <w:p w14:paraId="721391C7">
      <w:pPr>
        <w:keepNext w:val="0"/>
        <w:keepLines w:val="0"/>
        <w:pageBreakBefore w:val="0"/>
        <w:widowControl/>
        <w:numPr>
          <w:ilvl w:val="0"/>
          <w:numId w:val="1"/>
        </w:numPr>
        <w:kinsoku/>
        <w:wordWrap/>
        <w:overflowPunct w:val="0"/>
        <w:topLinePunct w:val="0"/>
        <w:autoSpaceDE w:val="0"/>
        <w:autoSpaceDN w:val="0"/>
        <w:bidi w:val="0"/>
        <w:adjustRightInd w:val="0"/>
        <w:snapToGrid w:val="0"/>
        <w:spacing w:line="360" w:lineRule="auto"/>
        <w:ind w:left="425" w:leftChars="0" w:hanging="425" w:firstLineChars="0"/>
        <w:jc w:val="left"/>
        <w:textAlignment w:val="baseline"/>
        <w:rPr>
          <w:rFonts w:hint="eastAsia" w:asciiTheme="minorEastAsia" w:hAnsiTheme="minorEastAsia"/>
          <w:color w:val="auto"/>
          <w:sz w:val="24"/>
        </w:rPr>
      </w:pPr>
      <w:r>
        <w:rPr>
          <w:rFonts w:hint="eastAsia" w:ascii="宋体" w:hAnsi="宋体" w:eastAsia="宋体" w:cs="宋体"/>
          <w:color w:val="auto"/>
          <w:kern w:val="0"/>
          <w:sz w:val="24"/>
        </w:rPr>
        <w:t>本项目核心产品为：</w:t>
      </w:r>
      <w:r>
        <w:rPr>
          <w:rFonts w:hint="eastAsia" w:asciiTheme="minorEastAsia" w:hAnsiTheme="minorEastAsia"/>
          <w:b/>
          <w:bCs/>
          <w:color w:val="auto"/>
          <w:sz w:val="24"/>
        </w:rPr>
        <w:t>VOCs走航系统</w:t>
      </w:r>
    </w:p>
    <w:p w14:paraId="2EE0C057">
      <w:pPr>
        <w:keepNext w:val="0"/>
        <w:keepLines w:val="0"/>
        <w:pageBreakBefore w:val="0"/>
        <w:widowControl/>
        <w:numPr>
          <w:ilvl w:val="0"/>
          <w:numId w:val="1"/>
        </w:numPr>
        <w:kinsoku/>
        <w:wordWrap/>
        <w:overflowPunct w:val="0"/>
        <w:topLinePunct w:val="0"/>
        <w:autoSpaceDE w:val="0"/>
        <w:autoSpaceDN w:val="0"/>
        <w:bidi w:val="0"/>
        <w:adjustRightInd w:val="0"/>
        <w:snapToGrid w:val="0"/>
        <w:spacing w:line="360" w:lineRule="auto"/>
        <w:ind w:left="425" w:leftChars="0" w:hanging="425" w:firstLineChars="0"/>
        <w:jc w:val="left"/>
        <w:textAlignment w:val="baseline"/>
        <w:rPr>
          <w:color w:val="auto"/>
        </w:rPr>
      </w:pPr>
      <w:r>
        <w:rPr>
          <w:rFonts w:hint="eastAsia" w:ascii="宋体" w:hAnsi="宋体" w:eastAsia="宋体" w:cs="宋体"/>
          <w:color w:val="auto"/>
          <w:kern w:val="0"/>
          <w:sz w:val="24"/>
        </w:rPr>
        <w:t xml:space="preserve">货物如为某单位的专利或特有产品，请投标人在答疑期内告知政府采购代理机构。 </w:t>
      </w:r>
    </w:p>
    <w:p w14:paraId="2303D492">
      <w:pPr>
        <w:keepNext w:val="0"/>
        <w:keepLines w:val="0"/>
        <w:pageBreakBefore w:val="0"/>
        <w:widowControl/>
        <w:kinsoku/>
        <w:wordWrap/>
        <w:overflowPunct w:val="0"/>
        <w:topLinePunct w:val="0"/>
        <w:autoSpaceDE w:val="0"/>
        <w:autoSpaceDN w:val="0"/>
        <w:bidi w:val="0"/>
        <w:adjustRightInd w:val="0"/>
        <w:snapToGrid w:val="0"/>
        <w:spacing w:line="360" w:lineRule="auto"/>
        <w:jc w:val="left"/>
        <w:textAlignment w:val="baseline"/>
        <w:rPr>
          <w:color w:val="auto"/>
        </w:rPr>
      </w:pPr>
      <w:r>
        <w:rPr>
          <w:rFonts w:hint="eastAsia" w:ascii="宋体" w:hAnsi="宋体" w:eastAsia="宋体" w:cs="宋体"/>
          <w:color w:val="auto"/>
          <w:kern w:val="0"/>
          <w:sz w:val="24"/>
        </w:rPr>
        <w:t>所有货物的知识产权问题，由各投标人自行负责。 本项目实施过程中产生的所有监测数据、分析报告、软件著作权及相关技术成果归采购人所有。投标人未经采购人书面同意，不得向第三方泄露或用于本项目以外的任何用途。</w:t>
      </w:r>
    </w:p>
    <w:p w14:paraId="7FA2B9A4">
      <w:pPr>
        <w:keepNext w:val="0"/>
        <w:keepLines w:val="0"/>
        <w:pageBreakBefore w:val="0"/>
        <w:widowControl/>
        <w:numPr>
          <w:ilvl w:val="0"/>
          <w:numId w:val="1"/>
        </w:numPr>
        <w:kinsoku/>
        <w:wordWrap/>
        <w:overflowPunct w:val="0"/>
        <w:topLinePunct w:val="0"/>
        <w:autoSpaceDE w:val="0"/>
        <w:autoSpaceDN w:val="0"/>
        <w:bidi w:val="0"/>
        <w:adjustRightInd w:val="0"/>
        <w:snapToGrid w:val="0"/>
        <w:spacing w:line="360" w:lineRule="auto"/>
        <w:ind w:left="425" w:leftChars="0" w:hanging="425" w:firstLineChars="0"/>
        <w:jc w:val="left"/>
        <w:textAlignment w:val="baseline"/>
        <w:rPr>
          <w:color w:val="auto"/>
        </w:rPr>
      </w:pPr>
      <w:r>
        <w:rPr>
          <w:rFonts w:hint="eastAsia" w:ascii="宋体" w:hAnsi="宋体" w:eastAsia="宋体" w:cs="宋体"/>
          <w:color w:val="auto"/>
          <w:kern w:val="0"/>
          <w:sz w:val="24"/>
        </w:rPr>
        <w:t xml:space="preserve">本招标文件提出的是最低限度的要求，投标人的方案应达到或优于本招标文件要求， 且符合国家有关标准和规范要求。 </w:t>
      </w:r>
    </w:p>
    <w:p w14:paraId="696E5DB9">
      <w:pPr>
        <w:keepNext w:val="0"/>
        <w:keepLines w:val="0"/>
        <w:pageBreakBefore w:val="0"/>
        <w:widowControl/>
        <w:numPr>
          <w:ilvl w:val="0"/>
          <w:numId w:val="1"/>
        </w:numPr>
        <w:kinsoku/>
        <w:wordWrap/>
        <w:overflowPunct w:val="0"/>
        <w:topLinePunct w:val="0"/>
        <w:autoSpaceDE w:val="0"/>
        <w:autoSpaceDN w:val="0"/>
        <w:bidi w:val="0"/>
        <w:adjustRightInd w:val="0"/>
        <w:snapToGrid w:val="0"/>
        <w:spacing w:line="360" w:lineRule="auto"/>
        <w:ind w:left="425" w:leftChars="0" w:hanging="425" w:firstLineChars="0"/>
        <w:jc w:val="left"/>
        <w:textAlignment w:val="baseline"/>
        <w:rPr>
          <w:rFonts w:hint="eastAsia" w:ascii="宋体" w:hAnsi="宋体" w:eastAsia="宋体" w:cs="宋体"/>
          <w:color w:val="auto"/>
          <w:kern w:val="0"/>
          <w:sz w:val="24"/>
        </w:rPr>
      </w:pPr>
      <w:r>
        <w:rPr>
          <w:rFonts w:hint="eastAsia" w:ascii="宋体" w:hAnsi="宋体" w:eastAsia="宋体" w:cs="宋体"/>
          <w:color w:val="auto"/>
          <w:kern w:val="0"/>
          <w:sz w:val="24"/>
        </w:rPr>
        <w:t>技术需求或服务要求：</w:t>
      </w:r>
    </w:p>
    <w:p w14:paraId="05741733">
      <w:pPr>
        <w:rPr>
          <w:color w:val="auto"/>
        </w:rPr>
      </w:pPr>
    </w:p>
    <w:tbl>
      <w:tblPr>
        <w:tblStyle w:val="5"/>
        <w:tblW w:w="95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849"/>
        <w:gridCol w:w="6804"/>
        <w:gridCol w:w="426"/>
        <w:gridCol w:w="682"/>
      </w:tblGrid>
      <w:tr w14:paraId="720EC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0A4A889C">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序号</w:t>
            </w:r>
          </w:p>
        </w:tc>
        <w:tc>
          <w:tcPr>
            <w:tcW w:w="849" w:type="dxa"/>
            <w:vAlign w:val="center"/>
          </w:tcPr>
          <w:p w14:paraId="5603D77E">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名称</w:t>
            </w:r>
          </w:p>
        </w:tc>
        <w:tc>
          <w:tcPr>
            <w:tcW w:w="6804" w:type="dxa"/>
            <w:vAlign w:val="center"/>
          </w:tcPr>
          <w:p w14:paraId="401B83FC">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技术参数</w:t>
            </w:r>
          </w:p>
        </w:tc>
        <w:tc>
          <w:tcPr>
            <w:tcW w:w="426" w:type="dxa"/>
            <w:vAlign w:val="center"/>
          </w:tcPr>
          <w:p w14:paraId="17435E36">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单位</w:t>
            </w:r>
          </w:p>
        </w:tc>
        <w:tc>
          <w:tcPr>
            <w:tcW w:w="682" w:type="dxa"/>
            <w:vAlign w:val="center"/>
          </w:tcPr>
          <w:p w14:paraId="372C7E54">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数量</w:t>
            </w:r>
          </w:p>
        </w:tc>
      </w:tr>
      <w:tr w14:paraId="2DCB7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22408B4F">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1</w:t>
            </w:r>
          </w:p>
        </w:tc>
        <w:tc>
          <w:tcPr>
            <w:tcW w:w="849" w:type="dxa"/>
            <w:vAlign w:val="center"/>
          </w:tcPr>
          <w:p w14:paraId="6944ED44">
            <w:pPr>
              <w:widowControl w:val="0"/>
              <w:spacing w:line="276" w:lineRule="auto"/>
              <w:jc w:val="center"/>
              <w:rPr>
                <w:rFonts w:hint="eastAsia" w:asciiTheme="minorEastAsia" w:hAnsiTheme="minorEastAsia"/>
                <w:color w:val="auto"/>
                <w:sz w:val="24"/>
              </w:rPr>
            </w:pPr>
            <w:r>
              <w:rPr>
                <w:rFonts w:hint="eastAsia" w:asciiTheme="minorEastAsia" w:hAnsiTheme="minorEastAsia"/>
                <w:color w:val="auto"/>
                <w:sz w:val="24"/>
              </w:rPr>
              <w:t>VOCs走航系统</w:t>
            </w:r>
          </w:p>
          <w:p w14:paraId="71839E97">
            <w:pPr>
              <w:widowControl w:val="0"/>
              <w:spacing w:line="276" w:lineRule="auto"/>
              <w:jc w:val="center"/>
              <w:rPr>
                <w:rFonts w:hint="eastAsia" w:eastAsia="宋体" w:asciiTheme="minorEastAsia" w:hAnsiTheme="minorEastAsia"/>
                <w:color w:val="auto"/>
                <w:sz w:val="24"/>
                <w:lang w:eastAsia="zh-CN"/>
              </w:rPr>
            </w:pPr>
            <w:r>
              <w:rPr>
                <w:rFonts w:hint="eastAsia" w:eastAsia="宋体" w:asciiTheme="minorEastAsia" w:hAnsiTheme="minorEastAsia"/>
                <w:b/>
                <w:bCs/>
                <w:color w:val="auto"/>
                <w:sz w:val="24"/>
                <w:lang w:eastAsia="zh-CN"/>
              </w:rPr>
              <w:t>※</w:t>
            </w:r>
          </w:p>
        </w:tc>
        <w:tc>
          <w:tcPr>
            <w:tcW w:w="6804" w:type="dxa"/>
            <w:vAlign w:val="center"/>
          </w:tcPr>
          <w:p w14:paraId="26352F48">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b/>
                <w:bCs/>
                <w:color w:val="0000FF"/>
                <w:sz w:val="24"/>
                <w:highlight w:val="none"/>
                <w:lang w:eastAsia="zh-CN"/>
              </w:rPr>
              <w:t>本产品为有人</w:t>
            </w:r>
            <w:r>
              <w:rPr>
                <w:rFonts w:hint="eastAsia" w:eastAsia="宋体" w:cs="Times New Roman" w:asciiTheme="minorEastAsia" w:hAnsiTheme="minorEastAsia"/>
                <w:b/>
                <w:bCs/>
                <w:color w:val="0000FF"/>
                <w:sz w:val="24"/>
                <w:highlight w:val="none"/>
                <w:lang w:val="en-US" w:eastAsia="zh-CN"/>
              </w:rPr>
              <w:t>驾驶</w:t>
            </w:r>
          </w:p>
          <w:p w14:paraId="1DDA61BA">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1）质谱仪整机参数</w:t>
            </w:r>
          </w:p>
          <w:p w14:paraId="13A3B3D3">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分析方式：基于质谱原理实现空气中的VOCs的监测，满足车载连续走航监测功能，能够保证行驶状态下连续运行监测，且走航过程中要求同时实现VOCs组分的定性与定量分析（对总挥发性有机物及各组分分别定量）；</w:t>
            </w:r>
          </w:p>
          <w:p w14:paraId="16B6BC79">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进样系统：可以采用直接进样，无进样耗材，进样系统免维护；实时在线监测环境空气中VOCs组分，可监测的VOCs物种应在300种以上</w:t>
            </w:r>
            <w:r>
              <w:rPr>
                <w:rFonts w:hint="eastAsia" w:cs="Times New Roman" w:asciiTheme="minorEastAsia" w:hAnsiTheme="minorEastAsia"/>
                <w:color w:val="auto"/>
                <w:sz w:val="24"/>
              </w:rPr>
              <w:t xml:space="preserve">； </w:t>
            </w:r>
          </w:p>
          <w:p w14:paraId="400DFF20">
            <w:pPr>
              <w:widowControl w:val="0"/>
              <w:spacing w:line="560" w:lineRule="exact"/>
              <w:jc w:val="left"/>
              <w:rPr>
                <w:rFonts w:hint="eastAsia" w:eastAsia="宋体" w:cs="Times New Roman" w:asciiTheme="minorEastAsia" w:hAnsiTheme="minorEastAsia"/>
                <w:color w:val="auto"/>
                <w:sz w:val="24"/>
                <w:lang w:eastAsia="zh-CN"/>
              </w:rPr>
            </w:pPr>
            <w:r>
              <w:rPr>
                <w:rFonts w:cs="Times New Roman" w:asciiTheme="minorEastAsia" w:hAnsiTheme="minorEastAsia"/>
                <w:color w:val="auto"/>
                <w:sz w:val="24"/>
              </w:rPr>
              <w:t>质量分析器：飞行时间质量分析器</w:t>
            </w:r>
            <w:r>
              <w:rPr>
                <w:rFonts w:hint="eastAsia" w:eastAsia="宋体" w:cs="Times New Roman" w:asciiTheme="minorEastAsia" w:hAnsiTheme="minorEastAsia"/>
                <w:color w:val="auto"/>
                <w:sz w:val="24"/>
                <w:lang w:eastAsia="zh-CN"/>
              </w:rPr>
              <w:t>；</w:t>
            </w:r>
          </w:p>
          <w:p w14:paraId="381BC07D">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电离源：质子转移反应电离源，可切换成</w:t>
            </w:r>
            <w:r>
              <w:rPr>
                <w:rFonts w:hint="eastAsia" w:cs="Times New Roman" w:asciiTheme="minorEastAsia" w:hAnsiTheme="minorEastAsia"/>
                <w:color w:val="auto"/>
                <w:sz w:val="24"/>
              </w:rPr>
              <w:t>其他</w:t>
            </w:r>
            <w:r>
              <w:rPr>
                <w:rFonts w:cs="Times New Roman" w:asciiTheme="minorEastAsia" w:hAnsiTheme="minorEastAsia"/>
                <w:color w:val="auto"/>
                <w:sz w:val="24"/>
              </w:rPr>
              <w:t>源；</w:t>
            </w:r>
          </w:p>
          <w:p w14:paraId="24F17519">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质量检测范围：1-500u；</w:t>
            </w:r>
          </w:p>
          <w:p w14:paraId="545A9391">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质量分辨率：≤1</w:t>
            </w:r>
            <w:r>
              <w:rPr>
                <w:rFonts w:hint="eastAsia" w:eastAsia="宋体" w:cs="Times New Roman" w:asciiTheme="minorEastAsia" w:hAnsiTheme="minorEastAsia"/>
                <w:color w:val="auto"/>
                <w:sz w:val="24"/>
                <w:lang w:val="en-US" w:eastAsia="zh-CN"/>
              </w:rPr>
              <w:t xml:space="preserve"> </w:t>
            </w:r>
            <w:r>
              <w:rPr>
                <w:rFonts w:cs="Times New Roman" w:asciiTheme="minorEastAsia" w:hAnsiTheme="minorEastAsia"/>
                <w:color w:val="auto"/>
                <w:sz w:val="24"/>
              </w:rPr>
              <w:t>amu；</w:t>
            </w:r>
          </w:p>
          <w:p w14:paraId="426E214F">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检测下限：</w:t>
            </w:r>
            <w:bookmarkStart w:id="7" w:name="OLE_LINK3"/>
            <w:r>
              <w:rPr>
                <w:rFonts w:cs="Times New Roman" w:asciiTheme="minorEastAsia" w:hAnsiTheme="minorEastAsia"/>
                <w:color w:val="auto"/>
                <w:sz w:val="24"/>
              </w:rPr>
              <w:t>≤</w:t>
            </w:r>
            <w:bookmarkEnd w:id="7"/>
            <w:r>
              <w:rPr>
                <w:rFonts w:hint="eastAsia" w:cs="Times New Roman" w:asciiTheme="minorEastAsia" w:hAnsiTheme="minorEastAsia"/>
                <w:color w:val="auto"/>
                <w:sz w:val="24"/>
              </w:rPr>
              <w:t>100</w:t>
            </w:r>
            <w:r>
              <w:rPr>
                <w:rFonts w:cs="Times New Roman" w:asciiTheme="minorEastAsia" w:hAnsiTheme="minorEastAsia"/>
                <w:color w:val="auto"/>
                <w:sz w:val="24"/>
              </w:rPr>
              <w:t>pptv；</w:t>
            </w:r>
          </w:p>
          <w:p w14:paraId="418A1FCD">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质量准确度：＜0.05u；</w:t>
            </w:r>
          </w:p>
          <w:p w14:paraId="39144D05">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最快响应时间：≤0.1s；</w:t>
            </w:r>
          </w:p>
          <w:p w14:paraId="6E3DB4F4">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标定校准：具备自定量测量，也可采用标气标定；</w:t>
            </w:r>
          </w:p>
          <w:p w14:paraId="0A1D312C">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质谱具备自动保护功能，当质谱腔气压高于5x10</w:t>
            </w:r>
            <w:r>
              <w:rPr>
                <w:rFonts w:cs="Times New Roman" w:asciiTheme="minorEastAsia" w:hAnsiTheme="minorEastAsia"/>
                <w:color w:val="auto"/>
                <w:sz w:val="24"/>
                <w:vertAlign w:val="superscript"/>
              </w:rPr>
              <w:t>-6</w:t>
            </w:r>
            <w:r>
              <w:rPr>
                <w:rFonts w:cs="Times New Roman" w:asciiTheme="minorEastAsia" w:hAnsiTheme="minorEastAsia"/>
                <w:color w:val="auto"/>
                <w:sz w:val="24"/>
              </w:rPr>
              <w:t>mbar气压(可根据实际需要设定)，质谱可自动保护；</w:t>
            </w:r>
          </w:p>
          <w:p w14:paraId="15BFED1C">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设备总功率：≤1500W，以满足与监测车原有设备同时走航观测时，</w:t>
            </w:r>
            <w:r>
              <w:rPr>
                <w:rFonts w:hint="eastAsia" w:eastAsia="宋体" w:cs="Times New Roman" w:asciiTheme="minorEastAsia" w:hAnsiTheme="minorEastAsia"/>
                <w:color w:val="auto"/>
                <w:sz w:val="24"/>
                <w:lang w:eastAsia="zh-CN"/>
              </w:rPr>
              <w:t>仪器设备</w:t>
            </w:r>
            <w:r>
              <w:rPr>
                <w:rFonts w:cs="Times New Roman" w:asciiTheme="minorEastAsia" w:hAnsiTheme="minorEastAsia"/>
                <w:color w:val="auto"/>
                <w:sz w:val="24"/>
              </w:rPr>
              <w:t>总续航能力超过 8h 的要求；</w:t>
            </w:r>
          </w:p>
          <w:p w14:paraId="0A7AD8E0">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电源要求：AC220V/10A接地良好；</w:t>
            </w:r>
          </w:p>
          <w:p w14:paraId="4A440B71">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设备主机减振：配备减震平台，适合车载移动；</w:t>
            </w:r>
          </w:p>
          <w:p w14:paraId="26291213">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VOCs走航系统具备对极端温度适应性设计，可适应各类极端温度工况；</w:t>
            </w:r>
          </w:p>
          <w:p w14:paraId="0E4C44A6">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仪器具备断电保护功能，来电后自动重启；</w:t>
            </w:r>
          </w:p>
          <w:p w14:paraId="10A26A7F">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2)进样管路：</w:t>
            </w:r>
          </w:p>
          <w:p w14:paraId="227BF8C9">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可直接采样，不需要对样品预处理；</w:t>
            </w:r>
          </w:p>
          <w:p w14:paraId="3B48893A">
            <w:pPr>
              <w:widowControl w:val="0"/>
              <w:spacing w:line="360" w:lineRule="auto"/>
              <w:jc w:val="both"/>
              <w:rPr>
                <w:rFonts w:hint="eastAsia" w:cs="Times New Roman" w:asciiTheme="minorEastAsia" w:hAnsiTheme="minorEastAsia"/>
                <w:color w:val="auto"/>
                <w:sz w:val="24"/>
              </w:rPr>
            </w:pPr>
            <w:r>
              <w:rPr>
                <w:rFonts w:cs="Times New Roman" w:asciiTheme="minorEastAsia" w:hAnsiTheme="minorEastAsia"/>
                <w:color w:val="auto"/>
                <w:sz w:val="24"/>
              </w:rPr>
              <w:t>采样头：防止雨水和粗大的颗粒物落入总管，同时避免小动物和大型昆虫进入总管。采样头的设计应保证采样气流不受风向影响，稳定进入总管；</w:t>
            </w:r>
          </w:p>
          <w:p w14:paraId="70A00951">
            <w:pPr>
              <w:widowControl w:val="0"/>
              <w:spacing w:line="360" w:lineRule="auto"/>
              <w:jc w:val="both"/>
              <w:rPr>
                <w:rFonts w:hint="eastAsia" w:cs="Times New Roman" w:asciiTheme="minorEastAsia" w:hAnsiTheme="minorEastAsia"/>
                <w:color w:val="auto"/>
                <w:sz w:val="24"/>
              </w:rPr>
            </w:pPr>
            <w:r>
              <w:rPr>
                <w:rFonts w:cs="Times New Roman" w:asciiTheme="minorEastAsia" w:hAnsiTheme="minorEastAsia"/>
                <w:color w:val="auto"/>
                <w:sz w:val="24"/>
              </w:rPr>
              <w:t>采样总管：采样总管内的气流应保持层流状态，采样气体在总管内的滞留时间应小于10s；</w:t>
            </w:r>
          </w:p>
          <w:p w14:paraId="15918264">
            <w:pPr>
              <w:widowControl w:val="0"/>
              <w:spacing w:line="360" w:lineRule="auto"/>
              <w:jc w:val="both"/>
              <w:rPr>
                <w:rFonts w:hint="eastAsia" w:cs="Times New Roman" w:asciiTheme="minorEastAsia" w:hAnsiTheme="minorEastAsia"/>
                <w:color w:val="auto"/>
                <w:sz w:val="24"/>
              </w:rPr>
            </w:pPr>
            <w:r>
              <w:rPr>
                <w:rFonts w:cs="Times New Roman" w:asciiTheme="minorEastAsia" w:hAnsiTheme="minorEastAsia"/>
                <w:color w:val="auto"/>
                <w:sz w:val="24"/>
              </w:rPr>
              <w:t>制作材料：不锈钢或聚四氟乙烯；</w:t>
            </w:r>
          </w:p>
          <w:p w14:paraId="079BBFD1">
            <w:pPr>
              <w:widowControl w:val="0"/>
              <w:spacing w:line="360" w:lineRule="auto"/>
              <w:jc w:val="both"/>
              <w:rPr>
                <w:rFonts w:hint="eastAsia" w:cs="Times New Roman" w:asciiTheme="minorEastAsia" w:hAnsiTheme="minorEastAsia"/>
                <w:color w:val="auto"/>
                <w:sz w:val="24"/>
              </w:rPr>
            </w:pPr>
            <w:r>
              <w:rPr>
                <w:rFonts w:cs="Times New Roman" w:asciiTheme="minorEastAsia" w:hAnsiTheme="minorEastAsia"/>
                <w:color w:val="auto"/>
                <w:sz w:val="24"/>
              </w:rPr>
              <w:t>工作环境温度：-20-</w:t>
            </w:r>
            <w:r>
              <w:rPr>
                <w:rFonts w:hint="eastAsia" w:eastAsia="宋体" w:cs="Times New Roman" w:asciiTheme="minorEastAsia" w:hAnsiTheme="minorEastAsia"/>
                <w:color w:val="auto"/>
                <w:sz w:val="24"/>
                <w:lang w:val="en-US" w:eastAsia="zh-CN"/>
              </w:rPr>
              <w:t>60</w:t>
            </w:r>
            <w:r>
              <w:rPr>
                <w:rFonts w:cs="Times New Roman" w:asciiTheme="minorEastAsia" w:hAnsiTheme="minorEastAsia"/>
                <w:color w:val="auto"/>
                <w:sz w:val="24"/>
              </w:rPr>
              <w:t>℃；</w:t>
            </w:r>
          </w:p>
          <w:p w14:paraId="11A66CAB">
            <w:pPr>
              <w:widowControl w:val="0"/>
              <w:spacing w:line="360" w:lineRule="auto"/>
              <w:jc w:val="both"/>
              <w:rPr>
                <w:rFonts w:hint="eastAsia" w:cs="Times New Roman" w:asciiTheme="minorEastAsia" w:hAnsiTheme="minorEastAsia"/>
                <w:color w:val="auto"/>
                <w:sz w:val="24"/>
              </w:rPr>
            </w:pPr>
            <w:r>
              <w:rPr>
                <w:rFonts w:cs="Times New Roman" w:asciiTheme="minorEastAsia" w:hAnsiTheme="minorEastAsia"/>
                <w:color w:val="auto"/>
                <w:sz w:val="24"/>
              </w:rPr>
              <w:t>样品相对湿度：≤80%；；</w:t>
            </w:r>
          </w:p>
          <w:p w14:paraId="3062F137">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3)离子源：</w:t>
            </w:r>
          </w:p>
          <w:p w14:paraId="3579116B">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质子转移反应离子源</w:t>
            </w:r>
          </w:p>
          <w:p w14:paraId="6FF7BA67">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长寿命离子源：正常使用一年无需维护清洗</w:t>
            </w:r>
            <w:r>
              <w:rPr>
                <w:rFonts w:hint="eastAsia" w:eastAsia="宋体" w:cs="Times New Roman" w:asciiTheme="minorEastAsia" w:hAnsiTheme="minorEastAsia"/>
                <w:color w:val="auto"/>
                <w:sz w:val="24"/>
                <w:lang w:eastAsia="zh-CN"/>
              </w:rPr>
              <w:t>（</w:t>
            </w:r>
            <w:r>
              <w:rPr>
                <w:rFonts w:hint="eastAsia" w:eastAsia="宋体"/>
                <w:lang w:eastAsia="zh-CN"/>
              </w:rPr>
              <w:t>不低于</w:t>
            </w:r>
            <w:r>
              <w:rPr>
                <w:rFonts w:hint="eastAsia" w:eastAsia="宋体"/>
                <w:lang w:val="en-US" w:eastAsia="zh-CN"/>
              </w:rPr>
              <w:t>1200小时</w:t>
            </w:r>
            <w:r>
              <w:rPr>
                <w:rFonts w:hint="eastAsia" w:eastAsia="宋体" w:cs="Times New Roman" w:asciiTheme="minorEastAsia" w:hAnsiTheme="minorEastAsia"/>
                <w:color w:val="auto"/>
                <w:sz w:val="24"/>
                <w:lang w:eastAsia="zh-CN"/>
              </w:rPr>
              <w:t>）</w:t>
            </w:r>
            <w:r>
              <w:rPr>
                <w:rFonts w:cs="Times New Roman" w:asciiTheme="minorEastAsia" w:hAnsiTheme="minorEastAsia"/>
                <w:color w:val="auto"/>
                <w:sz w:val="24"/>
              </w:rPr>
              <w:t>；</w:t>
            </w:r>
          </w:p>
          <w:p w14:paraId="127585A2">
            <w:pPr>
              <w:widowControl w:val="0"/>
              <w:jc w:val="both"/>
            </w:pPr>
            <w:r>
              <w:rPr>
                <w:rFonts w:cs="Times New Roman" w:asciiTheme="minorEastAsia" w:hAnsiTheme="minorEastAsia"/>
                <w:color w:val="auto"/>
                <w:sz w:val="24"/>
              </w:rPr>
              <w:t>采用双阳极结构的辉光放电，</w:t>
            </w:r>
          </w:p>
          <w:p w14:paraId="6BDFD614">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VOCs走航系统采用</w:t>
            </w:r>
            <w:r>
              <w:rPr>
                <w:rFonts w:cs="Times New Roman" w:asciiTheme="minorEastAsia" w:hAnsiTheme="minorEastAsia"/>
                <w:color w:val="auto"/>
                <w:sz w:val="24"/>
              </w:rPr>
              <w:t>可调节不同试剂离子比例</w:t>
            </w:r>
            <w:r>
              <w:rPr>
                <w:rFonts w:hint="eastAsia" w:cs="Times New Roman" w:asciiTheme="minorEastAsia" w:hAnsiTheme="minorEastAsia"/>
                <w:color w:val="auto"/>
                <w:sz w:val="24"/>
              </w:rPr>
              <w:t>设计，可</w:t>
            </w:r>
            <w:r>
              <w:rPr>
                <w:rFonts w:cs="Times New Roman" w:asciiTheme="minorEastAsia" w:hAnsiTheme="minorEastAsia"/>
                <w:color w:val="auto"/>
                <w:sz w:val="24"/>
              </w:rPr>
              <w:t>扩展环境空气中卤代烃等物质的监测能力</w:t>
            </w:r>
            <w:r>
              <w:rPr>
                <w:rFonts w:hint="eastAsia" w:cs="Times New Roman" w:asciiTheme="minorEastAsia" w:hAnsiTheme="minorEastAsia"/>
                <w:color w:val="auto"/>
                <w:sz w:val="24"/>
              </w:rPr>
              <w:t>的</w:t>
            </w:r>
          </w:p>
          <w:p w14:paraId="5A52A9CA">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4)离子-分子反应管：</w:t>
            </w:r>
          </w:p>
          <w:p w14:paraId="6BB7417B">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PTFE垫片和恒温伴热设计，减少吸附，降低背景信号，提高响应速度；</w:t>
            </w:r>
          </w:p>
          <w:p w14:paraId="1A87AFF7">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稳定的反应管电源，精确控制离子-分子反应，采用质子转移反应的软电离方式，不对被测物产生破坏效应，利于判定物种信息。</w:t>
            </w:r>
          </w:p>
          <w:p w14:paraId="5737B12F">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质子转移反应区采用多频射频增强技术，实现离子的径向聚焦，有效提高设备灵敏度</w:t>
            </w:r>
          </w:p>
          <w:p w14:paraId="215A5C70">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5)过渡腔：</w:t>
            </w:r>
          </w:p>
          <w:p w14:paraId="1357CA38">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分子泵的使用，提高质谱腔工作的真空度；</w:t>
            </w:r>
          </w:p>
          <w:p w14:paraId="6DA82B75">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离子透镜高效引导，减少离子传输损失。</w:t>
            </w:r>
          </w:p>
          <w:p w14:paraId="2A93D8AB">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6）</w:t>
            </w:r>
            <w:r>
              <w:rPr>
                <w:rFonts w:cs="Times New Roman" w:asciiTheme="minorEastAsia" w:hAnsiTheme="minorEastAsia"/>
                <w:color w:val="auto"/>
                <w:sz w:val="24"/>
              </w:rPr>
              <w:t xml:space="preserve">质谱及真空腔： </w:t>
            </w:r>
          </w:p>
          <w:p w14:paraId="19D489B9">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 xml:space="preserve">通过差分过渡腔和质谱腔的一体化设计，采用高性能涡 </w:t>
            </w:r>
          </w:p>
          <w:p w14:paraId="41B7499E">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轮分子泵，保持质谱腔工作真空在 5x10</w:t>
            </w:r>
            <w:r>
              <w:rPr>
                <w:rFonts w:cs="Times New Roman" w:asciiTheme="minorEastAsia" w:hAnsiTheme="minorEastAsia"/>
                <w:color w:val="auto"/>
                <w:sz w:val="24"/>
                <w:vertAlign w:val="superscript"/>
              </w:rPr>
              <w:t>-6</w:t>
            </w:r>
            <w:r>
              <w:rPr>
                <w:rFonts w:cs="Times New Roman" w:asciiTheme="minorEastAsia" w:hAnsiTheme="minorEastAsia"/>
                <w:color w:val="auto"/>
                <w:sz w:val="24"/>
              </w:rPr>
              <w:t xml:space="preserve">mbar 以下，提 </w:t>
            </w:r>
          </w:p>
          <w:p w14:paraId="1FC94FF2">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高质谱工作的稳定性和寿命；</w:t>
            </w:r>
          </w:p>
          <w:p w14:paraId="162EECEE">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VOCs走航系统采用独立的真空泵装置（与质谱的前级泵和分子泵独立），避免真空返流影响设计的</w:t>
            </w:r>
          </w:p>
        </w:tc>
        <w:tc>
          <w:tcPr>
            <w:tcW w:w="426" w:type="dxa"/>
            <w:vAlign w:val="center"/>
          </w:tcPr>
          <w:p w14:paraId="175E8388">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套</w:t>
            </w:r>
          </w:p>
        </w:tc>
        <w:tc>
          <w:tcPr>
            <w:tcW w:w="682" w:type="dxa"/>
            <w:vAlign w:val="center"/>
          </w:tcPr>
          <w:p w14:paraId="5CE68D4E">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1</w:t>
            </w:r>
          </w:p>
        </w:tc>
      </w:tr>
      <w:tr w14:paraId="4DC02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684F0B35">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2</w:t>
            </w:r>
          </w:p>
        </w:tc>
        <w:tc>
          <w:tcPr>
            <w:tcW w:w="849" w:type="dxa"/>
            <w:vAlign w:val="center"/>
          </w:tcPr>
          <w:p w14:paraId="1D5226E1">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动态稀释仪</w:t>
            </w:r>
          </w:p>
        </w:tc>
        <w:tc>
          <w:tcPr>
            <w:tcW w:w="6804" w:type="dxa"/>
            <w:vAlign w:val="center"/>
          </w:tcPr>
          <w:p w14:paraId="3F3A07BA">
            <w:pPr>
              <w:widowControl w:val="0"/>
              <w:spacing w:line="560" w:lineRule="exact"/>
              <w:ind w:firstLine="480" w:firstLineChars="200"/>
              <w:jc w:val="left"/>
              <w:rPr>
                <w:rFonts w:hint="eastAsia" w:cs="Times New Roman" w:asciiTheme="minorEastAsia" w:hAnsiTheme="minorEastAsia"/>
                <w:color w:val="auto"/>
                <w:sz w:val="24"/>
              </w:rPr>
            </w:pPr>
            <w:r>
              <w:rPr>
                <w:rFonts w:cs="Times New Roman" w:asciiTheme="minorEastAsia" w:hAnsiTheme="minorEastAsia"/>
                <w:color w:val="auto"/>
                <w:sz w:val="24"/>
              </w:rPr>
              <w:t>VOCs分析专用动态校准仪采用高精度质量流量控制器控制零气和标气两个气路，输出不同比例流量，从而实现各种气体浓度的动态配制。</w:t>
            </w:r>
          </w:p>
          <w:p w14:paraId="61311F8F">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b/>
                <w:bCs/>
                <w:color w:val="auto"/>
                <w:sz w:val="24"/>
              </w:rPr>
              <w:t>技术参数：</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05"/>
              <w:gridCol w:w="3426"/>
            </w:tblGrid>
            <w:tr w14:paraId="7C336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305" w:type="dxa"/>
                  <w:tcBorders>
                    <w:top w:val="single" w:color="auto" w:sz="4" w:space="0"/>
                    <w:left w:val="single" w:color="auto" w:sz="4" w:space="0"/>
                    <w:bottom w:val="single" w:color="auto" w:sz="4" w:space="0"/>
                    <w:right w:val="single" w:color="auto" w:sz="4" w:space="0"/>
                  </w:tcBorders>
                  <w:vAlign w:val="center"/>
                </w:tcPr>
                <w:p w14:paraId="285BF812">
                  <w:pPr>
                    <w:widowControl w:val="0"/>
                    <w:spacing w:line="560" w:lineRule="exact"/>
                    <w:jc w:val="left"/>
                    <w:rPr>
                      <w:rFonts w:hint="eastAsia" w:cs="Times New Roman" w:asciiTheme="minorEastAsia" w:hAnsiTheme="minorEastAsia"/>
                      <w:b/>
                      <w:bCs/>
                      <w:color w:val="auto"/>
                      <w:sz w:val="24"/>
                    </w:rPr>
                  </w:pPr>
                  <w:r>
                    <w:rPr>
                      <w:rFonts w:cs="Times New Roman" w:asciiTheme="minorEastAsia" w:hAnsiTheme="minorEastAsia"/>
                      <w:b/>
                      <w:bCs/>
                      <w:color w:val="auto"/>
                      <w:sz w:val="24"/>
                    </w:rPr>
                    <w:t>项目</w:t>
                  </w:r>
                </w:p>
              </w:tc>
              <w:tc>
                <w:tcPr>
                  <w:tcW w:w="3426" w:type="dxa"/>
                  <w:tcBorders>
                    <w:top w:val="single" w:color="auto" w:sz="4" w:space="0"/>
                    <w:left w:val="single" w:color="auto" w:sz="4" w:space="0"/>
                    <w:bottom w:val="single" w:color="auto" w:sz="4" w:space="0"/>
                    <w:right w:val="single" w:color="auto" w:sz="4" w:space="0"/>
                  </w:tcBorders>
                  <w:vAlign w:val="center"/>
                </w:tcPr>
                <w:p w14:paraId="1663484A">
                  <w:pPr>
                    <w:widowControl w:val="0"/>
                    <w:spacing w:line="560" w:lineRule="exact"/>
                    <w:jc w:val="left"/>
                    <w:rPr>
                      <w:rFonts w:hint="eastAsia" w:cs="Times New Roman" w:asciiTheme="minorEastAsia" w:hAnsiTheme="minorEastAsia"/>
                      <w:b/>
                      <w:bCs/>
                      <w:color w:val="auto"/>
                      <w:sz w:val="24"/>
                    </w:rPr>
                  </w:pPr>
                  <w:r>
                    <w:rPr>
                      <w:rFonts w:cs="Times New Roman" w:asciiTheme="minorEastAsia" w:hAnsiTheme="minorEastAsia"/>
                      <w:b/>
                      <w:bCs/>
                      <w:color w:val="auto"/>
                      <w:sz w:val="24"/>
                    </w:rPr>
                    <w:t>技术指标</w:t>
                  </w:r>
                </w:p>
              </w:tc>
            </w:tr>
            <w:tr w14:paraId="48897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305" w:type="dxa"/>
                  <w:tcBorders>
                    <w:top w:val="single" w:color="auto" w:sz="4" w:space="0"/>
                    <w:left w:val="single" w:color="auto" w:sz="4" w:space="0"/>
                    <w:bottom w:val="single" w:color="auto" w:sz="4" w:space="0"/>
                    <w:right w:val="single" w:color="auto" w:sz="4" w:space="0"/>
                  </w:tcBorders>
                  <w:vAlign w:val="center"/>
                </w:tcPr>
                <w:p w14:paraId="45D0B462">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控制压力范围</w:t>
                  </w:r>
                </w:p>
              </w:tc>
              <w:tc>
                <w:tcPr>
                  <w:tcW w:w="3426" w:type="dxa"/>
                  <w:tcBorders>
                    <w:top w:val="single" w:color="auto" w:sz="4" w:space="0"/>
                    <w:left w:val="single" w:color="auto" w:sz="4" w:space="0"/>
                    <w:bottom w:val="single" w:color="auto" w:sz="4" w:space="0"/>
                    <w:right w:val="single" w:color="auto" w:sz="4" w:space="0"/>
                  </w:tcBorders>
                  <w:vAlign w:val="center"/>
                </w:tcPr>
                <w:p w14:paraId="634A1CE4">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0~300kPa</w:t>
                  </w:r>
                </w:p>
              </w:tc>
            </w:tr>
            <w:tr w14:paraId="1E11A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305" w:type="dxa"/>
                  <w:tcBorders>
                    <w:top w:val="single" w:color="auto" w:sz="4" w:space="0"/>
                    <w:left w:val="single" w:color="auto" w:sz="4" w:space="0"/>
                    <w:bottom w:val="single" w:color="auto" w:sz="4" w:space="0"/>
                    <w:right w:val="single" w:color="auto" w:sz="4" w:space="0"/>
                  </w:tcBorders>
                  <w:vAlign w:val="center"/>
                </w:tcPr>
                <w:p w14:paraId="7CD73A10">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精度</w:t>
                  </w:r>
                </w:p>
              </w:tc>
              <w:tc>
                <w:tcPr>
                  <w:tcW w:w="3426" w:type="dxa"/>
                  <w:tcBorders>
                    <w:top w:val="single" w:color="auto" w:sz="4" w:space="0"/>
                    <w:left w:val="single" w:color="auto" w:sz="4" w:space="0"/>
                    <w:bottom w:val="single" w:color="auto" w:sz="4" w:space="0"/>
                    <w:right w:val="single" w:color="auto" w:sz="4" w:space="0"/>
                  </w:tcBorders>
                  <w:vAlign w:val="center"/>
                </w:tcPr>
                <w:p w14:paraId="21E5B520">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＜±0.2 kPa</w:t>
                  </w:r>
                </w:p>
              </w:tc>
            </w:tr>
            <w:tr w14:paraId="63515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305" w:type="dxa"/>
                  <w:tcBorders>
                    <w:top w:val="single" w:color="auto" w:sz="4" w:space="0"/>
                    <w:left w:val="single" w:color="auto" w:sz="4" w:space="0"/>
                    <w:bottom w:val="single" w:color="auto" w:sz="4" w:space="0"/>
                    <w:right w:val="single" w:color="auto" w:sz="4" w:space="0"/>
                  </w:tcBorders>
                  <w:vAlign w:val="center"/>
                </w:tcPr>
                <w:p w14:paraId="315D3F89">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稀释比率</w:t>
                  </w:r>
                </w:p>
              </w:tc>
              <w:tc>
                <w:tcPr>
                  <w:tcW w:w="3426" w:type="dxa"/>
                  <w:tcBorders>
                    <w:top w:val="single" w:color="auto" w:sz="4" w:space="0"/>
                    <w:left w:val="single" w:color="auto" w:sz="4" w:space="0"/>
                    <w:bottom w:val="single" w:color="auto" w:sz="4" w:space="0"/>
                    <w:right w:val="single" w:color="auto" w:sz="4" w:space="0"/>
                  </w:tcBorders>
                  <w:vAlign w:val="center"/>
                </w:tcPr>
                <w:p w14:paraId="6AC4DAEA">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1/10～1/5000</w:t>
                  </w:r>
                </w:p>
              </w:tc>
            </w:tr>
            <w:tr w14:paraId="0F5E1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305" w:type="dxa"/>
                  <w:tcBorders>
                    <w:top w:val="single" w:color="auto" w:sz="4" w:space="0"/>
                    <w:left w:val="single" w:color="auto" w:sz="4" w:space="0"/>
                    <w:bottom w:val="single" w:color="auto" w:sz="4" w:space="0"/>
                    <w:right w:val="single" w:color="auto" w:sz="4" w:space="0"/>
                  </w:tcBorders>
                  <w:vAlign w:val="center"/>
                </w:tcPr>
                <w:p w14:paraId="54931AE3">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流量测量精度</w:t>
                  </w:r>
                </w:p>
              </w:tc>
              <w:tc>
                <w:tcPr>
                  <w:tcW w:w="3426" w:type="dxa"/>
                  <w:tcBorders>
                    <w:top w:val="single" w:color="auto" w:sz="4" w:space="0"/>
                    <w:left w:val="single" w:color="auto" w:sz="4" w:space="0"/>
                    <w:bottom w:val="single" w:color="auto" w:sz="4" w:space="0"/>
                    <w:right w:val="single" w:color="auto" w:sz="4" w:space="0"/>
                  </w:tcBorders>
                  <w:vAlign w:val="center"/>
                </w:tcPr>
                <w:p w14:paraId="29EDD82C">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±1%满刻度</w:t>
                  </w:r>
                </w:p>
              </w:tc>
            </w:tr>
            <w:tr w14:paraId="5CDF6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305" w:type="dxa"/>
                  <w:tcBorders>
                    <w:top w:val="single" w:color="auto" w:sz="4" w:space="0"/>
                    <w:left w:val="single" w:color="auto" w:sz="4" w:space="0"/>
                    <w:bottom w:val="single" w:color="auto" w:sz="4" w:space="0"/>
                    <w:right w:val="single" w:color="auto" w:sz="4" w:space="0"/>
                  </w:tcBorders>
                  <w:vAlign w:val="center"/>
                </w:tcPr>
                <w:p w14:paraId="2BE5CA8F">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流量控制重复性</w:t>
                  </w:r>
                </w:p>
              </w:tc>
              <w:tc>
                <w:tcPr>
                  <w:tcW w:w="3426" w:type="dxa"/>
                  <w:tcBorders>
                    <w:top w:val="single" w:color="auto" w:sz="4" w:space="0"/>
                    <w:left w:val="single" w:color="auto" w:sz="4" w:space="0"/>
                    <w:bottom w:val="single" w:color="auto" w:sz="4" w:space="0"/>
                    <w:right w:val="single" w:color="auto" w:sz="4" w:space="0"/>
                  </w:tcBorders>
                  <w:vAlign w:val="center"/>
                </w:tcPr>
                <w:p w14:paraId="234773C7">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±0.2%满刻度</w:t>
                  </w:r>
                </w:p>
              </w:tc>
            </w:tr>
            <w:tr w14:paraId="4F1EB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305" w:type="dxa"/>
                  <w:tcBorders>
                    <w:top w:val="single" w:color="auto" w:sz="4" w:space="0"/>
                    <w:left w:val="single" w:color="auto" w:sz="4" w:space="0"/>
                    <w:bottom w:val="single" w:color="auto" w:sz="4" w:space="0"/>
                    <w:right w:val="single" w:color="auto" w:sz="4" w:space="0"/>
                  </w:tcBorders>
                  <w:vAlign w:val="center"/>
                </w:tcPr>
                <w:p w14:paraId="57C86893">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流量控制线性度</w:t>
                  </w:r>
                </w:p>
              </w:tc>
              <w:tc>
                <w:tcPr>
                  <w:tcW w:w="3426" w:type="dxa"/>
                  <w:tcBorders>
                    <w:top w:val="single" w:color="auto" w:sz="4" w:space="0"/>
                    <w:left w:val="single" w:color="auto" w:sz="4" w:space="0"/>
                    <w:bottom w:val="single" w:color="auto" w:sz="4" w:space="0"/>
                    <w:right w:val="single" w:color="auto" w:sz="4" w:space="0"/>
                  </w:tcBorders>
                  <w:vAlign w:val="center"/>
                </w:tcPr>
                <w:p w14:paraId="659E7798">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±0.5%满刻度</w:t>
                  </w:r>
                </w:p>
              </w:tc>
            </w:tr>
            <w:tr w14:paraId="0AA67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305" w:type="dxa"/>
                  <w:tcBorders>
                    <w:top w:val="single" w:color="auto" w:sz="4" w:space="0"/>
                    <w:left w:val="single" w:color="auto" w:sz="4" w:space="0"/>
                    <w:bottom w:val="single" w:color="auto" w:sz="4" w:space="0"/>
                    <w:right w:val="single" w:color="auto" w:sz="4" w:space="0"/>
                  </w:tcBorders>
                  <w:vAlign w:val="center"/>
                </w:tcPr>
                <w:p w14:paraId="77D08EB4">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温控功能</w:t>
                  </w:r>
                </w:p>
              </w:tc>
              <w:tc>
                <w:tcPr>
                  <w:tcW w:w="3426" w:type="dxa"/>
                  <w:tcBorders>
                    <w:top w:val="single" w:color="auto" w:sz="4" w:space="0"/>
                    <w:left w:val="single" w:color="auto" w:sz="4" w:space="0"/>
                    <w:bottom w:val="single" w:color="auto" w:sz="4" w:space="0"/>
                    <w:right w:val="single" w:color="auto" w:sz="4" w:space="0"/>
                  </w:tcBorders>
                  <w:vAlign w:val="center"/>
                </w:tcPr>
                <w:p w14:paraId="2EED771B">
                  <w:pPr>
                    <w:widowControl w:val="0"/>
                    <w:spacing w:line="560" w:lineRule="exact"/>
                    <w:jc w:val="left"/>
                    <w:rPr>
                      <w:rFonts w:hint="eastAsia" w:cs="Times New Roman" w:asciiTheme="minorEastAsia" w:hAnsiTheme="minorEastAsia"/>
                      <w:color w:val="auto"/>
                      <w:sz w:val="24"/>
                    </w:rPr>
                  </w:pPr>
                  <w:r>
                    <w:rPr>
                      <w:rFonts w:cs="Times New Roman" w:asciiTheme="minorEastAsia" w:hAnsiTheme="minorEastAsia"/>
                      <w:color w:val="auto"/>
                      <w:sz w:val="24"/>
                    </w:rPr>
                    <w:t>混合区域温度可0~50℃设置</w:t>
                  </w:r>
                </w:p>
              </w:tc>
            </w:tr>
          </w:tbl>
          <w:p w14:paraId="67F70A85">
            <w:pPr>
              <w:widowControl w:val="0"/>
              <w:spacing w:line="560" w:lineRule="exact"/>
              <w:jc w:val="left"/>
              <w:rPr>
                <w:rFonts w:hint="eastAsia" w:cs="宋体" w:asciiTheme="minorEastAsia" w:hAnsiTheme="minorEastAsia"/>
                <w:color w:val="auto"/>
                <w:sz w:val="24"/>
              </w:rPr>
            </w:pPr>
          </w:p>
        </w:tc>
        <w:tc>
          <w:tcPr>
            <w:tcW w:w="426" w:type="dxa"/>
            <w:vAlign w:val="center"/>
          </w:tcPr>
          <w:p w14:paraId="202C6E7E">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台</w:t>
            </w:r>
          </w:p>
        </w:tc>
        <w:tc>
          <w:tcPr>
            <w:tcW w:w="682" w:type="dxa"/>
            <w:vAlign w:val="center"/>
          </w:tcPr>
          <w:p w14:paraId="3F15CC3B">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1</w:t>
            </w:r>
          </w:p>
        </w:tc>
      </w:tr>
      <w:tr w14:paraId="38C09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1832395E">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3</w:t>
            </w:r>
          </w:p>
        </w:tc>
        <w:tc>
          <w:tcPr>
            <w:tcW w:w="849" w:type="dxa"/>
            <w:vAlign w:val="center"/>
          </w:tcPr>
          <w:p w14:paraId="7E099897">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标气</w:t>
            </w:r>
          </w:p>
        </w:tc>
        <w:tc>
          <w:tcPr>
            <w:tcW w:w="6804" w:type="dxa"/>
            <w:vAlign w:val="center"/>
          </w:tcPr>
          <w:p w14:paraId="3CFF4730">
            <w:pPr>
              <w:widowControl w:val="0"/>
              <w:spacing w:line="560" w:lineRule="exact"/>
              <w:jc w:val="left"/>
              <w:rPr>
                <w:rFonts w:hint="eastAsia" w:cs="宋体" w:asciiTheme="minorEastAsia" w:hAnsiTheme="minorEastAsia"/>
                <w:color w:val="auto"/>
                <w:sz w:val="24"/>
              </w:rPr>
            </w:pPr>
            <w:r>
              <w:rPr>
                <w:rFonts w:hint="eastAsia" w:cs="宋体" w:asciiTheme="minorEastAsia" w:hAnsiTheme="minorEastAsia"/>
                <w:color w:val="auto"/>
                <w:sz w:val="24"/>
              </w:rPr>
              <w:t>提供</w:t>
            </w:r>
            <w:r>
              <w:rPr>
                <w:rFonts w:hint="eastAsia" w:cs="宋体" w:asciiTheme="minorEastAsia" w:hAnsiTheme="minorEastAsia"/>
                <w:color w:val="auto"/>
                <w:sz w:val="24"/>
                <w:lang w:eastAsia="zh-CN"/>
              </w:rPr>
              <w:t>三</w:t>
            </w:r>
            <w:r>
              <w:rPr>
                <w:rFonts w:hint="eastAsia" w:cs="宋体" w:asciiTheme="minorEastAsia" w:hAnsiTheme="minorEastAsia"/>
                <w:color w:val="auto"/>
                <w:sz w:val="24"/>
              </w:rPr>
              <w:t>年内使用的标气（8L</w:t>
            </w:r>
            <w:r>
              <w:rPr>
                <w:rFonts w:hint="eastAsia" w:cs="宋体" w:asciiTheme="minorEastAsia" w:hAnsiTheme="minorEastAsia"/>
                <w:color w:val="auto"/>
                <w:sz w:val="24"/>
                <w:lang w:val="en-US" w:eastAsia="zh-CN"/>
              </w:rPr>
              <w:t>/年</w:t>
            </w:r>
            <w:r>
              <w:rPr>
                <w:rFonts w:hint="eastAsia" w:cs="宋体" w:asciiTheme="minorEastAsia" w:hAnsiTheme="minorEastAsia"/>
                <w:color w:val="auto"/>
                <w:sz w:val="24"/>
              </w:rPr>
              <w:t>），与动态稀释仪搭配使用，应满足设备自身校准需求。</w:t>
            </w:r>
          </w:p>
        </w:tc>
        <w:tc>
          <w:tcPr>
            <w:tcW w:w="426" w:type="dxa"/>
            <w:vAlign w:val="center"/>
          </w:tcPr>
          <w:p w14:paraId="16792B23">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项</w:t>
            </w:r>
          </w:p>
        </w:tc>
        <w:tc>
          <w:tcPr>
            <w:tcW w:w="682" w:type="dxa"/>
            <w:vAlign w:val="center"/>
          </w:tcPr>
          <w:p w14:paraId="2F0E99FF">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1</w:t>
            </w:r>
          </w:p>
        </w:tc>
      </w:tr>
      <w:tr w14:paraId="5D618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53300B43">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4</w:t>
            </w:r>
          </w:p>
        </w:tc>
        <w:tc>
          <w:tcPr>
            <w:tcW w:w="849" w:type="dxa"/>
            <w:vAlign w:val="center"/>
          </w:tcPr>
          <w:p w14:paraId="268E8DFC">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走航软件</w:t>
            </w:r>
          </w:p>
        </w:tc>
        <w:tc>
          <w:tcPr>
            <w:tcW w:w="6804" w:type="dxa"/>
            <w:vAlign w:val="center"/>
          </w:tcPr>
          <w:p w14:paraId="16487133">
            <w:pPr>
              <w:widowControl w:val="0"/>
              <w:spacing w:line="560" w:lineRule="exact"/>
              <w:jc w:val="left"/>
              <w:rPr>
                <w:rFonts w:hint="eastAsia" w:cs="宋体" w:asciiTheme="minorEastAsia" w:hAnsiTheme="minorEastAsia"/>
                <w:color w:val="auto"/>
                <w:kern w:val="0"/>
                <w:sz w:val="24"/>
              </w:rPr>
            </w:pPr>
            <w:r>
              <w:rPr>
                <w:rFonts w:hint="eastAsia" w:cs="宋体" w:asciiTheme="minorEastAsia" w:hAnsiTheme="minorEastAsia"/>
                <w:color w:val="auto"/>
                <w:kern w:val="0"/>
                <w:sz w:val="24"/>
              </w:rPr>
              <w:t>1.走航操作软件安装于计算机上，软件</w:t>
            </w:r>
            <w:r>
              <w:rPr>
                <w:rFonts w:cs="宋体" w:asciiTheme="minorEastAsia" w:hAnsiTheme="minorEastAsia"/>
                <w:color w:val="auto"/>
                <w:kern w:val="0"/>
                <w:sz w:val="24"/>
              </w:rPr>
              <w:t>具备数据采集与分析、样品定性和定量测定、实时显示、谱库建立和检索等功能</w:t>
            </w:r>
            <w:r>
              <w:rPr>
                <w:rFonts w:hint="eastAsia" w:cs="宋体" w:asciiTheme="minorEastAsia" w:hAnsiTheme="minorEastAsia"/>
                <w:color w:val="auto"/>
                <w:kern w:val="0"/>
                <w:sz w:val="24"/>
              </w:rPr>
              <w:t>。</w:t>
            </w:r>
          </w:p>
          <w:p w14:paraId="063EA4D6">
            <w:pPr>
              <w:widowControl w:val="0"/>
              <w:spacing w:line="560" w:lineRule="exact"/>
              <w:jc w:val="left"/>
              <w:rPr>
                <w:rFonts w:hint="eastAsia" w:cs="宋体" w:asciiTheme="minorEastAsia" w:hAnsiTheme="minorEastAsia"/>
                <w:color w:val="auto"/>
                <w:kern w:val="0"/>
                <w:sz w:val="24"/>
              </w:rPr>
            </w:pPr>
            <w:r>
              <w:rPr>
                <w:rFonts w:hint="eastAsia" w:cs="宋体" w:asciiTheme="minorEastAsia" w:hAnsiTheme="minorEastAsia"/>
                <w:color w:val="auto"/>
                <w:kern w:val="0"/>
                <w:sz w:val="24"/>
              </w:rPr>
              <w:t>2.平台具有预设报警浓度功能，能对不同组分设置不同的预警浓度。</w:t>
            </w:r>
          </w:p>
          <w:p w14:paraId="0181CA1B">
            <w:pPr>
              <w:widowControl w:val="0"/>
              <w:spacing w:line="560" w:lineRule="exact"/>
              <w:jc w:val="left"/>
              <w:rPr>
                <w:rFonts w:hint="eastAsia" w:cs="宋体" w:asciiTheme="minorEastAsia" w:hAnsiTheme="minorEastAsia"/>
                <w:color w:val="auto"/>
                <w:kern w:val="0"/>
                <w:sz w:val="24"/>
              </w:rPr>
            </w:pPr>
            <w:r>
              <w:rPr>
                <w:rFonts w:hint="eastAsia" w:cs="宋体" w:asciiTheme="minorEastAsia" w:hAnsiTheme="minorEastAsia"/>
                <w:color w:val="auto"/>
                <w:kern w:val="0"/>
                <w:sz w:val="24"/>
              </w:rPr>
              <w:t>3.操作系统：兼容多种Windows系统软件。</w:t>
            </w:r>
          </w:p>
          <w:p w14:paraId="1D728253">
            <w:pPr>
              <w:widowControl w:val="0"/>
              <w:spacing w:line="560" w:lineRule="exact"/>
              <w:jc w:val="left"/>
              <w:rPr>
                <w:rFonts w:hint="eastAsia" w:cs="宋体" w:asciiTheme="minorEastAsia" w:hAnsiTheme="minorEastAsia"/>
                <w:color w:val="auto"/>
                <w:kern w:val="0"/>
                <w:sz w:val="24"/>
              </w:rPr>
            </w:pPr>
            <w:r>
              <w:rPr>
                <w:rFonts w:hint="eastAsia" w:cs="宋体" w:asciiTheme="minorEastAsia" w:hAnsiTheme="minorEastAsia"/>
                <w:color w:val="auto"/>
                <w:kern w:val="0"/>
                <w:sz w:val="24"/>
              </w:rPr>
              <w:t>4.具有各种数据源输入功能接口，可实现多种污染物成因分析。</w:t>
            </w:r>
          </w:p>
          <w:p w14:paraId="44A6FF7C">
            <w:pPr>
              <w:widowControl w:val="0"/>
              <w:spacing w:line="560" w:lineRule="exact"/>
              <w:jc w:val="left"/>
              <w:rPr>
                <w:rFonts w:hint="eastAsia" w:cs="宋体" w:asciiTheme="minorEastAsia" w:hAnsiTheme="minorEastAsia"/>
                <w:color w:val="auto"/>
                <w:kern w:val="0"/>
                <w:sz w:val="24"/>
              </w:rPr>
            </w:pPr>
            <w:r>
              <w:rPr>
                <w:rFonts w:hint="eastAsia" w:cs="宋体" w:asciiTheme="minorEastAsia" w:hAnsiTheme="minorEastAsia"/>
                <w:color w:val="auto"/>
                <w:kern w:val="0"/>
                <w:sz w:val="24"/>
              </w:rPr>
              <w:t>5.</w:t>
            </w:r>
            <w:r>
              <w:rPr>
                <w:rFonts w:hint="eastAsia"/>
                <w:color w:val="auto"/>
              </w:rPr>
              <w:t xml:space="preserve"> </w:t>
            </w:r>
            <w:r>
              <w:rPr>
                <w:rFonts w:hint="eastAsia" w:cs="宋体" w:asciiTheme="minorEastAsia" w:hAnsiTheme="minorEastAsia"/>
                <w:color w:val="auto"/>
                <w:kern w:val="0"/>
                <w:sz w:val="24"/>
              </w:rPr>
              <w:t>采用智能控制软件，具备自诊断、自保护、压力和温度自补偿、一键式自动运行功能</w:t>
            </w:r>
          </w:p>
          <w:p w14:paraId="124989B9">
            <w:pPr>
              <w:widowControl w:val="0"/>
              <w:spacing w:line="560" w:lineRule="exact"/>
              <w:jc w:val="left"/>
              <w:rPr>
                <w:rFonts w:hint="eastAsia" w:cs="宋体" w:asciiTheme="minorEastAsia" w:hAnsiTheme="minorEastAsia"/>
                <w:color w:val="auto"/>
                <w:kern w:val="0"/>
                <w:sz w:val="24"/>
              </w:rPr>
            </w:pPr>
            <w:r>
              <w:rPr>
                <w:rFonts w:cs="宋体" w:asciiTheme="minorEastAsia" w:hAnsiTheme="minorEastAsia"/>
                <w:color w:val="auto"/>
                <w:kern w:val="0"/>
                <w:sz w:val="24"/>
              </w:rPr>
              <w:t>6、利用走航数据，有模拟污染趋势分析，可了解目标污 染物的可能污染范围和浓度趋势。</w:t>
            </w:r>
          </w:p>
        </w:tc>
        <w:tc>
          <w:tcPr>
            <w:tcW w:w="426" w:type="dxa"/>
            <w:vAlign w:val="center"/>
          </w:tcPr>
          <w:p w14:paraId="5CF1754A">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套</w:t>
            </w:r>
          </w:p>
        </w:tc>
        <w:tc>
          <w:tcPr>
            <w:tcW w:w="682" w:type="dxa"/>
            <w:vAlign w:val="center"/>
          </w:tcPr>
          <w:p w14:paraId="22497D32">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1</w:t>
            </w:r>
          </w:p>
        </w:tc>
      </w:tr>
      <w:tr w14:paraId="06805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2381DFB1">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5</w:t>
            </w:r>
          </w:p>
        </w:tc>
        <w:tc>
          <w:tcPr>
            <w:tcW w:w="849" w:type="dxa"/>
            <w:vAlign w:val="center"/>
          </w:tcPr>
          <w:p w14:paraId="53B171B5">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采样系统</w:t>
            </w:r>
          </w:p>
        </w:tc>
        <w:tc>
          <w:tcPr>
            <w:tcW w:w="6804" w:type="dxa"/>
            <w:vAlign w:val="center"/>
          </w:tcPr>
          <w:p w14:paraId="1658B512">
            <w:pPr>
              <w:widowControl w:val="0"/>
              <w:spacing w:line="560" w:lineRule="exact"/>
              <w:jc w:val="left"/>
              <w:rPr>
                <w:rFonts w:hint="eastAsia" w:cs="宋体" w:asciiTheme="minorEastAsia" w:hAnsiTheme="minorEastAsia"/>
                <w:color w:val="auto"/>
                <w:sz w:val="24"/>
              </w:rPr>
            </w:pPr>
            <w:r>
              <w:rPr>
                <w:rFonts w:hint="eastAsia" w:cs="宋体" w:asciiTheme="minorEastAsia" w:hAnsiTheme="minorEastAsia"/>
                <w:color w:val="auto"/>
                <w:sz w:val="24"/>
              </w:rPr>
              <w:t>采样头安装在车顶，高度不超过300mm，采样头和仪器间通过管道连接。</w:t>
            </w:r>
          </w:p>
          <w:p w14:paraId="3E7CC69E">
            <w:pPr>
              <w:widowControl w:val="0"/>
              <w:spacing w:line="560" w:lineRule="exact"/>
              <w:jc w:val="left"/>
              <w:rPr>
                <w:rFonts w:hint="eastAsia" w:cs="宋体" w:asciiTheme="minorEastAsia" w:hAnsiTheme="minorEastAsia"/>
                <w:color w:val="auto"/>
                <w:sz w:val="24"/>
              </w:rPr>
            </w:pPr>
            <w:r>
              <w:rPr>
                <w:rFonts w:hint="eastAsia" w:cs="宋体" w:asciiTheme="minorEastAsia" w:hAnsiTheme="minorEastAsia"/>
                <w:color w:val="auto"/>
                <w:sz w:val="24"/>
              </w:rPr>
              <w:t>外部防水、防尘：进气口须有防水防尘设计</w:t>
            </w:r>
          </w:p>
          <w:p w14:paraId="0E78B257">
            <w:pPr>
              <w:widowControl w:val="0"/>
              <w:spacing w:line="560" w:lineRule="exact"/>
              <w:jc w:val="left"/>
              <w:rPr>
                <w:rFonts w:hint="eastAsia" w:cs="宋体" w:asciiTheme="minorEastAsia" w:hAnsiTheme="minorEastAsia"/>
                <w:color w:val="auto"/>
                <w:sz w:val="24"/>
              </w:rPr>
            </w:pPr>
          </w:p>
        </w:tc>
        <w:tc>
          <w:tcPr>
            <w:tcW w:w="426" w:type="dxa"/>
            <w:vAlign w:val="center"/>
          </w:tcPr>
          <w:p w14:paraId="56D11055">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套</w:t>
            </w:r>
          </w:p>
        </w:tc>
        <w:tc>
          <w:tcPr>
            <w:tcW w:w="682" w:type="dxa"/>
            <w:vAlign w:val="center"/>
          </w:tcPr>
          <w:p w14:paraId="2C75EE99">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1</w:t>
            </w:r>
          </w:p>
        </w:tc>
      </w:tr>
      <w:tr w14:paraId="0BABB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0292CA78">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6</w:t>
            </w:r>
          </w:p>
        </w:tc>
        <w:tc>
          <w:tcPr>
            <w:tcW w:w="849" w:type="dxa"/>
            <w:vAlign w:val="center"/>
          </w:tcPr>
          <w:p w14:paraId="02E7E5C4">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定位系统</w:t>
            </w:r>
          </w:p>
        </w:tc>
        <w:tc>
          <w:tcPr>
            <w:tcW w:w="6804" w:type="dxa"/>
            <w:vAlign w:val="center"/>
          </w:tcPr>
          <w:p w14:paraId="478B17C7">
            <w:pPr>
              <w:widowControl w:val="0"/>
              <w:spacing w:line="560" w:lineRule="exact"/>
              <w:jc w:val="left"/>
              <w:rPr>
                <w:rFonts w:hint="eastAsia" w:cs="宋体" w:asciiTheme="minorEastAsia" w:hAnsiTheme="minorEastAsia"/>
                <w:color w:val="auto"/>
                <w:kern w:val="0"/>
                <w:sz w:val="24"/>
              </w:rPr>
            </w:pPr>
            <w:r>
              <w:rPr>
                <w:rFonts w:hint="eastAsia" w:cs="宋体" w:asciiTheme="minorEastAsia" w:hAnsiTheme="minorEastAsia"/>
                <w:color w:val="auto"/>
                <w:kern w:val="0"/>
                <w:sz w:val="24"/>
              </w:rPr>
              <w:t>采用北斗定位系统，定位快速精准；</w:t>
            </w:r>
          </w:p>
        </w:tc>
        <w:tc>
          <w:tcPr>
            <w:tcW w:w="426" w:type="dxa"/>
            <w:vAlign w:val="center"/>
          </w:tcPr>
          <w:p w14:paraId="7EDE3E0E">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套</w:t>
            </w:r>
          </w:p>
        </w:tc>
        <w:tc>
          <w:tcPr>
            <w:tcW w:w="682" w:type="dxa"/>
            <w:vAlign w:val="center"/>
          </w:tcPr>
          <w:p w14:paraId="5FAB98E1">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1</w:t>
            </w:r>
          </w:p>
        </w:tc>
      </w:tr>
      <w:tr w14:paraId="7739A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2899B096">
            <w:pPr>
              <w:widowControl w:val="0"/>
              <w:spacing w:line="276" w:lineRule="auto"/>
              <w:jc w:val="center"/>
              <w:rPr>
                <w:rFonts w:hint="eastAsia" w:asciiTheme="minorEastAsia" w:hAnsiTheme="minorEastAsia"/>
                <w:color w:val="auto"/>
                <w:sz w:val="24"/>
              </w:rPr>
            </w:pPr>
            <w:r>
              <w:rPr>
                <w:rFonts w:hint="eastAsia" w:asciiTheme="minorEastAsia" w:hAnsiTheme="minorEastAsia"/>
                <w:color w:val="auto"/>
                <w:sz w:val="24"/>
              </w:rPr>
              <w:t>7</w:t>
            </w:r>
          </w:p>
        </w:tc>
        <w:tc>
          <w:tcPr>
            <w:tcW w:w="849" w:type="dxa"/>
            <w:vAlign w:val="center"/>
          </w:tcPr>
          <w:p w14:paraId="5670B0B2">
            <w:pPr>
              <w:widowControl w:val="0"/>
              <w:spacing w:line="276" w:lineRule="auto"/>
              <w:jc w:val="center"/>
              <w:rPr>
                <w:rFonts w:hint="eastAsia" w:asciiTheme="minorEastAsia" w:hAnsiTheme="minorEastAsia"/>
                <w:color w:val="auto"/>
                <w:sz w:val="24"/>
              </w:rPr>
            </w:pPr>
            <w:r>
              <w:rPr>
                <w:rFonts w:hint="eastAsia" w:asciiTheme="minorEastAsia" w:hAnsiTheme="minorEastAsia"/>
                <w:color w:val="auto"/>
                <w:sz w:val="24"/>
              </w:rPr>
              <w:t>空气六参数走航设备</w:t>
            </w:r>
          </w:p>
        </w:tc>
        <w:tc>
          <w:tcPr>
            <w:tcW w:w="6804" w:type="dxa"/>
            <w:vAlign w:val="center"/>
          </w:tcPr>
          <w:p w14:paraId="7C3E0FD5">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监测指标要求</w:t>
            </w:r>
          </w:p>
          <w:p w14:paraId="109C1EEE">
            <w:pPr>
              <w:widowControl w:val="0"/>
              <w:spacing w:line="560" w:lineRule="exact"/>
              <w:jc w:val="left"/>
              <w:rPr>
                <w:rFonts w:hint="eastAsia" w:asciiTheme="minorEastAsia" w:hAnsiTheme="minorEastAsia"/>
                <w:color w:val="auto"/>
                <w:sz w:val="24"/>
              </w:rPr>
            </w:pPr>
            <w:bookmarkStart w:id="8" w:name="OLE_LINK6"/>
            <w:r>
              <w:rPr>
                <w:rFonts w:asciiTheme="minorEastAsia" w:hAnsiTheme="minorEastAsia"/>
                <w:color w:val="auto"/>
                <w:sz w:val="24"/>
              </w:rPr>
              <w:t>（1）</w:t>
            </w:r>
            <w:r>
              <w:rPr>
                <w:rFonts w:hint="eastAsia" w:asciiTheme="minorEastAsia" w:hAnsiTheme="minorEastAsia"/>
                <w:color w:val="auto"/>
                <w:sz w:val="24"/>
              </w:rPr>
              <w:t>颗粒物</w:t>
            </w:r>
            <w:r>
              <w:rPr>
                <w:rFonts w:asciiTheme="minorEastAsia" w:hAnsiTheme="minorEastAsia"/>
                <w:color w:val="auto"/>
                <w:sz w:val="24"/>
              </w:rPr>
              <w:t>监测因子</w:t>
            </w:r>
          </w:p>
          <w:p w14:paraId="7B68DBA4">
            <w:pPr>
              <w:widowControl w:val="0"/>
              <w:spacing w:line="560" w:lineRule="exact"/>
              <w:jc w:val="left"/>
              <w:rPr>
                <w:rFonts w:hint="eastAsia" w:asciiTheme="minorEastAsia" w:hAnsiTheme="minorEastAsia"/>
                <w:color w:val="auto"/>
                <w:sz w:val="24"/>
              </w:rPr>
            </w:pPr>
            <w:r>
              <w:rPr>
                <w:rFonts w:hint="eastAsia" w:asciiTheme="minorEastAsia" w:hAnsiTheme="minorEastAsia"/>
                <w:color w:val="auto"/>
                <w:sz w:val="24"/>
              </w:rPr>
              <w:t>①</w:t>
            </w:r>
            <w:r>
              <w:rPr>
                <w:rFonts w:asciiTheme="minorEastAsia" w:hAnsiTheme="minorEastAsia"/>
                <w:color w:val="auto"/>
                <w:sz w:val="24"/>
              </w:rPr>
              <w:t>设备功能：磁吸式光散射颗粒物监测仪是采用激光散射原理</w:t>
            </w:r>
            <w:r>
              <w:rPr>
                <w:rFonts w:hint="eastAsia" w:asciiTheme="minorEastAsia" w:hAnsiTheme="minorEastAsia"/>
                <w:color w:val="auto"/>
                <w:sz w:val="24"/>
              </w:rPr>
              <w:t>②</w:t>
            </w:r>
            <w:r>
              <w:rPr>
                <w:rFonts w:asciiTheme="minorEastAsia" w:hAnsiTheme="minorEastAsia"/>
                <w:color w:val="auto"/>
                <w:sz w:val="24"/>
              </w:rPr>
              <w:t>检测大气环境中粒子数以及 PM1.0、PM2.5、PM10 的颗粒物</w:t>
            </w:r>
            <w:r>
              <w:rPr>
                <w:rFonts w:hint="eastAsia" w:asciiTheme="minorEastAsia" w:hAnsiTheme="minorEastAsia"/>
                <w:color w:val="auto"/>
                <w:sz w:val="24"/>
              </w:rPr>
              <w:t>③</w:t>
            </w:r>
            <w:r>
              <w:rPr>
                <w:rFonts w:asciiTheme="minorEastAsia" w:hAnsiTheme="minorEastAsia"/>
                <w:color w:val="auto"/>
                <w:sz w:val="24"/>
              </w:rPr>
              <w:t>监测仪。以磁吸式无损安装放置在车顶，方便取用安装。</w:t>
            </w:r>
          </w:p>
          <w:p w14:paraId="0242D899">
            <w:pPr>
              <w:widowControl w:val="0"/>
              <w:spacing w:line="560" w:lineRule="exact"/>
              <w:jc w:val="left"/>
              <w:rPr>
                <w:rFonts w:hint="eastAsia" w:asciiTheme="minorEastAsia" w:hAnsiTheme="minorEastAsia"/>
                <w:color w:val="auto"/>
                <w:sz w:val="24"/>
              </w:rPr>
            </w:pPr>
            <w:r>
              <w:rPr>
                <w:rFonts w:hint="eastAsia" w:asciiTheme="minorEastAsia" w:hAnsiTheme="minorEastAsia"/>
                <w:color w:val="auto"/>
                <w:sz w:val="24"/>
              </w:rPr>
              <w:t>④</w:t>
            </w:r>
            <w:r>
              <w:rPr>
                <w:rFonts w:asciiTheme="minorEastAsia" w:hAnsiTheme="minorEastAsia"/>
                <w:color w:val="auto"/>
                <w:sz w:val="24"/>
              </w:rPr>
              <w:t>测量原理：激光散射法；</w:t>
            </w:r>
          </w:p>
          <w:p w14:paraId="3F3C1FE7">
            <w:pPr>
              <w:widowControl w:val="0"/>
              <w:spacing w:line="560" w:lineRule="exact"/>
              <w:jc w:val="left"/>
              <w:rPr>
                <w:rFonts w:hint="eastAsia" w:asciiTheme="minorEastAsia" w:hAnsiTheme="minorEastAsia"/>
                <w:color w:val="auto"/>
                <w:sz w:val="24"/>
              </w:rPr>
            </w:pPr>
            <w:r>
              <w:rPr>
                <w:rFonts w:hint="eastAsia" w:asciiTheme="minorEastAsia" w:hAnsiTheme="minorEastAsia"/>
                <w:color w:val="auto"/>
                <w:sz w:val="24"/>
              </w:rPr>
              <w:t>⑤</w:t>
            </w:r>
            <w:r>
              <w:rPr>
                <w:rFonts w:asciiTheme="minorEastAsia" w:hAnsiTheme="minorEastAsia"/>
                <w:color w:val="auto"/>
                <w:sz w:val="24"/>
              </w:rPr>
              <w:t>监测因子：PM1.0、PM2.5、PM10；TSP</w:t>
            </w:r>
          </w:p>
          <w:p w14:paraId="5971A9B7">
            <w:pPr>
              <w:widowControl w:val="0"/>
              <w:spacing w:line="560" w:lineRule="exact"/>
              <w:jc w:val="left"/>
              <w:rPr>
                <w:rFonts w:hint="eastAsia" w:asciiTheme="minorEastAsia" w:hAnsiTheme="minorEastAsia"/>
                <w:color w:val="auto"/>
                <w:sz w:val="24"/>
              </w:rPr>
            </w:pPr>
            <w:r>
              <w:rPr>
                <w:rFonts w:hint="eastAsia" w:asciiTheme="minorEastAsia" w:hAnsiTheme="minorEastAsia"/>
                <w:color w:val="auto"/>
                <w:sz w:val="24"/>
              </w:rPr>
              <w:t>⑥</w:t>
            </w:r>
            <w:r>
              <w:rPr>
                <w:rFonts w:asciiTheme="minorEastAsia" w:hAnsiTheme="minorEastAsia"/>
                <w:color w:val="auto"/>
                <w:sz w:val="24"/>
              </w:rPr>
              <w:t>测量范围：0~10000μg/m³；</w:t>
            </w:r>
          </w:p>
          <w:p w14:paraId="05BB4F98">
            <w:pPr>
              <w:widowControl w:val="0"/>
              <w:spacing w:line="560" w:lineRule="exact"/>
              <w:jc w:val="left"/>
              <w:rPr>
                <w:rFonts w:hint="eastAsia" w:asciiTheme="minorEastAsia" w:hAnsiTheme="minorEastAsia"/>
                <w:color w:val="auto"/>
                <w:sz w:val="24"/>
              </w:rPr>
            </w:pPr>
            <w:r>
              <w:rPr>
                <w:rFonts w:hint="eastAsia" w:asciiTheme="minorEastAsia" w:hAnsiTheme="minorEastAsia"/>
                <w:color w:val="auto"/>
                <w:sz w:val="24"/>
              </w:rPr>
              <w:t>⑦</w:t>
            </w:r>
            <w:r>
              <w:rPr>
                <w:rFonts w:asciiTheme="minorEastAsia" w:hAnsiTheme="minorEastAsia"/>
                <w:color w:val="auto"/>
                <w:sz w:val="24"/>
              </w:rPr>
              <w:t>颗粒物浓度示值误差：0-100：±10μg/m³；大于100：±15% F.S；</w:t>
            </w:r>
          </w:p>
          <w:p w14:paraId="71AC632C">
            <w:pPr>
              <w:widowControl w:val="0"/>
              <w:spacing w:line="560" w:lineRule="exact"/>
              <w:jc w:val="left"/>
              <w:rPr>
                <w:rFonts w:hint="eastAsia" w:asciiTheme="minorEastAsia" w:hAnsiTheme="minorEastAsia"/>
                <w:color w:val="auto"/>
                <w:sz w:val="24"/>
              </w:rPr>
            </w:pPr>
            <w:r>
              <w:rPr>
                <w:rFonts w:hint="eastAsia" w:asciiTheme="minorEastAsia" w:hAnsiTheme="minorEastAsia"/>
                <w:color w:val="auto"/>
                <w:sz w:val="24"/>
              </w:rPr>
              <w:t>⑧</w:t>
            </w:r>
            <w:r>
              <w:rPr>
                <w:rFonts w:asciiTheme="minorEastAsia" w:hAnsiTheme="minorEastAsia"/>
                <w:color w:val="auto"/>
                <w:sz w:val="24"/>
              </w:rPr>
              <w:t>响应速度：≤2S；</w:t>
            </w:r>
          </w:p>
          <w:p w14:paraId="66E835AC">
            <w:pPr>
              <w:widowControl w:val="0"/>
              <w:spacing w:line="560" w:lineRule="exact"/>
              <w:jc w:val="left"/>
              <w:rPr>
                <w:rFonts w:hint="eastAsia" w:asciiTheme="minorEastAsia" w:hAnsiTheme="minorEastAsia"/>
                <w:color w:val="auto"/>
                <w:sz w:val="24"/>
              </w:rPr>
            </w:pPr>
            <w:r>
              <w:rPr>
                <w:rFonts w:hint="eastAsia" w:asciiTheme="minorEastAsia" w:hAnsiTheme="minorEastAsia"/>
                <w:color w:val="auto"/>
                <w:sz w:val="24"/>
              </w:rPr>
              <w:t>⑨</w:t>
            </w:r>
            <w:r>
              <w:rPr>
                <w:rFonts w:asciiTheme="minorEastAsia" w:hAnsiTheme="minorEastAsia"/>
                <w:color w:val="auto"/>
                <w:sz w:val="24"/>
              </w:rPr>
              <w:t>分辨率：1μg/m³；</w:t>
            </w:r>
          </w:p>
          <w:p w14:paraId="31EFF0F3">
            <w:pPr>
              <w:widowControl w:val="0"/>
              <w:spacing w:line="560" w:lineRule="exact"/>
              <w:jc w:val="left"/>
              <w:rPr>
                <w:rFonts w:hint="eastAsia" w:asciiTheme="minorEastAsia" w:hAnsiTheme="minorEastAsia"/>
                <w:color w:val="auto"/>
                <w:sz w:val="24"/>
              </w:rPr>
            </w:pPr>
            <w:r>
              <w:rPr>
                <w:rFonts w:hint="eastAsia" w:asciiTheme="minorEastAsia" w:hAnsiTheme="minorEastAsia"/>
                <w:color w:val="auto"/>
                <w:sz w:val="24"/>
              </w:rPr>
              <w:t>⑩</w:t>
            </w:r>
            <w:r>
              <w:rPr>
                <w:rFonts w:asciiTheme="minorEastAsia" w:hAnsiTheme="minorEastAsia"/>
                <w:color w:val="auto"/>
                <w:sz w:val="24"/>
              </w:rPr>
              <w:t>采样流量：2.83L/min（±5%）；</w:t>
            </w:r>
          </w:p>
          <w:p w14:paraId="33F87CDA">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w:t>
            </w:r>
            <w:r>
              <w:rPr>
                <w:rFonts w:hint="eastAsia" w:asciiTheme="minorEastAsia" w:hAnsiTheme="minorEastAsia"/>
                <w:color w:val="auto"/>
                <w:sz w:val="24"/>
              </w:rPr>
              <w:t>2</w:t>
            </w:r>
            <w:r>
              <w:rPr>
                <w:rFonts w:asciiTheme="minorEastAsia" w:hAnsiTheme="minorEastAsia"/>
                <w:color w:val="auto"/>
                <w:sz w:val="24"/>
              </w:rPr>
              <w:t>）O3监测因子</w:t>
            </w:r>
          </w:p>
          <w:p w14:paraId="0B6B2578">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①测量范围：0-500ppb</w:t>
            </w:r>
            <w:r>
              <w:rPr>
                <w:rFonts w:hint="eastAsia" w:asciiTheme="minorEastAsia" w:hAnsiTheme="minorEastAsia"/>
                <w:color w:val="auto"/>
                <w:sz w:val="24"/>
              </w:rPr>
              <w:t>；</w:t>
            </w:r>
          </w:p>
          <w:p w14:paraId="04254157">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②分析方法：电化学法</w:t>
            </w:r>
            <w:r>
              <w:rPr>
                <w:rFonts w:hint="eastAsia" w:asciiTheme="minorEastAsia" w:hAnsiTheme="minorEastAsia"/>
                <w:color w:val="auto"/>
                <w:sz w:val="24"/>
              </w:rPr>
              <w:t>；</w:t>
            </w:r>
          </w:p>
          <w:p w14:paraId="15C1D537">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③示值误差</w:t>
            </w:r>
            <w:r>
              <w:rPr>
                <w:rFonts w:hint="eastAsia" w:asciiTheme="minorEastAsia" w:hAnsiTheme="minorEastAsia"/>
                <w:color w:val="auto"/>
                <w:sz w:val="24"/>
              </w:rPr>
              <w:t>：</w:t>
            </w:r>
            <w:r>
              <w:rPr>
                <w:rFonts w:asciiTheme="minorEastAsia" w:hAnsiTheme="minorEastAsia"/>
                <w:color w:val="auto"/>
                <w:sz w:val="24"/>
              </w:rPr>
              <w:t>≤±10%FS</w:t>
            </w:r>
            <w:r>
              <w:rPr>
                <w:rFonts w:hint="eastAsia" w:asciiTheme="minorEastAsia" w:hAnsiTheme="minorEastAsia"/>
                <w:color w:val="auto"/>
                <w:sz w:val="24"/>
              </w:rPr>
              <w:t>；</w:t>
            </w:r>
          </w:p>
          <w:p w14:paraId="5A4198CE">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w:t>
            </w:r>
            <w:r>
              <w:rPr>
                <w:rFonts w:hint="eastAsia" w:asciiTheme="minorEastAsia" w:hAnsiTheme="minorEastAsia"/>
                <w:color w:val="auto"/>
                <w:sz w:val="24"/>
              </w:rPr>
              <w:t>3</w:t>
            </w:r>
            <w:r>
              <w:rPr>
                <w:rFonts w:asciiTheme="minorEastAsia" w:hAnsiTheme="minorEastAsia"/>
                <w:color w:val="auto"/>
                <w:sz w:val="24"/>
              </w:rPr>
              <w:t>）NO2监测因子</w:t>
            </w:r>
          </w:p>
          <w:p w14:paraId="5D3BC198">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①测量范围：0-500ppb</w:t>
            </w:r>
            <w:r>
              <w:rPr>
                <w:rFonts w:hint="eastAsia" w:asciiTheme="minorEastAsia" w:hAnsiTheme="minorEastAsia"/>
                <w:color w:val="auto"/>
                <w:sz w:val="24"/>
              </w:rPr>
              <w:t>；</w:t>
            </w:r>
          </w:p>
          <w:p w14:paraId="04A3EAE1">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②分析方法：电化学法</w:t>
            </w:r>
            <w:r>
              <w:rPr>
                <w:rFonts w:hint="eastAsia" w:asciiTheme="minorEastAsia" w:hAnsiTheme="minorEastAsia"/>
                <w:color w:val="auto"/>
                <w:sz w:val="24"/>
              </w:rPr>
              <w:t>；</w:t>
            </w:r>
          </w:p>
          <w:p w14:paraId="0A63731C">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③示值误差</w:t>
            </w:r>
            <w:r>
              <w:rPr>
                <w:rFonts w:hint="eastAsia" w:asciiTheme="minorEastAsia" w:hAnsiTheme="minorEastAsia"/>
                <w:color w:val="auto"/>
                <w:sz w:val="24"/>
              </w:rPr>
              <w:t>：</w:t>
            </w:r>
            <w:r>
              <w:rPr>
                <w:rFonts w:asciiTheme="minorEastAsia" w:hAnsiTheme="minorEastAsia"/>
                <w:color w:val="auto"/>
                <w:sz w:val="24"/>
              </w:rPr>
              <w:t>≤±10%FS</w:t>
            </w:r>
            <w:r>
              <w:rPr>
                <w:rFonts w:hint="eastAsia" w:asciiTheme="minorEastAsia" w:hAnsiTheme="minorEastAsia"/>
                <w:color w:val="auto"/>
                <w:sz w:val="24"/>
              </w:rPr>
              <w:t>；</w:t>
            </w:r>
          </w:p>
          <w:p w14:paraId="31FBC073">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w:t>
            </w:r>
            <w:r>
              <w:rPr>
                <w:rFonts w:hint="eastAsia" w:asciiTheme="minorEastAsia" w:hAnsiTheme="minorEastAsia"/>
                <w:color w:val="auto"/>
                <w:sz w:val="24"/>
              </w:rPr>
              <w:t>4</w:t>
            </w:r>
            <w:r>
              <w:rPr>
                <w:rFonts w:asciiTheme="minorEastAsia" w:hAnsiTheme="minorEastAsia"/>
                <w:color w:val="auto"/>
                <w:sz w:val="24"/>
              </w:rPr>
              <w:t>）SO2监测因子</w:t>
            </w:r>
          </w:p>
          <w:p w14:paraId="48B04CCF">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①测量范围：0-500ppb</w:t>
            </w:r>
            <w:r>
              <w:rPr>
                <w:rFonts w:hint="eastAsia" w:asciiTheme="minorEastAsia" w:hAnsiTheme="minorEastAsia"/>
                <w:color w:val="auto"/>
                <w:sz w:val="24"/>
              </w:rPr>
              <w:t>；</w:t>
            </w:r>
          </w:p>
          <w:p w14:paraId="2E5331A8">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②分析方法：电化学法</w:t>
            </w:r>
            <w:r>
              <w:rPr>
                <w:rFonts w:hint="eastAsia" w:asciiTheme="minorEastAsia" w:hAnsiTheme="minorEastAsia"/>
                <w:color w:val="auto"/>
                <w:sz w:val="24"/>
              </w:rPr>
              <w:t>；</w:t>
            </w:r>
          </w:p>
          <w:p w14:paraId="48A5B2DD">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③示值误差</w:t>
            </w:r>
            <w:r>
              <w:rPr>
                <w:rFonts w:hint="eastAsia" w:asciiTheme="minorEastAsia" w:hAnsiTheme="minorEastAsia"/>
                <w:color w:val="auto"/>
                <w:sz w:val="24"/>
              </w:rPr>
              <w:t>：</w:t>
            </w:r>
            <w:r>
              <w:rPr>
                <w:rFonts w:asciiTheme="minorEastAsia" w:hAnsiTheme="minorEastAsia"/>
                <w:color w:val="auto"/>
                <w:sz w:val="24"/>
              </w:rPr>
              <w:t>≤±10%FS</w:t>
            </w:r>
            <w:r>
              <w:rPr>
                <w:rFonts w:hint="eastAsia" w:asciiTheme="minorEastAsia" w:hAnsiTheme="minorEastAsia"/>
                <w:color w:val="auto"/>
                <w:sz w:val="24"/>
              </w:rPr>
              <w:t>；</w:t>
            </w:r>
          </w:p>
          <w:p w14:paraId="7AE38511">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w:t>
            </w:r>
            <w:r>
              <w:rPr>
                <w:rFonts w:hint="eastAsia" w:asciiTheme="minorEastAsia" w:hAnsiTheme="minorEastAsia"/>
                <w:color w:val="auto"/>
                <w:sz w:val="24"/>
              </w:rPr>
              <w:t>5</w:t>
            </w:r>
            <w:r>
              <w:rPr>
                <w:rFonts w:asciiTheme="minorEastAsia" w:hAnsiTheme="minorEastAsia"/>
                <w:color w:val="auto"/>
                <w:sz w:val="24"/>
              </w:rPr>
              <w:t>）CO监测因子</w:t>
            </w:r>
          </w:p>
          <w:p w14:paraId="15673669">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①测量范围：0-50ppm</w:t>
            </w:r>
            <w:r>
              <w:rPr>
                <w:rFonts w:hint="eastAsia" w:asciiTheme="minorEastAsia" w:hAnsiTheme="minorEastAsia"/>
                <w:color w:val="auto"/>
                <w:sz w:val="24"/>
              </w:rPr>
              <w:t>；</w:t>
            </w:r>
          </w:p>
          <w:p w14:paraId="0BFD3606">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②分析方法：电化学法</w:t>
            </w:r>
            <w:r>
              <w:rPr>
                <w:rFonts w:hint="eastAsia" w:asciiTheme="minorEastAsia" w:hAnsiTheme="minorEastAsia"/>
                <w:color w:val="auto"/>
                <w:sz w:val="24"/>
              </w:rPr>
              <w:t>；</w:t>
            </w:r>
            <w:bookmarkStart w:id="9" w:name="OLE_LINK5"/>
          </w:p>
          <w:p w14:paraId="1C7152D6">
            <w:pPr>
              <w:widowControl w:val="0"/>
              <w:spacing w:line="560" w:lineRule="exact"/>
              <w:jc w:val="left"/>
              <w:rPr>
                <w:rFonts w:hint="eastAsia" w:asciiTheme="minorEastAsia" w:hAnsiTheme="minorEastAsia"/>
                <w:color w:val="auto"/>
                <w:sz w:val="24"/>
              </w:rPr>
            </w:pPr>
            <w:r>
              <w:rPr>
                <w:rFonts w:asciiTheme="minorEastAsia" w:hAnsiTheme="minorEastAsia"/>
                <w:color w:val="auto"/>
                <w:sz w:val="24"/>
              </w:rPr>
              <w:t>③示值误差</w:t>
            </w:r>
            <w:r>
              <w:rPr>
                <w:rFonts w:hint="eastAsia" w:asciiTheme="minorEastAsia" w:hAnsiTheme="minorEastAsia"/>
                <w:color w:val="auto"/>
                <w:sz w:val="24"/>
              </w:rPr>
              <w:t>：</w:t>
            </w:r>
            <w:r>
              <w:rPr>
                <w:rFonts w:asciiTheme="minorEastAsia" w:hAnsiTheme="minorEastAsia"/>
                <w:color w:val="auto"/>
                <w:sz w:val="24"/>
              </w:rPr>
              <w:t>≤±10%FS</w:t>
            </w:r>
            <w:r>
              <w:rPr>
                <w:rFonts w:hint="eastAsia" w:asciiTheme="minorEastAsia" w:hAnsiTheme="minorEastAsia"/>
                <w:color w:val="auto"/>
                <w:sz w:val="24"/>
              </w:rPr>
              <w:t>；</w:t>
            </w:r>
          </w:p>
          <w:bookmarkEnd w:id="8"/>
          <w:bookmarkEnd w:id="9"/>
          <w:p w14:paraId="15E44B1F">
            <w:pPr>
              <w:widowControl w:val="0"/>
              <w:spacing w:line="560" w:lineRule="exact"/>
              <w:jc w:val="left"/>
              <w:rPr>
                <w:color w:val="auto"/>
              </w:rPr>
            </w:pPr>
          </w:p>
        </w:tc>
        <w:tc>
          <w:tcPr>
            <w:tcW w:w="426" w:type="dxa"/>
            <w:vAlign w:val="center"/>
          </w:tcPr>
          <w:p w14:paraId="440AAE62">
            <w:pPr>
              <w:widowControl w:val="0"/>
              <w:spacing w:line="276" w:lineRule="auto"/>
              <w:jc w:val="center"/>
              <w:rPr>
                <w:rFonts w:hint="eastAsia" w:asciiTheme="minorEastAsia" w:hAnsiTheme="minorEastAsia"/>
                <w:color w:val="auto"/>
                <w:sz w:val="24"/>
              </w:rPr>
            </w:pPr>
            <w:r>
              <w:rPr>
                <w:rFonts w:hint="eastAsia" w:asciiTheme="minorEastAsia" w:hAnsiTheme="minorEastAsia"/>
                <w:color w:val="auto"/>
                <w:sz w:val="24"/>
              </w:rPr>
              <w:t>套</w:t>
            </w:r>
          </w:p>
        </w:tc>
        <w:tc>
          <w:tcPr>
            <w:tcW w:w="682" w:type="dxa"/>
            <w:vAlign w:val="center"/>
          </w:tcPr>
          <w:p w14:paraId="081E5F8B">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1</w:t>
            </w:r>
          </w:p>
        </w:tc>
      </w:tr>
      <w:tr w14:paraId="013BA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77C43882">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8</w:t>
            </w:r>
          </w:p>
        </w:tc>
        <w:tc>
          <w:tcPr>
            <w:tcW w:w="849" w:type="dxa"/>
            <w:vAlign w:val="center"/>
          </w:tcPr>
          <w:p w14:paraId="487A9B8B">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气象五参数</w:t>
            </w:r>
          </w:p>
        </w:tc>
        <w:tc>
          <w:tcPr>
            <w:tcW w:w="6804" w:type="dxa"/>
            <w:vAlign w:val="center"/>
          </w:tcPr>
          <w:tbl>
            <w:tblPr>
              <w:tblStyle w:val="7"/>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72"/>
              <w:gridCol w:w="1996"/>
              <w:gridCol w:w="3210"/>
            </w:tblGrid>
            <w:tr w14:paraId="0713B4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75607283">
                  <w:pPr>
                    <w:pStyle w:val="9"/>
                    <w:spacing w:before="166" w:line="560" w:lineRule="exact"/>
                    <w:ind w:left="840" w:right="623"/>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风速</w:t>
                  </w:r>
                </w:p>
              </w:tc>
              <w:tc>
                <w:tcPr>
                  <w:tcW w:w="1517" w:type="pct"/>
                  <w:tcBorders>
                    <w:top w:val="single" w:color="000000" w:sz="4" w:space="0"/>
                    <w:left w:val="single" w:color="000000" w:sz="4" w:space="0"/>
                    <w:bottom w:val="single" w:color="000000" w:sz="4" w:space="0"/>
                    <w:right w:val="single" w:color="000000" w:sz="4" w:space="0"/>
                  </w:tcBorders>
                  <w:vAlign w:val="center"/>
                </w:tcPr>
                <w:p w14:paraId="3F823FBF">
                  <w:pPr>
                    <w:pStyle w:val="9"/>
                    <w:spacing w:before="150"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0524478A">
                  <w:pPr>
                    <w:pStyle w:val="9"/>
                    <w:spacing w:before="150"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超声波</w:t>
                  </w:r>
                </w:p>
              </w:tc>
            </w:tr>
            <w:tr w14:paraId="387834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591C9884">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6F43CE66">
                  <w:pPr>
                    <w:pStyle w:val="9"/>
                    <w:spacing w:before="119"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59F64427">
                  <w:pPr>
                    <w:pStyle w:val="9"/>
                    <w:spacing w:before="122" w:line="560" w:lineRule="exact"/>
                    <w:ind w:right="1991"/>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0…80m/s</w:t>
                  </w:r>
                </w:p>
              </w:tc>
            </w:tr>
            <w:tr w14:paraId="36BED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36CBEB77">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3ACBDC36">
                  <w:pPr>
                    <w:pStyle w:val="9"/>
                    <w:spacing w:before="161"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418EF308">
                  <w:pPr>
                    <w:pStyle w:val="9"/>
                    <w:spacing w:before="123" w:line="560" w:lineRule="exact"/>
                    <w:ind w:right="1991"/>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±0.1m/s</w:t>
                  </w:r>
                </w:p>
              </w:tc>
            </w:tr>
            <w:tr w14:paraId="41002B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30B76DA4">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24B154CF">
                  <w:pPr>
                    <w:pStyle w:val="9"/>
                    <w:spacing w:before="139"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298D78EF">
                  <w:pPr>
                    <w:pStyle w:val="9"/>
                    <w:spacing w:before="139" w:line="560" w:lineRule="exact"/>
                    <w:ind w:right="1818"/>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0.05m/s</w:t>
                  </w:r>
                </w:p>
              </w:tc>
            </w:tr>
            <w:tr w14:paraId="30117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388BD55D">
                  <w:pPr>
                    <w:pStyle w:val="9"/>
                    <w:spacing w:before="169" w:line="560" w:lineRule="exact"/>
                    <w:ind w:left="840" w:right="623"/>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风向</w:t>
                  </w:r>
                </w:p>
              </w:tc>
              <w:tc>
                <w:tcPr>
                  <w:tcW w:w="1517" w:type="pct"/>
                  <w:tcBorders>
                    <w:top w:val="single" w:color="000000" w:sz="4" w:space="0"/>
                    <w:left w:val="single" w:color="000000" w:sz="4" w:space="0"/>
                    <w:bottom w:val="single" w:color="000000" w:sz="4" w:space="0"/>
                    <w:right w:val="single" w:color="000000" w:sz="4" w:space="0"/>
                  </w:tcBorders>
                  <w:vAlign w:val="center"/>
                </w:tcPr>
                <w:p w14:paraId="5835E704">
                  <w:pPr>
                    <w:pStyle w:val="9"/>
                    <w:spacing w:before="150"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2C8DA648">
                  <w:pPr>
                    <w:pStyle w:val="9"/>
                    <w:spacing w:before="150" w:line="560" w:lineRule="exact"/>
                    <w:ind w:right="1938"/>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超声波</w:t>
                  </w:r>
                </w:p>
              </w:tc>
            </w:tr>
            <w:tr w14:paraId="4A1672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1837723B">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22137B9C">
                  <w:pPr>
                    <w:pStyle w:val="9"/>
                    <w:spacing w:before="120"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15CA22A6">
                  <w:pPr>
                    <w:pStyle w:val="9"/>
                    <w:spacing w:before="124"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0…360°</w:t>
                  </w:r>
                </w:p>
              </w:tc>
            </w:tr>
            <w:tr w14:paraId="2D84EA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38656285">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36E8ADF4">
                  <w:pPr>
                    <w:pStyle w:val="9"/>
                    <w:spacing w:before="167"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65FA60EE">
                  <w:pPr>
                    <w:pStyle w:val="9"/>
                    <w:spacing w:before="136"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±3°</w:t>
                  </w:r>
                </w:p>
              </w:tc>
            </w:tr>
            <w:tr w14:paraId="697679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6CAFF3E7">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4EADDAF8">
                  <w:pPr>
                    <w:pStyle w:val="9"/>
                    <w:spacing w:before="136"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78631B5A">
                  <w:pPr>
                    <w:pStyle w:val="9"/>
                    <w:spacing w:before="134"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0.1°</w:t>
                  </w:r>
                </w:p>
              </w:tc>
            </w:tr>
            <w:tr w14:paraId="053EC7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6DD0D15E">
                  <w:pPr>
                    <w:pStyle w:val="9"/>
                    <w:spacing w:line="560" w:lineRule="exact"/>
                    <w:ind w:left="840" w:right="683"/>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温度</w:t>
                  </w:r>
                </w:p>
              </w:tc>
              <w:tc>
                <w:tcPr>
                  <w:tcW w:w="1517" w:type="pct"/>
                  <w:tcBorders>
                    <w:top w:val="single" w:color="000000" w:sz="4" w:space="0"/>
                    <w:left w:val="single" w:color="000000" w:sz="4" w:space="0"/>
                    <w:bottom w:val="single" w:color="000000" w:sz="4" w:space="0"/>
                    <w:right w:val="single" w:color="000000" w:sz="4" w:space="0"/>
                  </w:tcBorders>
                  <w:vAlign w:val="center"/>
                </w:tcPr>
                <w:p w14:paraId="42DF92EE">
                  <w:pPr>
                    <w:pStyle w:val="9"/>
                    <w:spacing w:before="152"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42E40C70">
                  <w:pPr>
                    <w:pStyle w:val="9"/>
                    <w:spacing w:before="152" w:line="560" w:lineRule="exact"/>
                    <w:ind w:right="1991"/>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二极管结电压</w:t>
                  </w:r>
                </w:p>
              </w:tc>
            </w:tr>
            <w:tr w14:paraId="20B81C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2480D125">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1B791ACF">
                  <w:pPr>
                    <w:pStyle w:val="9"/>
                    <w:spacing w:before="122"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1918ADB1">
                  <w:pPr>
                    <w:pStyle w:val="9"/>
                    <w:spacing w:before="125" w:line="560" w:lineRule="exact"/>
                    <w:ind w:right="1765"/>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-40…+65℃</w:t>
                  </w:r>
                </w:p>
              </w:tc>
            </w:tr>
            <w:tr w14:paraId="23B332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1"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1E59ABC3">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71975266">
                  <w:pPr>
                    <w:pStyle w:val="9"/>
                    <w:spacing w:before="140"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18313DDA">
                  <w:pPr>
                    <w:pStyle w:val="9"/>
                    <w:spacing w:before="143"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±0.3℃</w:t>
                  </w:r>
                </w:p>
              </w:tc>
            </w:tr>
            <w:tr w14:paraId="685DDB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5135F0DD">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31060195">
                  <w:pPr>
                    <w:pStyle w:val="9"/>
                    <w:spacing w:before="135"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68ECAEE2">
                  <w:pPr>
                    <w:pStyle w:val="9"/>
                    <w:spacing w:before="135"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0.1℃</w:t>
                  </w:r>
                </w:p>
              </w:tc>
            </w:tr>
            <w:tr w14:paraId="41DBAC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6"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525F0900">
                  <w:pPr>
                    <w:pStyle w:val="9"/>
                    <w:spacing w:line="560" w:lineRule="exact"/>
                    <w:ind w:left="840" w:right="683"/>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湿度</w:t>
                  </w:r>
                </w:p>
              </w:tc>
              <w:tc>
                <w:tcPr>
                  <w:tcW w:w="1517" w:type="pct"/>
                  <w:tcBorders>
                    <w:top w:val="single" w:color="000000" w:sz="4" w:space="0"/>
                    <w:left w:val="single" w:color="000000" w:sz="4" w:space="0"/>
                    <w:bottom w:val="single" w:color="000000" w:sz="4" w:space="0"/>
                    <w:right w:val="single" w:color="000000" w:sz="4" w:space="0"/>
                  </w:tcBorders>
                  <w:vAlign w:val="center"/>
                </w:tcPr>
                <w:p w14:paraId="685CD065">
                  <w:pPr>
                    <w:pStyle w:val="9"/>
                    <w:spacing w:before="135"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312FE921">
                  <w:pPr>
                    <w:pStyle w:val="9"/>
                    <w:spacing w:before="135"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电容式</w:t>
                  </w:r>
                </w:p>
              </w:tc>
            </w:tr>
            <w:tr w14:paraId="35E611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7171F706">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7193A0D2">
                  <w:pPr>
                    <w:pStyle w:val="9"/>
                    <w:spacing w:before="124"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219CC4C5">
                  <w:pPr>
                    <w:pStyle w:val="9"/>
                    <w:spacing w:before="124" w:line="560" w:lineRule="exact"/>
                    <w:ind w:right="1885"/>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0…100% RH</w:t>
                  </w:r>
                </w:p>
              </w:tc>
            </w:tr>
            <w:tr w14:paraId="2F23F0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6"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7ED6E9BF">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54BA1D00">
                  <w:pPr>
                    <w:pStyle w:val="9"/>
                    <w:spacing w:before="134"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12B6F7D2">
                  <w:pPr>
                    <w:pStyle w:val="9"/>
                    <w:spacing w:before="137" w:line="560" w:lineRule="exact"/>
                    <w:ind w:right="1991"/>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±0.1%</w:t>
                  </w:r>
                </w:p>
              </w:tc>
            </w:tr>
            <w:tr w14:paraId="6CD0F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01CCD681">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2A8F3E0F">
                  <w:pPr>
                    <w:pStyle w:val="9"/>
                    <w:spacing w:before="136"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7AAF17DA">
                  <w:pPr>
                    <w:pStyle w:val="9"/>
                    <w:spacing w:before="136"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0.05%</w:t>
                  </w:r>
                </w:p>
              </w:tc>
            </w:tr>
            <w:tr w14:paraId="0AFE4B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3" w:hRule="atLeast"/>
              </w:trPr>
              <w:tc>
                <w:tcPr>
                  <w:tcW w:w="1043" w:type="pct"/>
                  <w:vMerge w:val="restart"/>
                  <w:tcBorders>
                    <w:top w:val="single" w:color="000000" w:sz="4" w:space="0"/>
                    <w:left w:val="single" w:color="000000" w:sz="4" w:space="0"/>
                    <w:bottom w:val="single" w:color="000000" w:sz="4" w:space="0"/>
                    <w:right w:val="single" w:color="000000" w:sz="4" w:space="0"/>
                  </w:tcBorders>
                  <w:vAlign w:val="center"/>
                </w:tcPr>
                <w:p w14:paraId="66999FCA">
                  <w:pPr>
                    <w:pStyle w:val="9"/>
                    <w:spacing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大气压</w:t>
                  </w:r>
                </w:p>
              </w:tc>
              <w:tc>
                <w:tcPr>
                  <w:tcW w:w="1517" w:type="pct"/>
                  <w:tcBorders>
                    <w:top w:val="single" w:color="000000" w:sz="4" w:space="0"/>
                    <w:left w:val="single" w:color="000000" w:sz="4" w:space="0"/>
                    <w:bottom w:val="single" w:color="000000" w:sz="4" w:space="0"/>
                    <w:right w:val="single" w:color="000000" w:sz="4" w:space="0"/>
                  </w:tcBorders>
                  <w:vAlign w:val="center"/>
                </w:tcPr>
                <w:p w14:paraId="36B81BF0">
                  <w:pPr>
                    <w:pStyle w:val="9"/>
                    <w:spacing w:before="139"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测量原理</w:t>
                  </w:r>
                </w:p>
              </w:tc>
              <w:tc>
                <w:tcPr>
                  <w:tcW w:w="2440" w:type="pct"/>
                  <w:tcBorders>
                    <w:top w:val="single" w:color="000000" w:sz="4" w:space="0"/>
                    <w:left w:val="single" w:color="000000" w:sz="4" w:space="0"/>
                    <w:bottom w:val="single" w:color="000000" w:sz="4" w:space="0"/>
                    <w:right w:val="single" w:color="000000" w:sz="4" w:space="0"/>
                  </w:tcBorders>
                  <w:vAlign w:val="center"/>
                </w:tcPr>
                <w:p w14:paraId="41EAB087">
                  <w:pPr>
                    <w:pStyle w:val="9"/>
                    <w:spacing w:before="134"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压阻式</w:t>
                  </w:r>
                </w:p>
              </w:tc>
            </w:tr>
            <w:tr w14:paraId="318659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3E28790C">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61D0D46B">
                  <w:pPr>
                    <w:pStyle w:val="9"/>
                    <w:spacing w:before="45"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测量范围</w:t>
                  </w:r>
                </w:p>
              </w:tc>
              <w:tc>
                <w:tcPr>
                  <w:tcW w:w="2440" w:type="pct"/>
                  <w:tcBorders>
                    <w:top w:val="single" w:color="000000" w:sz="4" w:space="0"/>
                    <w:left w:val="single" w:color="000000" w:sz="4" w:space="0"/>
                    <w:bottom w:val="single" w:color="000000" w:sz="4" w:space="0"/>
                    <w:right w:val="single" w:color="000000" w:sz="4" w:space="0"/>
                  </w:tcBorders>
                  <w:vAlign w:val="center"/>
                </w:tcPr>
                <w:p w14:paraId="51B64866">
                  <w:pPr>
                    <w:pStyle w:val="9"/>
                    <w:spacing w:before="139" w:line="560" w:lineRule="exact"/>
                    <w:ind w:right="1866"/>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540…1100hpa</w:t>
                  </w:r>
                </w:p>
              </w:tc>
            </w:tr>
            <w:tr w14:paraId="5F0EE6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5"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0FF52453">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2FAA71F1">
                  <w:pPr>
                    <w:pStyle w:val="9"/>
                    <w:spacing w:before="136"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测量精度</w:t>
                  </w:r>
                </w:p>
              </w:tc>
              <w:tc>
                <w:tcPr>
                  <w:tcW w:w="2440" w:type="pct"/>
                  <w:tcBorders>
                    <w:top w:val="single" w:color="000000" w:sz="4" w:space="0"/>
                    <w:left w:val="single" w:color="000000" w:sz="4" w:space="0"/>
                    <w:bottom w:val="single" w:color="000000" w:sz="4" w:space="0"/>
                    <w:right w:val="single" w:color="000000" w:sz="4" w:space="0"/>
                  </w:tcBorders>
                  <w:vAlign w:val="center"/>
                </w:tcPr>
                <w:p w14:paraId="243E62E9">
                  <w:pPr>
                    <w:pStyle w:val="9"/>
                    <w:spacing w:before="136"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±0.1hpa</w:t>
                  </w:r>
                </w:p>
              </w:tc>
            </w:tr>
            <w:tr w14:paraId="24E79C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7" w:hRule="atLeast"/>
              </w:trPr>
              <w:tc>
                <w:tcPr>
                  <w:tcW w:w="1043" w:type="pct"/>
                  <w:vMerge w:val="continue"/>
                  <w:tcBorders>
                    <w:top w:val="single" w:color="000000" w:sz="4" w:space="0"/>
                    <w:left w:val="single" w:color="000000" w:sz="4" w:space="0"/>
                    <w:bottom w:val="single" w:color="000000" w:sz="4" w:space="0"/>
                    <w:right w:val="single" w:color="000000" w:sz="4" w:space="0"/>
                  </w:tcBorders>
                  <w:vAlign w:val="center"/>
                </w:tcPr>
                <w:p w14:paraId="034186ED">
                  <w:pPr>
                    <w:spacing w:line="560" w:lineRule="exact"/>
                    <w:jc w:val="left"/>
                    <w:rPr>
                      <w:rFonts w:hint="eastAsia" w:cs="宋体" w:asciiTheme="minorEastAsia" w:hAnsiTheme="minorEastAsia"/>
                      <w:color w:val="auto"/>
                      <w:szCs w:val="21"/>
                    </w:rPr>
                  </w:pPr>
                </w:p>
              </w:tc>
              <w:tc>
                <w:tcPr>
                  <w:tcW w:w="1517" w:type="pct"/>
                  <w:tcBorders>
                    <w:top w:val="single" w:color="000000" w:sz="4" w:space="0"/>
                    <w:left w:val="single" w:color="000000" w:sz="4" w:space="0"/>
                    <w:bottom w:val="single" w:color="000000" w:sz="4" w:space="0"/>
                    <w:right w:val="single" w:color="000000" w:sz="4" w:space="0"/>
                  </w:tcBorders>
                  <w:vAlign w:val="center"/>
                </w:tcPr>
                <w:p w14:paraId="15D19B28">
                  <w:pPr>
                    <w:pStyle w:val="9"/>
                    <w:spacing w:before="161" w:line="560" w:lineRule="exact"/>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分辨率</w:t>
                  </w:r>
                </w:p>
              </w:tc>
              <w:tc>
                <w:tcPr>
                  <w:tcW w:w="2440" w:type="pct"/>
                  <w:tcBorders>
                    <w:top w:val="single" w:color="000000" w:sz="4" w:space="0"/>
                    <w:left w:val="single" w:color="000000" w:sz="4" w:space="0"/>
                    <w:bottom w:val="single" w:color="000000" w:sz="4" w:space="0"/>
                    <w:right w:val="single" w:color="000000" w:sz="4" w:space="0"/>
                  </w:tcBorders>
                  <w:vAlign w:val="center"/>
                </w:tcPr>
                <w:p w14:paraId="70886F30">
                  <w:pPr>
                    <w:pStyle w:val="9"/>
                    <w:spacing w:before="134" w:line="560" w:lineRule="exact"/>
                    <w:ind w:right="1904"/>
                    <w:jc w:val="left"/>
                    <w:rPr>
                      <w:rFonts w:hint="eastAsia" w:asciiTheme="minorEastAsia" w:hAnsiTheme="minorEastAsia" w:eastAsiaTheme="minorEastAsia"/>
                      <w:color w:val="auto"/>
                      <w:szCs w:val="21"/>
                    </w:rPr>
                  </w:pPr>
                  <w:r>
                    <w:rPr>
                      <w:rFonts w:hint="eastAsia" w:asciiTheme="minorEastAsia" w:hAnsiTheme="minorEastAsia" w:eastAsiaTheme="minorEastAsia"/>
                      <w:color w:val="auto"/>
                      <w:szCs w:val="21"/>
                    </w:rPr>
                    <w:t>0.1hpa</w:t>
                  </w:r>
                </w:p>
              </w:tc>
            </w:tr>
          </w:tbl>
          <w:p w14:paraId="613D2882">
            <w:pPr>
              <w:widowControl w:val="0"/>
              <w:spacing w:line="560" w:lineRule="exact"/>
              <w:jc w:val="left"/>
              <w:rPr>
                <w:rFonts w:hint="eastAsia" w:cs="宋体" w:asciiTheme="minorEastAsia" w:hAnsiTheme="minorEastAsia"/>
                <w:color w:val="auto"/>
                <w:sz w:val="24"/>
              </w:rPr>
            </w:pPr>
          </w:p>
        </w:tc>
        <w:tc>
          <w:tcPr>
            <w:tcW w:w="426" w:type="dxa"/>
            <w:vAlign w:val="center"/>
          </w:tcPr>
          <w:p w14:paraId="4DBA47E4">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台</w:t>
            </w:r>
          </w:p>
        </w:tc>
        <w:tc>
          <w:tcPr>
            <w:tcW w:w="682" w:type="dxa"/>
            <w:vAlign w:val="center"/>
          </w:tcPr>
          <w:p w14:paraId="2AAEFB78">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1</w:t>
            </w:r>
          </w:p>
        </w:tc>
      </w:tr>
      <w:tr w14:paraId="2D87D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14E0BBFA">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9</w:t>
            </w:r>
          </w:p>
        </w:tc>
        <w:tc>
          <w:tcPr>
            <w:tcW w:w="849" w:type="dxa"/>
            <w:vAlign w:val="center"/>
          </w:tcPr>
          <w:p w14:paraId="73134FF7">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车辆底盘及改造</w:t>
            </w:r>
          </w:p>
        </w:tc>
        <w:tc>
          <w:tcPr>
            <w:tcW w:w="6804" w:type="dxa"/>
            <w:vAlign w:val="center"/>
          </w:tcPr>
          <w:p w14:paraId="051E6CED">
            <w:pPr>
              <w:widowControl w:val="0"/>
              <w:spacing w:line="560" w:lineRule="exact"/>
              <w:jc w:val="left"/>
              <w:rPr>
                <w:rFonts w:hint="eastAsia" w:ascii="宋体" w:hAnsi="Times New Roman" w:eastAsia="宋体" w:cs="宋体"/>
                <w:color w:val="auto"/>
                <w:kern w:val="0"/>
                <w:sz w:val="24"/>
              </w:rPr>
            </w:pPr>
            <w:r>
              <w:rPr>
                <w:rFonts w:hint="eastAsia" w:ascii="宋体" w:hAnsi="Times New Roman" w:eastAsia="宋体" w:cs="宋体"/>
                <w:color w:val="auto"/>
                <w:kern w:val="0"/>
                <w:sz w:val="24"/>
                <w:lang w:val="en-US" w:eastAsia="zh-CN"/>
              </w:rPr>
              <w:t>车辆需为未使用过的新购置车辆，</w:t>
            </w:r>
          </w:p>
          <w:p w14:paraId="6339993B">
            <w:pPr>
              <w:widowControl w:val="0"/>
              <w:spacing w:line="560" w:lineRule="exact"/>
              <w:jc w:val="left"/>
              <w:rPr>
                <w:rFonts w:ascii="宋体" w:hAnsi="Times New Roman" w:eastAsia="宋体" w:cs="宋体"/>
                <w:color w:val="auto"/>
                <w:kern w:val="0"/>
                <w:sz w:val="24"/>
              </w:rPr>
            </w:pPr>
            <w:r>
              <w:rPr>
                <w:rFonts w:hint="eastAsia" w:ascii="宋体" w:hAnsi="Times New Roman" w:eastAsia="宋体" w:cs="宋体"/>
                <w:color w:val="auto"/>
                <w:kern w:val="0"/>
                <w:sz w:val="24"/>
              </w:rPr>
              <w:t>车型选择以安全性为前提，主要从发动机、变速箱、车体尺寸、载重量、轴距、排放标准等方面综合考虑。</w:t>
            </w:r>
          </w:p>
          <w:p w14:paraId="732938C2">
            <w:pPr>
              <w:pStyle w:val="10"/>
              <w:numPr>
                <w:ilvl w:val="0"/>
                <w:numId w:val="2"/>
              </w:numPr>
              <w:adjustRightInd/>
              <w:spacing w:line="560" w:lineRule="exact"/>
              <w:jc w:val="left"/>
              <w:rPr>
                <w:color w:val="auto"/>
              </w:rPr>
            </w:pPr>
            <w:r>
              <w:rPr>
                <w:rFonts w:hint="eastAsia"/>
                <w:color w:val="auto"/>
              </w:rPr>
              <w:t>发动机：柴油或汽油</w:t>
            </w:r>
          </w:p>
          <w:p w14:paraId="5F936EC8">
            <w:pPr>
              <w:pStyle w:val="10"/>
              <w:numPr>
                <w:ilvl w:val="0"/>
                <w:numId w:val="2"/>
              </w:numPr>
              <w:adjustRightInd/>
              <w:spacing w:line="560" w:lineRule="exact"/>
              <w:jc w:val="left"/>
              <w:rPr>
                <w:color w:val="auto"/>
              </w:rPr>
            </w:pPr>
            <w:r>
              <w:rPr>
                <w:rFonts w:hint="eastAsia"/>
                <w:color w:val="auto"/>
              </w:rPr>
              <w:t>变速箱：自动挡</w:t>
            </w:r>
          </w:p>
          <w:p w14:paraId="77362307">
            <w:pPr>
              <w:pStyle w:val="10"/>
              <w:numPr>
                <w:ilvl w:val="0"/>
                <w:numId w:val="2"/>
              </w:numPr>
              <w:adjustRightInd/>
              <w:spacing w:line="560" w:lineRule="exact"/>
              <w:jc w:val="left"/>
              <w:rPr>
                <w:color w:val="auto"/>
              </w:rPr>
            </w:pPr>
            <w:r>
              <w:rPr>
                <w:rFonts w:hint="eastAsia"/>
                <w:color w:val="auto"/>
              </w:rPr>
              <w:t>车体尺寸：不小于</w:t>
            </w:r>
            <w:r>
              <w:rPr>
                <w:color w:val="auto"/>
              </w:rPr>
              <w:t>51</w:t>
            </w:r>
            <w:r>
              <w:rPr>
                <w:rFonts w:hint="eastAsia"/>
                <w:color w:val="auto"/>
              </w:rPr>
              <w:t>00</w:t>
            </w:r>
            <w:r>
              <w:rPr>
                <w:color w:val="auto"/>
              </w:rPr>
              <w:t>x19</w:t>
            </w:r>
            <w:r>
              <w:rPr>
                <w:rFonts w:hint="eastAsia"/>
                <w:color w:val="auto"/>
              </w:rPr>
              <w:t>00</w:t>
            </w:r>
            <w:r>
              <w:rPr>
                <w:color w:val="auto"/>
              </w:rPr>
              <w:t>x19</w:t>
            </w:r>
            <w:r>
              <w:rPr>
                <w:rFonts w:hint="eastAsia"/>
                <w:color w:val="auto"/>
              </w:rPr>
              <w:t>00</w:t>
            </w:r>
            <w:bookmarkStart w:id="10" w:name="OLE_LINK2"/>
            <w:r>
              <w:rPr>
                <w:rFonts w:hint="eastAsia"/>
                <w:color w:val="auto"/>
              </w:rPr>
              <w:t>（mm）</w:t>
            </w:r>
            <w:bookmarkEnd w:id="10"/>
          </w:p>
          <w:p w14:paraId="2D474E5E">
            <w:pPr>
              <w:pStyle w:val="10"/>
              <w:numPr>
                <w:ilvl w:val="0"/>
                <w:numId w:val="2"/>
              </w:numPr>
              <w:adjustRightInd/>
              <w:spacing w:line="560" w:lineRule="exact"/>
              <w:jc w:val="left"/>
              <w:rPr>
                <w:color w:val="auto"/>
              </w:rPr>
            </w:pPr>
            <w:r>
              <w:rPr>
                <w:rFonts w:hint="eastAsia"/>
                <w:color w:val="auto"/>
              </w:rPr>
              <w:t>载重量：不低于500kg</w:t>
            </w:r>
          </w:p>
          <w:p w14:paraId="477D556B">
            <w:pPr>
              <w:pStyle w:val="10"/>
              <w:numPr>
                <w:ilvl w:val="0"/>
                <w:numId w:val="2"/>
              </w:numPr>
              <w:adjustRightInd/>
              <w:spacing w:line="560" w:lineRule="exact"/>
              <w:jc w:val="left"/>
              <w:rPr>
                <w:color w:val="auto"/>
              </w:rPr>
            </w:pPr>
            <w:r>
              <w:rPr>
                <w:rFonts w:hint="eastAsia"/>
                <w:color w:val="auto"/>
              </w:rPr>
              <w:t>轴距：不小于3100mm</w:t>
            </w:r>
          </w:p>
          <w:p w14:paraId="7DA10B78">
            <w:pPr>
              <w:pStyle w:val="10"/>
              <w:numPr>
                <w:ilvl w:val="0"/>
                <w:numId w:val="2"/>
              </w:numPr>
              <w:adjustRightInd/>
              <w:jc w:val="left"/>
              <w:rPr>
                <w:rFonts w:ascii="宋体" w:hAnsi="Times New Roman" w:eastAsia="宋体" w:cs="宋体"/>
                <w:color w:val="auto"/>
                <w:kern w:val="0"/>
                <w:sz w:val="24"/>
              </w:rPr>
            </w:pPr>
            <w:r>
              <w:rPr>
                <w:rFonts w:hint="eastAsia"/>
                <w:color w:val="auto"/>
              </w:rPr>
              <w:t>排放标准：国六</w:t>
            </w:r>
          </w:p>
          <w:p w14:paraId="785B06BD">
            <w:pPr>
              <w:pStyle w:val="10"/>
              <w:numPr>
                <w:ilvl w:val="0"/>
                <w:numId w:val="2"/>
              </w:numPr>
              <w:adjustRightInd/>
              <w:jc w:val="left"/>
              <w:rPr>
                <w:rFonts w:ascii="宋体" w:hAnsi="Times New Roman" w:eastAsia="宋体" w:cs="宋体"/>
                <w:color w:val="auto"/>
                <w:kern w:val="0"/>
                <w:sz w:val="24"/>
              </w:rPr>
            </w:pPr>
            <w:r>
              <w:rPr>
                <w:rFonts w:hint="eastAsia" w:ascii="宋体" w:hAnsi="Times New Roman" w:eastAsia="宋体" w:cs="宋体"/>
                <w:color w:val="auto"/>
                <w:kern w:val="0"/>
                <w:sz w:val="24"/>
              </w:rPr>
              <w:t>车辆改造：</w:t>
            </w:r>
          </w:p>
          <w:p w14:paraId="7A7A05AA">
            <w:pPr>
              <w:widowControl w:val="0"/>
              <w:spacing w:line="360" w:lineRule="auto"/>
              <w:jc w:val="both"/>
              <w:rPr>
                <w:rFonts w:ascii="宋体" w:hAnsi="Times New Roman" w:eastAsia="宋体" w:cs="宋体"/>
                <w:color w:val="auto"/>
                <w:kern w:val="0"/>
                <w:sz w:val="24"/>
              </w:rPr>
            </w:pPr>
            <w:r>
              <w:rPr>
                <w:rFonts w:ascii="宋体" w:hAnsi="Times New Roman" w:eastAsia="宋体" w:cs="宋体"/>
                <w:color w:val="auto"/>
                <w:kern w:val="0"/>
                <w:sz w:val="24"/>
              </w:rPr>
              <w:t>应将车内分为驾驶乘坐区、实验分析区、工具区</w:t>
            </w:r>
            <w:r>
              <w:rPr>
                <w:rFonts w:hint="eastAsia" w:ascii="宋体" w:hAnsi="Times New Roman" w:eastAsia="宋体" w:cs="宋体"/>
                <w:color w:val="auto"/>
                <w:kern w:val="0"/>
                <w:sz w:val="24"/>
              </w:rPr>
              <w:t>；</w:t>
            </w:r>
          </w:p>
          <w:p w14:paraId="67199983">
            <w:pPr>
              <w:widowControl w:val="0"/>
              <w:spacing w:line="360" w:lineRule="auto"/>
              <w:jc w:val="both"/>
              <w:rPr>
                <w:rFonts w:ascii="宋体" w:hAnsi="Times New Roman" w:eastAsia="宋体" w:cs="宋体"/>
                <w:color w:val="auto"/>
                <w:kern w:val="0"/>
                <w:sz w:val="24"/>
              </w:rPr>
            </w:pPr>
            <w:r>
              <w:rPr>
                <w:rFonts w:ascii="宋体" w:hAnsi="Times New Roman" w:eastAsia="宋体" w:cs="宋体"/>
                <w:color w:val="auto"/>
                <w:kern w:val="0"/>
                <w:sz w:val="24"/>
              </w:rPr>
              <w:t>应采用标准的19英寸机柜，横向设置，可以布置1~3排，满足仪器安装要求；</w:t>
            </w:r>
          </w:p>
          <w:p w14:paraId="07FB77E5">
            <w:pPr>
              <w:widowControl w:val="0"/>
              <w:spacing w:line="360" w:lineRule="auto"/>
              <w:jc w:val="both"/>
              <w:rPr>
                <w:rFonts w:ascii="宋体" w:hAnsi="Times New Roman" w:eastAsia="宋体" w:cs="宋体"/>
                <w:color w:val="auto"/>
                <w:kern w:val="0"/>
                <w:sz w:val="24"/>
              </w:rPr>
            </w:pPr>
            <w:r>
              <w:rPr>
                <w:rFonts w:ascii="宋体" w:hAnsi="Times New Roman" w:eastAsia="宋体" w:cs="宋体"/>
                <w:color w:val="auto"/>
                <w:kern w:val="0"/>
                <w:sz w:val="24"/>
              </w:rPr>
              <w:t>柜体下部、上部和左右侧分别装有减震装置</w:t>
            </w:r>
            <w:r>
              <w:rPr>
                <w:rFonts w:hint="eastAsia" w:ascii="宋体" w:hAnsi="Times New Roman" w:eastAsia="宋体" w:cs="宋体"/>
                <w:color w:val="auto"/>
                <w:kern w:val="0"/>
                <w:sz w:val="24"/>
              </w:rPr>
              <w:t>；</w:t>
            </w:r>
            <w:r>
              <w:rPr>
                <w:rFonts w:ascii="宋体" w:hAnsi="Times New Roman" w:eastAsia="宋体" w:cs="宋体"/>
                <w:color w:val="auto"/>
                <w:kern w:val="0"/>
                <w:sz w:val="24"/>
              </w:rPr>
              <w:t>所有用电</w:t>
            </w:r>
            <w:r>
              <w:rPr>
                <w:rFonts w:hint="eastAsia" w:ascii="宋体" w:hAnsi="Times New Roman" w:eastAsia="宋体" w:cs="宋体"/>
                <w:color w:val="auto"/>
                <w:kern w:val="0"/>
                <w:sz w:val="24"/>
              </w:rPr>
              <w:t>仪器设备</w:t>
            </w:r>
            <w:r>
              <w:rPr>
                <w:rFonts w:ascii="宋体" w:hAnsi="Times New Roman" w:eastAsia="宋体" w:cs="宋体"/>
                <w:color w:val="auto"/>
                <w:kern w:val="0"/>
                <w:sz w:val="24"/>
              </w:rPr>
              <w:t>根据招标人需求，配置有市电供电系统、走航供电系统</w:t>
            </w:r>
            <w:r>
              <w:rPr>
                <w:rFonts w:hint="eastAsia" w:ascii="宋体" w:hAnsi="Times New Roman" w:eastAsia="宋体" w:cs="宋体"/>
                <w:color w:val="auto"/>
                <w:kern w:val="0"/>
                <w:sz w:val="24"/>
              </w:rPr>
              <w:t>双供电系统；</w:t>
            </w:r>
          </w:p>
          <w:p w14:paraId="1D243039">
            <w:pPr>
              <w:widowControl w:val="0"/>
              <w:spacing w:line="360" w:lineRule="auto"/>
              <w:jc w:val="both"/>
              <w:rPr>
                <w:rFonts w:ascii="宋体" w:hAnsi="Times New Roman" w:eastAsia="宋体" w:cs="宋体"/>
                <w:color w:val="auto"/>
                <w:kern w:val="0"/>
                <w:sz w:val="24"/>
              </w:rPr>
            </w:pPr>
            <w:r>
              <w:rPr>
                <w:rFonts w:hint="eastAsia" w:ascii="宋体" w:hAnsi="Times New Roman" w:eastAsia="宋体" w:cs="宋体"/>
                <w:color w:val="auto"/>
                <w:kern w:val="0"/>
                <w:sz w:val="24"/>
              </w:rPr>
              <w:t>为加强仪器散热功效，应在机柜上安装散热设备，应在车身合适位置加装散热结构；</w:t>
            </w:r>
          </w:p>
        </w:tc>
        <w:tc>
          <w:tcPr>
            <w:tcW w:w="426" w:type="dxa"/>
            <w:vAlign w:val="center"/>
          </w:tcPr>
          <w:p w14:paraId="02DF7ABA">
            <w:pPr>
              <w:widowControl w:val="0"/>
              <w:spacing w:line="276" w:lineRule="auto"/>
              <w:jc w:val="center"/>
              <w:rPr>
                <w:rFonts w:hint="eastAsia" w:cs="宋体" w:asciiTheme="minorEastAsia" w:hAnsiTheme="minorEastAsia"/>
                <w:color w:val="auto"/>
                <w:sz w:val="24"/>
              </w:rPr>
            </w:pPr>
            <w:r>
              <w:rPr>
                <w:rFonts w:hint="eastAsia" w:asciiTheme="minorEastAsia" w:hAnsiTheme="minorEastAsia"/>
                <w:color w:val="auto"/>
                <w:sz w:val="24"/>
              </w:rPr>
              <w:t>项</w:t>
            </w:r>
          </w:p>
        </w:tc>
        <w:tc>
          <w:tcPr>
            <w:tcW w:w="682" w:type="dxa"/>
            <w:vAlign w:val="center"/>
          </w:tcPr>
          <w:p w14:paraId="6E0CD46C">
            <w:pPr>
              <w:widowControl w:val="0"/>
              <w:spacing w:line="276" w:lineRule="auto"/>
              <w:jc w:val="center"/>
              <w:rPr>
                <w:rFonts w:hint="eastAsia" w:asciiTheme="minorEastAsia" w:hAnsiTheme="minorEastAsia" w:cstheme="majorEastAsia"/>
                <w:color w:val="auto"/>
                <w:sz w:val="24"/>
              </w:rPr>
            </w:pPr>
            <w:r>
              <w:rPr>
                <w:rFonts w:hint="eastAsia" w:asciiTheme="minorEastAsia" w:hAnsiTheme="minorEastAsia" w:cstheme="majorEastAsia"/>
                <w:color w:val="auto"/>
                <w:sz w:val="24"/>
              </w:rPr>
              <w:t>1</w:t>
            </w:r>
          </w:p>
        </w:tc>
      </w:tr>
      <w:tr w14:paraId="75DE5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vAlign w:val="center"/>
          </w:tcPr>
          <w:p w14:paraId="2E19D8C6">
            <w:pPr>
              <w:widowControl w:val="0"/>
              <w:spacing w:line="276" w:lineRule="auto"/>
              <w:jc w:val="center"/>
              <w:rPr>
                <w:rFonts w:hint="default" w:cs="宋体" w:asciiTheme="minorEastAsia" w:hAnsiTheme="minorEastAsia" w:eastAsiaTheme="minorEastAsia"/>
                <w:color w:val="auto"/>
                <w:sz w:val="24"/>
                <w:lang w:val="en-US" w:eastAsia="zh-CN"/>
              </w:rPr>
            </w:pPr>
            <w:r>
              <w:rPr>
                <w:rFonts w:hint="eastAsia" w:cs="宋体" w:asciiTheme="minorEastAsia" w:hAnsiTheme="minorEastAsia"/>
                <w:color w:val="auto"/>
                <w:sz w:val="24"/>
                <w:lang w:val="en-US" w:eastAsia="zh-CN"/>
              </w:rPr>
              <w:t>10</w:t>
            </w:r>
          </w:p>
        </w:tc>
        <w:tc>
          <w:tcPr>
            <w:tcW w:w="849" w:type="dxa"/>
            <w:shd w:val="clear" w:color="auto" w:fill="auto"/>
            <w:vAlign w:val="center"/>
          </w:tcPr>
          <w:p w14:paraId="68128C9B">
            <w:pPr>
              <w:widowControl w:val="0"/>
              <w:spacing w:line="276" w:lineRule="auto"/>
              <w:jc w:val="center"/>
              <w:rPr>
                <w:rFonts w:hint="eastAsia" w:asciiTheme="minorHAnsi" w:hAnsiTheme="minorHAnsi" w:eastAsiaTheme="minorEastAsia" w:cstheme="minorBidi"/>
                <w:color w:val="auto"/>
                <w:kern w:val="2"/>
                <w:sz w:val="21"/>
                <w:szCs w:val="24"/>
                <w:lang w:val="en-US" w:eastAsia="zh-CN" w:bidi="ar-SA"/>
              </w:rPr>
            </w:pPr>
            <w:r>
              <w:rPr>
                <w:rFonts w:hint="eastAsia" w:asciiTheme="minorEastAsia" w:hAnsiTheme="minorEastAsia"/>
                <w:color w:val="auto"/>
                <w:sz w:val="24"/>
              </w:rPr>
              <w:t>无人机系统</w:t>
            </w:r>
          </w:p>
        </w:tc>
        <w:tc>
          <w:tcPr>
            <w:tcW w:w="6804" w:type="dxa"/>
            <w:shd w:val="clear" w:color="auto" w:fill="auto"/>
            <w:vAlign w:val="top"/>
          </w:tcPr>
          <w:p w14:paraId="181D5828">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一、无人机</w:t>
            </w:r>
          </w:p>
          <w:p w14:paraId="07989B3F">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1、起飞重量（含电池、静音桨叶和 microSD 卡、无配件）≤1250 g</w:t>
            </w:r>
          </w:p>
          <w:p w14:paraId="100C8691">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2、最大起飞重量</w:t>
            </w:r>
            <w:r>
              <w:rPr>
                <w:rFonts w:hint="eastAsia" w:eastAsia="宋体" w:cs="Times New Roman" w:asciiTheme="minorEastAsia" w:hAnsiTheme="minorEastAsia"/>
                <w:color w:val="auto"/>
                <w:sz w:val="24"/>
                <w:lang w:eastAsia="zh-CN"/>
              </w:rPr>
              <w:t>≥</w:t>
            </w:r>
            <w:r>
              <w:rPr>
                <w:rFonts w:hint="eastAsia" w:cs="Times New Roman" w:asciiTheme="minorEastAsia" w:hAnsiTheme="minorEastAsia"/>
                <w:color w:val="auto"/>
                <w:sz w:val="24"/>
              </w:rPr>
              <w:t>14</w:t>
            </w:r>
            <w:r>
              <w:rPr>
                <w:rFonts w:hint="eastAsia" w:eastAsia="宋体" w:cs="Times New Roman" w:asciiTheme="minorEastAsia" w:hAnsiTheme="minorEastAsia"/>
                <w:color w:val="auto"/>
                <w:sz w:val="24"/>
                <w:lang w:val="en-US" w:eastAsia="zh-CN"/>
              </w:rPr>
              <w:t>0</w:t>
            </w:r>
            <w:r>
              <w:rPr>
                <w:rFonts w:hint="eastAsia" w:cs="Times New Roman" w:asciiTheme="minorEastAsia" w:hAnsiTheme="minorEastAsia"/>
                <w:color w:val="auto"/>
                <w:sz w:val="24"/>
              </w:rPr>
              <w:t>0 g</w:t>
            </w:r>
          </w:p>
          <w:p w14:paraId="7C0D1EDF">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3</w:t>
            </w:r>
            <w:r>
              <w:rPr>
                <w:rFonts w:hint="eastAsia" w:cs="Times New Roman" w:asciiTheme="minorEastAsia" w:hAnsiTheme="minorEastAsia"/>
                <w:color w:val="auto"/>
                <w:sz w:val="24"/>
              </w:rPr>
              <w:t>、最长飞行时间≥49 分钟</w:t>
            </w:r>
          </w:p>
          <w:p w14:paraId="0506B608">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4</w:t>
            </w:r>
            <w:r>
              <w:rPr>
                <w:rFonts w:hint="eastAsia" w:cs="Times New Roman" w:asciiTheme="minorEastAsia" w:hAnsiTheme="minorEastAsia"/>
                <w:color w:val="auto"/>
                <w:sz w:val="24"/>
              </w:rPr>
              <w:t>、最大可抗风速≥12m/s</w:t>
            </w:r>
          </w:p>
          <w:p w14:paraId="6087F960">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5</w:t>
            </w:r>
            <w:r>
              <w:rPr>
                <w:rFonts w:hint="eastAsia" w:cs="Times New Roman" w:asciiTheme="minorEastAsia" w:hAnsiTheme="minorEastAsia"/>
                <w:color w:val="auto"/>
                <w:sz w:val="24"/>
              </w:rPr>
              <w:t>、支持单北斗定位模式</w:t>
            </w:r>
          </w:p>
          <w:p w14:paraId="0D1C7241">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6</w:t>
            </w:r>
            <w:r>
              <w:rPr>
                <w:rFonts w:hint="eastAsia" w:cs="Times New Roman" w:asciiTheme="minorEastAsia" w:hAnsiTheme="minorEastAsia"/>
                <w:color w:val="auto"/>
                <w:sz w:val="24"/>
              </w:rPr>
              <w:t>、工作温度范围覆盖-10°C 至 40°C</w:t>
            </w:r>
          </w:p>
          <w:p w14:paraId="478A4EE0">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7</w:t>
            </w:r>
            <w:r>
              <w:rPr>
                <w:rFonts w:hint="eastAsia" w:cs="Times New Roman" w:asciiTheme="minorEastAsia" w:hAnsiTheme="minorEastAsia"/>
                <w:color w:val="auto"/>
                <w:sz w:val="24"/>
              </w:rPr>
              <w:t>、GNSS定位悬停精度垂直≤0.5 m，水平≤0.5 m</w:t>
            </w:r>
          </w:p>
          <w:p w14:paraId="56A6105F">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8</w:t>
            </w:r>
            <w:r>
              <w:rPr>
                <w:rFonts w:hint="eastAsia" w:cs="Times New Roman" w:asciiTheme="minorEastAsia" w:hAnsiTheme="minorEastAsia"/>
                <w:color w:val="auto"/>
                <w:sz w:val="24"/>
              </w:rPr>
              <w:t>、RTK定位悬停精度垂直≤0.1 m，水平≤0.1 m</w:t>
            </w:r>
          </w:p>
          <w:p w14:paraId="1218B651">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9</w:t>
            </w:r>
            <w:r>
              <w:rPr>
                <w:rFonts w:hint="eastAsia" w:cs="Times New Roman" w:asciiTheme="minorEastAsia" w:hAnsiTheme="minorEastAsia"/>
                <w:color w:val="auto"/>
                <w:sz w:val="24"/>
              </w:rPr>
              <w:t>、最大上升速度≥10 m/s</w:t>
            </w:r>
          </w:p>
          <w:p w14:paraId="2E720422">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10</w:t>
            </w:r>
            <w:r>
              <w:rPr>
                <w:rFonts w:hint="eastAsia" w:cs="Times New Roman" w:asciiTheme="minorEastAsia" w:hAnsiTheme="minorEastAsia"/>
                <w:color w:val="auto"/>
                <w:sz w:val="24"/>
              </w:rPr>
              <w:t xml:space="preserve">、最大下降速度≥8 m/s </w:t>
            </w:r>
          </w:p>
          <w:p w14:paraId="12A40C5B">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1</w:t>
            </w:r>
            <w:r>
              <w:rPr>
                <w:rFonts w:hint="eastAsia" w:eastAsia="宋体" w:cs="Times New Roman" w:asciiTheme="minorEastAsia" w:hAnsiTheme="minorEastAsia"/>
                <w:color w:val="auto"/>
                <w:sz w:val="24"/>
                <w:lang w:val="en-US" w:eastAsia="zh-CN"/>
              </w:rPr>
              <w:t>1</w:t>
            </w:r>
            <w:r>
              <w:rPr>
                <w:rFonts w:hint="eastAsia" w:cs="Times New Roman" w:asciiTheme="minorEastAsia" w:hAnsiTheme="minorEastAsia"/>
                <w:color w:val="auto"/>
                <w:sz w:val="24"/>
              </w:rPr>
              <w:t>、最大水平飞行速度≥18m/s</w:t>
            </w:r>
          </w:p>
          <w:p w14:paraId="328480E1">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1</w:t>
            </w:r>
            <w:r>
              <w:rPr>
                <w:rFonts w:hint="eastAsia" w:eastAsia="宋体" w:cs="Times New Roman" w:asciiTheme="minorEastAsia" w:hAnsiTheme="minorEastAsia"/>
                <w:color w:val="auto"/>
                <w:sz w:val="24"/>
                <w:lang w:val="en-US" w:eastAsia="zh-CN"/>
              </w:rPr>
              <w:t>2</w:t>
            </w:r>
            <w:r>
              <w:rPr>
                <w:rFonts w:hint="eastAsia" w:cs="Times New Roman" w:asciiTheme="minorEastAsia" w:hAnsiTheme="minorEastAsia"/>
                <w:color w:val="auto"/>
                <w:sz w:val="24"/>
              </w:rPr>
              <w:t>、无人机可支持接入应急巡护系统</w:t>
            </w:r>
          </w:p>
          <w:p w14:paraId="52A4E2EF">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1</w:t>
            </w:r>
            <w:r>
              <w:rPr>
                <w:rFonts w:hint="eastAsia" w:eastAsia="宋体" w:cs="Times New Roman" w:asciiTheme="minorEastAsia" w:hAnsiTheme="minorEastAsia"/>
                <w:color w:val="auto"/>
                <w:sz w:val="24"/>
                <w:lang w:val="en-US" w:eastAsia="zh-CN"/>
              </w:rPr>
              <w:t>3</w:t>
            </w:r>
            <w:r>
              <w:rPr>
                <w:rFonts w:hint="eastAsia" w:cs="Times New Roman" w:asciiTheme="minorEastAsia" w:hAnsiTheme="minorEastAsia"/>
                <w:color w:val="auto"/>
                <w:sz w:val="24"/>
              </w:rPr>
              <w:t>、具有长焦可见光、中长焦可见光、广角可见光和红外热成像相机</w:t>
            </w:r>
          </w:p>
          <w:p w14:paraId="2FE81C52">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1</w:t>
            </w:r>
            <w:r>
              <w:rPr>
                <w:rFonts w:hint="eastAsia" w:eastAsia="宋体" w:cs="Times New Roman" w:asciiTheme="minorEastAsia" w:hAnsiTheme="minorEastAsia"/>
                <w:color w:val="auto"/>
                <w:sz w:val="24"/>
                <w:lang w:val="en-US" w:eastAsia="zh-CN"/>
              </w:rPr>
              <w:t>4</w:t>
            </w:r>
            <w:r>
              <w:rPr>
                <w:rFonts w:hint="eastAsia" w:cs="Times New Roman" w:asciiTheme="minorEastAsia" w:hAnsiTheme="minorEastAsia"/>
                <w:color w:val="auto"/>
                <w:sz w:val="24"/>
              </w:rPr>
              <w:t>、具备广角相机，有效像素不低于4800万</w:t>
            </w:r>
          </w:p>
          <w:p w14:paraId="31954923">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1</w:t>
            </w:r>
            <w:r>
              <w:rPr>
                <w:rFonts w:hint="eastAsia" w:eastAsia="宋体" w:cs="Times New Roman" w:asciiTheme="minorEastAsia" w:hAnsiTheme="minorEastAsia"/>
                <w:color w:val="auto"/>
                <w:sz w:val="24"/>
                <w:lang w:val="en-US" w:eastAsia="zh-CN"/>
              </w:rPr>
              <w:t>5</w:t>
            </w:r>
            <w:r>
              <w:rPr>
                <w:rFonts w:hint="eastAsia" w:cs="Times New Roman" w:asciiTheme="minorEastAsia" w:hAnsiTheme="minorEastAsia"/>
                <w:color w:val="auto"/>
                <w:sz w:val="24"/>
              </w:rPr>
              <w:t>、中长焦相机像素不低于4800万</w:t>
            </w:r>
          </w:p>
          <w:p w14:paraId="0E4443B0">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1</w:t>
            </w:r>
            <w:r>
              <w:rPr>
                <w:rFonts w:hint="eastAsia" w:eastAsia="宋体" w:cs="Times New Roman" w:asciiTheme="minorEastAsia" w:hAnsiTheme="minorEastAsia"/>
                <w:color w:val="auto"/>
                <w:sz w:val="24"/>
                <w:lang w:val="en-US" w:eastAsia="zh-CN"/>
              </w:rPr>
              <w:t>6</w:t>
            </w:r>
            <w:r>
              <w:rPr>
                <w:rFonts w:hint="eastAsia" w:cs="Times New Roman" w:asciiTheme="minorEastAsia" w:hAnsiTheme="minorEastAsia"/>
                <w:color w:val="auto"/>
                <w:sz w:val="24"/>
              </w:rPr>
              <w:t>、长焦相机像素不低于4800万</w:t>
            </w:r>
          </w:p>
          <w:p w14:paraId="1A99FC02">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17</w:t>
            </w:r>
            <w:r>
              <w:rPr>
                <w:rFonts w:hint="eastAsia" w:cs="Times New Roman" w:asciiTheme="minorEastAsia" w:hAnsiTheme="minorEastAsia"/>
                <w:color w:val="auto"/>
                <w:sz w:val="24"/>
              </w:rPr>
              <w:t>、可见光相机变焦倍数不低于112倍</w:t>
            </w:r>
          </w:p>
          <w:p w14:paraId="35592AD4">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18</w:t>
            </w:r>
            <w:r>
              <w:rPr>
                <w:rFonts w:hint="eastAsia" w:cs="Times New Roman" w:asciiTheme="minorEastAsia" w:hAnsiTheme="minorEastAsia"/>
                <w:color w:val="auto"/>
                <w:sz w:val="24"/>
              </w:rPr>
              <w:t>、红外热成像测温方式支持点测温和区域测温</w:t>
            </w:r>
          </w:p>
          <w:p w14:paraId="7F95B17D">
            <w:pPr>
              <w:widowControl w:val="0"/>
              <w:spacing w:line="560" w:lineRule="exact"/>
              <w:jc w:val="left"/>
              <w:rPr>
                <w:rFonts w:hint="eastAsia" w:cs="Times New Roman" w:asciiTheme="minorEastAsia" w:hAnsiTheme="minorEastAsia"/>
                <w:color w:val="auto"/>
                <w:sz w:val="24"/>
              </w:rPr>
            </w:pPr>
            <w:r>
              <w:rPr>
                <w:rFonts w:hint="eastAsia" w:eastAsia="宋体" w:cs="Times New Roman" w:asciiTheme="minorEastAsia" w:hAnsiTheme="minorEastAsia"/>
                <w:color w:val="auto"/>
                <w:sz w:val="24"/>
                <w:lang w:val="en-US" w:eastAsia="zh-CN"/>
              </w:rPr>
              <w:t>19</w:t>
            </w:r>
            <w:r>
              <w:rPr>
                <w:rFonts w:hint="eastAsia" w:cs="Times New Roman" w:asciiTheme="minorEastAsia" w:hAnsiTheme="minorEastAsia"/>
                <w:color w:val="auto"/>
                <w:sz w:val="24"/>
              </w:rPr>
              <w:t>、支持可见光与红外热成像联动变焦</w:t>
            </w:r>
          </w:p>
          <w:p w14:paraId="002F69BD">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2</w:t>
            </w:r>
            <w:r>
              <w:rPr>
                <w:rFonts w:hint="eastAsia" w:eastAsia="宋体" w:cs="Times New Roman" w:asciiTheme="minorEastAsia" w:hAnsiTheme="minorEastAsia"/>
                <w:color w:val="auto"/>
                <w:sz w:val="24"/>
                <w:lang w:val="en-US" w:eastAsia="zh-CN"/>
              </w:rPr>
              <w:t>0</w:t>
            </w:r>
            <w:r>
              <w:rPr>
                <w:rFonts w:hint="eastAsia" w:cs="Times New Roman" w:asciiTheme="minorEastAsia" w:hAnsiTheme="minorEastAsia"/>
                <w:color w:val="auto"/>
                <w:sz w:val="24"/>
              </w:rPr>
              <w:t>、激光测距模块最远正入射量程1800m</w:t>
            </w:r>
          </w:p>
          <w:p w14:paraId="19F53F9D">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2</w:t>
            </w:r>
            <w:r>
              <w:rPr>
                <w:rFonts w:hint="eastAsia" w:eastAsia="宋体" w:cs="Times New Roman" w:asciiTheme="minorEastAsia" w:hAnsiTheme="minorEastAsia"/>
                <w:color w:val="auto"/>
                <w:sz w:val="24"/>
                <w:lang w:val="en-US" w:eastAsia="zh-CN"/>
              </w:rPr>
              <w:t>1</w:t>
            </w:r>
            <w:r>
              <w:rPr>
                <w:rFonts w:hint="eastAsia" w:cs="Times New Roman" w:asciiTheme="minorEastAsia" w:hAnsiTheme="minorEastAsia"/>
                <w:color w:val="auto"/>
                <w:sz w:val="24"/>
              </w:rPr>
              <w:t>、支持近红外补光灯</w:t>
            </w:r>
          </w:p>
          <w:p w14:paraId="7AACD775">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二、遥控器</w:t>
            </w:r>
          </w:p>
          <w:p w14:paraId="36940371">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1、天线8天线，采用2发4收天线方案</w:t>
            </w:r>
          </w:p>
          <w:p w14:paraId="107C5B2B">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2、工作频段支持2.4G、5.8G图传</w:t>
            </w:r>
          </w:p>
          <w:p w14:paraId="3D81AFB0">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3、一体化设计具备遥控器和显示屏一体化设计</w:t>
            </w:r>
          </w:p>
          <w:p w14:paraId="4D4BF665">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4、显示器分辨率地面站显示器应采用触摸屏，屏幕显示分辨率≥1920*1080p</w:t>
            </w:r>
          </w:p>
          <w:p w14:paraId="084E92FD">
            <w:pPr>
              <w:widowControl w:val="0"/>
              <w:spacing w:line="560" w:lineRule="exact"/>
              <w:jc w:val="left"/>
              <w:rPr>
                <w:rFonts w:hint="eastAsia" w:cs="Times New Roman" w:asciiTheme="minorEastAsia" w:hAnsiTheme="minorEastAsia"/>
                <w:color w:val="auto"/>
                <w:sz w:val="24"/>
              </w:rPr>
            </w:pPr>
            <w:r>
              <w:rPr>
                <w:rFonts w:hint="eastAsia" w:cs="Times New Roman" w:asciiTheme="minorEastAsia" w:hAnsiTheme="minorEastAsia"/>
                <w:color w:val="auto"/>
                <w:sz w:val="24"/>
              </w:rPr>
              <w:t>3.其他要求</w:t>
            </w:r>
          </w:p>
          <w:p w14:paraId="07D2ED36">
            <w:pPr>
              <w:keepNext w:val="0"/>
              <w:keepLines w:val="0"/>
              <w:widowControl w:val="0"/>
              <w:numPr>
                <w:ilvl w:val="-1"/>
                <w:numId w:val="0"/>
              </w:numPr>
              <w:suppressLineNumbers w:val="0"/>
              <w:pBdr>
                <w:left w:val="none" w:color="auto" w:sz="0" w:space="0"/>
                <w:right w:val="none" w:color="auto" w:sz="0" w:space="0"/>
              </w:pBdr>
              <w:spacing w:before="0" w:beforeAutospacing="0" w:after="0" w:afterAutospacing="0" w:line="560" w:lineRule="exact"/>
              <w:ind w:left="0" w:firstLine="0"/>
              <w:jc w:val="left"/>
              <w:rPr>
                <w:rFonts w:hint="eastAsia" w:eastAsia="Arial" w:cs="Times New Roman" w:asciiTheme="minorEastAsia" w:hAnsiTheme="minorEastAsia"/>
                <w:color w:val="auto"/>
                <w:spacing w:val="0"/>
                <w:sz w:val="24"/>
              </w:rPr>
            </w:pPr>
            <w:r>
              <w:rPr>
                <w:rFonts w:hint="eastAsia" w:cs="Times New Roman" w:asciiTheme="minorEastAsia" w:hAnsiTheme="minorEastAsia"/>
                <w:color w:val="auto"/>
                <w:sz w:val="24"/>
              </w:rPr>
              <w:t>1、无人机需具备</w:t>
            </w:r>
            <w:r>
              <w:rPr>
                <w:rFonts w:hint="eastAsia" w:eastAsia="Arial" w:cs="Times New Roman" w:asciiTheme="minorEastAsia" w:hAnsiTheme="minorEastAsia"/>
                <w:color w:val="auto"/>
                <w:sz w:val="24"/>
                <w:lang w:eastAsia="zh-CN"/>
              </w:rPr>
              <w:t>三</w:t>
            </w:r>
            <w:r>
              <w:rPr>
                <w:rFonts w:hint="eastAsia" w:cs="Times New Roman" w:asciiTheme="minorEastAsia" w:hAnsiTheme="minorEastAsia"/>
                <w:color w:val="auto"/>
                <w:sz w:val="24"/>
              </w:rPr>
              <w:t>年保险、4块电池（自带一块、加配3块</w:t>
            </w:r>
            <w:r>
              <w:rPr>
                <w:rFonts w:hint="eastAsia" w:eastAsia="Arial" w:cs="Times New Roman" w:asciiTheme="minorEastAsia" w:hAnsiTheme="minorEastAsia"/>
                <w:color w:val="auto"/>
                <w:sz w:val="24"/>
                <w:lang w:eastAsia="zh-CN"/>
              </w:rPr>
              <w:t>（</w:t>
            </w:r>
            <w:r>
              <w:rPr>
                <w:rFonts w:hint="eastAsia" w:eastAsia="Arial" w:cs="Times New Roman" w:asciiTheme="minorEastAsia" w:hAnsiTheme="minorEastAsia"/>
                <w:i w:val="0"/>
                <w:iCs w:val="0"/>
                <w:caps w:val="0"/>
                <w:color w:val="auto"/>
                <w:spacing w:val="0"/>
                <w:sz w:val="24"/>
                <w:szCs w:val="21"/>
                <w:shd w:val="clear"/>
              </w:rPr>
              <w:t>必须为原装正品电池，需与现有设备完全兼容。</w:t>
            </w:r>
          </w:p>
          <w:p w14:paraId="22B855EA">
            <w:pPr>
              <w:widowControl w:val="0"/>
              <w:spacing w:line="560" w:lineRule="exact"/>
              <w:jc w:val="left"/>
              <w:rPr>
                <w:rFonts w:hint="eastAsia" w:asciiTheme="minorHAnsi" w:hAnsiTheme="minorHAnsi" w:eastAsiaTheme="minorEastAsia" w:cstheme="minorBidi"/>
                <w:color w:val="auto"/>
                <w:kern w:val="2"/>
                <w:sz w:val="21"/>
                <w:szCs w:val="24"/>
                <w:lang w:val="en-US" w:eastAsia="zh-CN" w:bidi="ar-SA"/>
              </w:rPr>
            </w:pPr>
            <w:r>
              <w:rPr>
                <w:rFonts w:hint="eastAsia" w:eastAsia="Arial" w:cs="Times New Roman" w:asciiTheme="minorEastAsia" w:hAnsiTheme="minorEastAsia"/>
                <w:i w:val="0"/>
                <w:iCs w:val="0"/>
                <w:caps w:val="0"/>
                <w:color w:val="auto"/>
                <w:spacing w:val="0"/>
                <w:sz w:val="24"/>
                <w:szCs w:val="21"/>
                <w:shd w:val="clear"/>
              </w:rPr>
              <w:t>规格一致性：加配电池必须与机身自带电池保持同型号、同容量、同规格，确保BMS系统正常识别及飞行安全。</w:t>
            </w:r>
            <w:r>
              <w:rPr>
                <w:rFonts w:hint="eastAsia" w:cs="Times New Roman" w:asciiTheme="minorEastAsia" w:hAnsiTheme="minorEastAsia"/>
                <w:color w:val="auto"/>
                <w:sz w:val="24"/>
              </w:rPr>
              <w:t>）、1个图传、1个喊话器。</w:t>
            </w:r>
          </w:p>
        </w:tc>
        <w:tc>
          <w:tcPr>
            <w:tcW w:w="426" w:type="dxa"/>
            <w:vAlign w:val="center"/>
          </w:tcPr>
          <w:p w14:paraId="4BF8AF2B">
            <w:pPr>
              <w:widowControl w:val="0"/>
              <w:spacing w:line="276" w:lineRule="auto"/>
              <w:jc w:val="center"/>
              <w:rPr>
                <w:rFonts w:hint="eastAsia" w:cs="宋体" w:asciiTheme="minorEastAsia" w:hAnsiTheme="minorEastAsia" w:eastAsiaTheme="minorEastAsia"/>
                <w:color w:val="auto"/>
                <w:sz w:val="24"/>
                <w:lang w:val="en-US" w:eastAsia="zh-CN"/>
              </w:rPr>
            </w:pPr>
            <w:r>
              <w:rPr>
                <w:rFonts w:hint="eastAsia" w:cs="宋体" w:asciiTheme="minorEastAsia" w:hAnsiTheme="minorEastAsia"/>
                <w:color w:val="auto"/>
                <w:sz w:val="24"/>
                <w:lang w:val="en-US" w:eastAsia="zh-CN"/>
              </w:rPr>
              <w:t>台</w:t>
            </w:r>
          </w:p>
        </w:tc>
        <w:tc>
          <w:tcPr>
            <w:tcW w:w="682" w:type="dxa"/>
            <w:vAlign w:val="center"/>
          </w:tcPr>
          <w:p w14:paraId="31A65AB3">
            <w:pPr>
              <w:widowControl w:val="0"/>
              <w:spacing w:line="276" w:lineRule="auto"/>
              <w:jc w:val="center"/>
              <w:rPr>
                <w:rFonts w:hint="eastAsia" w:asciiTheme="minorEastAsia" w:hAnsiTheme="minorEastAsia" w:eastAsiaTheme="minorEastAsia" w:cstheme="majorEastAsia"/>
                <w:color w:val="auto"/>
                <w:sz w:val="24"/>
                <w:lang w:eastAsia="zh-CN"/>
              </w:rPr>
            </w:pPr>
            <w:r>
              <w:rPr>
                <w:rFonts w:hint="eastAsia" w:asciiTheme="minorEastAsia" w:hAnsiTheme="minorEastAsia" w:cstheme="majorEastAsia"/>
                <w:color w:val="auto"/>
                <w:sz w:val="24"/>
                <w:lang w:val="en-US" w:eastAsia="zh-CN"/>
              </w:rPr>
              <w:t>1</w:t>
            </w:r>
          </w:p>
        </w:tc>
      </w:tr>
      <w:tr w14:paraId="6CA31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750" w:type="dxa"/>
            <w:shd w:val="clear" w:color="auto" w:fill="auto"/>
            <w:vAlign w:val="center"/>
          </w:tcPr>
          <w:p w14:paraId="5D56C3FD">
            <w:pPr>
              <w:widowControl w:val="0"/>
              <w:spacing w:line="276" w:lineRule="auto"/>
              <w:jc w:val="center"/>
              <w:rPr>
                <w:rFonts w:hint="eastAsia" w:cs="宋体" w:asciiTheme="minorEastAsia" w:hAnsiTheme="minorEastAsia" w:eastAsiaTheme="minorEastAsia"/>
                <w:color w:val="auto"/>
                <w:kern w:val="2"/>
                <w:sz w:val="24"/>
                <w:szCs w:val="24"/>
                <w:lang w:val="en-US" w:eastAsia="zh-CN" w:bidi="ar-SA"/>
              </w:rPr>
            </w:pPr>
            <w:r>
              <w:rPr>
                <w:rFonts w:hint="eastAsia" w:asciiTheme="minorEastAsia" w:hAnsiTheme="minorEastAsia"/>
                <w:color w:val="auto"/>
                <w:sz w:val="24"/>
              </w:rPr>
              <w:t>1</w:t>
            </w:r>
            <w:r>
              <w:rPr>
                <w:rFonts w:hint="eastAsia" w:asciiTheme="minorEastAsia" w:hAnsiTheme="minorEastAsia"/>
                <w:color w:val="auto"/>
                <w:sz w:val="24"/>
                <w:lang w:val="en-US" w:eastAsia="zh-CN"/>
              </w:rPr>
              <w:t>1</w:t>
            </w:r>
          </w:p>
        </w:tc>
        <w:tc>
          <w:tcPr>
            <w:tcW w:w="849" w:type="dxa"/>
            <w:shd w:val="clear" w:color="auto" w:fill="auto"/>
            <w:vAlign w:val="center"/>
          </w:tcPr>
          <w:p w14:paraId="2D5CB6DB">
            <w:pPr>
              <w:widowControl w:val="0"/>
              <w:spacing w:line="276" w:lineRule="auto"/>
              <w:jc w:val="center"/>
              <w:rPr>
                <w:rFonts w:hint="eastAsia" w:cs="宋体" w:asciiTheme="minorEastAsia" w:hAnsiTheme="minorEastAsia" w:eastAsiaTheme="minorEastAsia"/>
                <w:color w:val="auto"/>
                <w:kern w:val="2"/>
                <w:sz w:val="24"/>
                <w:szCs w:val="24"/>
                <w:lang w:val="en-US" w:eastAsia="zh-CN" w:bidi="ar-SA"/>
              </w:rPr>
            </w:pPr>
            <w:r>
              <w:rPr>
                <w:rFonts w:hint="eastAsia" w:eastAsia="宋体" w:asciiTheme="minorEastAsia" w:hAnsiTheme="minorEastAsia"/>
                <w:color w:val="auto"/>
                <w:sz w:val="24"/>
                <w:lang w:eastAsia="zh-CN"/>
              </w:rPr>
              <w:t>运维</w:t>
            </w:r>
            <w:r>
              <w:rPr>
                <w:rFonts w:hint="eastAsia" w:asciiTheme="minorEastAsia" w:hAnsiTheme="minorEastAsia"/>
                <w:color w:val="auto"/>
                <w:sz w:val="24"/>
              </w:rPr>
              <w:t>服务</w:t>
            </w:r>
          </w:p>
        </w:tc>
        <w:tc>
          <w:tcPr>
            <w:tcW w:w="6804" w:type="dxa"/>
            <w:shd w:val="clear" w:color="auto" w:fill="auto"/>
            <w:vAlign w:val="center"/>
          </w:tcPr>
          <w:p w14:paraId="630D2CC0">
            <w:pPr>
              <w:widowControl w:val="0"/>
              <w:spacing w:line="560" w:lineRule="exact"/>
              <w:jc w:val="left"/>
              <w:rPr>
                <w:rFonts w:hint="eastAsia" w:eastAsia="宋体" w:cs="Times New Roman" w:asciiTheme="minorEastAsia" w:hAnsiTheme="minorEastAsia"/>
                <w:color w:val="auto"/>
                <w:kern w:val="2"/>
                <w:sz w:val="24"/>
                <w:szCs w:val="24"/>
                <w:lang w:val="en-US" w:eastAsia="zh-CN" w:bidi="ar-SA"/>
              </w:rPr>
            </w:pPr>
            <w:r>
              <w:rPr>
                <w:rFonts w:hint="eastAsia" w:cs="Times New Roman" w:asciiTheme="minorEastAsia" w:hAnsiTheme="minorEastAsia"/>
                <w:color w:val="auto"/>
                <w:sz w:val="24"/>
              </w:rPr>
              <w:t>在三年服务周期内，中标方应对仪器进行日常保养和维修，检查仪器运行状态，并为用户免费更换易损易耗等部件。工程师由经验丰富、技术水平高、具有化学专业背景的专职技术人员担任。技术人员负责仪器日常巡检、维护及保养、仪器校准、故障检修、仪器分析</w:t>
            </w:r>
            <w:r>
              <w:rPr>
                <w:rFonts w:hint="eastAsia" w:eastAsia="宋体" w:cs="Times New Roman" w:asciiTheme="minorEastAsia" w:hAnsiTheme="minorEastAsia"/>
                <w:color w:val="auto"/>
                <w:sz w:val="24"/>
                <w:lang w:eastAsia="zh-CN"/>
              </w:rPr>
              <w:t>及</w:t>
            </w:r>
            <w:r>
              <w:rPr>
                <w:rFonts w:hint="eastAsia" w:cs="Times New Roman" w:asciiTheme="minorEastAsia" w:hAnsiTheme="minorEastAsia"/>
                <w:color w:val="auto"/>
                <w:sz w:val="24"/>
              </w:rPr>
              <w:t>报告编制等工作</w:t>
            </w:r>
            <w:r>
              <w:rPr>
                <w:rFonts w:hint="eastAsia" w:eastAsia="宋体" w:cs="Times New Roman" w:asciiTheme="minorEastAsia" w:hAnsiTheme="minorEastAsia"/>
                <w:color w:val="auto"/>
                <w:sz w:val="24"/>
                <w:lang w:eastAsia="zh-CN"/>
              </w:rPr>
              <w:t>（以上工作费用包含在本次报价里）</w:t>
            </w:r>
            <w:r>
              <w:rPr>
                <w:rFonts w:hint="eastAsia" w:cs="Times New Roman" w:asciiTheme="minorEastAsia" w:hAnsiTheme="minorEastAsia"/>
                <w:color w:val="auto"/>
                <w:sz w:val="24"/>
              </w:rPr>
              <w:t>，确保仪器设备些的正常运行，数据质量稳定可靠</w:t>
            </w:r>
            <w:r>
              <w:rPr>
                <w:rFonts w:hint="eastAsia" w:cs="Times New Roman" w:asciiTheme="minorEastAsia" w:hAnsiTheme="minorEastAsia"/>
                <w:color w:val="auto"/>
                <w:sz w:val="24"/>
                <w:lang w:eastAsia="zh-CN"/>
              </w:rPr>
              <w:t>。同时中标方安排熟悉大气走航车及设备使用的技术人员驻点一年。</w:t>
            </w:r>
          </w:p>
        </w:tc>
        <w:tc>
          <w:tcPr>
            <w:tcW w:w="426" w:type="dxa"/>
            <w:shd w:val="clear" w:color="auto" w:fill="auto"/>
            <w:vAlign w:val="center"/>
          </w:tcPr>
          <w:p w14:paraId="2150E644">
            <w:pPr>
              <w:widowControl w:val="0"/>
              <w:spacing w:line="276" w:lineRule="auto"/>
              <w:jc w:val="center"/>
              <w:rPr>
                <w:rFonts w:hint="eastAsia" w:cs="宋体" w:asciiTheme="minorEastAsia" w:hAnsiTheme="minorEastAsia" w:eastAsiaTheme="minorEastAsia"/>
                <w:color w:val="auto"/>
                <w:kern w:val="2"/>
                <w:sz w:val="24"/>
                <w:szCs w:val="24"/>
                <w:lang w:val="en-US" w:eastAsia="zh-CN" w:bidi="ar-SA"/>
              </w:rPr>
            </w:pPr>
            <w:r>
              <w:rPr>
                <w:rFonts w:hint="eastAsia" w:asciiTheme="minorEastAsia" w:hAnsiTheme="minorEastAsia"/>
                <w:color w:val="auto"/>
                <w:sz w:val="24"/>
              </w:rPr>
              <w:t>年</w:t>
            </w:r>
          </w:p>
        </w:tc>
        <w:tc>
          <w:tcPr>
            <w:tcW w:w="682" w:type="dxa"/>
            <w:shd w:val="clear" w:color="auto" w:fill="auto"/>
            <w:vAlign w:val="center"/>
          </w:tcPr>
          <w:p w14:paraId="368ED67B">
            <w:pPr>
              <w:widowControl w:val="0"/>
              <w:spacing w:line="276" w:lineRule="auto"/>
              <w:jc w:val="center"/>
              <w:rPr>
                <w:rFonts w:hint="eastAsia" w:asciiTheme="minorEastAsia" w:hAnsiTheme="minorEastAsia" w:eastAsiaTheme="minorEastAsia" w:cstheme="majorEastAsia"/>
                <w:color w:val="auto"/>
                <w:kern w:val="2"/>
                <w:sz w:val="24"/>
                <w:szCs w:val="24"/>
                <w:lang w:val="en-US" w:eastAsia="zh-CN" w:bidi="ar-SA"/>
              </w:rPr>
            </w:pPr>
            <w:r>
              <w:rPr>
                <w:rFonts w:hint="eastAsia" w:asciiTheme="minorEastAsia" w:hAnsiTheme="minorEastAsia" w:eastAsiaTheme="minorEastAsia" w:cstheme="majorEastAsia"/>
                <w:color w:val="auto"/>
                <w:sz w:val="24"/>
                <w:lang w:val="en-US" w:eastAsia="zh-CN"/>
              </w:rPr>
              <w:t>3</w:t>
            </w:r>
          </w:p>
        </w:tc>
      </w:tr>
    </w:tbl>
    <w:p w14:paraId="22A03CF6">
      <w:pPr>
        <w:rPr>
          <w:color w:val="auto"/>
        </w:rPr>
      </w:pPr>
    </w:p>
    <w:p w14:paraId="7C44ED1D">
      <w:pPr>
        <w:pageBreakBefore w:val="0"/>
        <w:widowControl w:val="0"/>
        <w:wordWrap/>
        <w:overflowPunct/>
        <w:topLinePunct w:val="0"/>
        <w:bidi w:val="0"/>
        <w:spacing w:before="78" w:line="220" w:lineRule="auto"/>
        <w:jc w:val="center"/>
        <w:outlineLvl w:val="1"/>
        <w:rPr>
          <w:color w:val="auto"/>
          <w:sz w:val="32"/>
          <w:szCs w:val="40"/>
        </w:rPr>
      </w:pPr>
      <w:r>
        <w:rPr>
          <w:rFonts w:ascii="仿宋" w:hAnsi="仿宋" w:eastAsia="仿宋" w:cs="仿宋"/>
          <w:b/>
          <w:color w:val="auto"/>
          <w:sz w:val="24"/>
        </w:rPr>
        <w:br w:type="page"/>
      </w:r>
      <w:bookmarkStart w:id="11" w:name="_Toc5831"/>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（二）</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商务要求</w:t>
      </w:r>
      <w:bookmarkEnd w:id="11"/>
    </w:p>
    <w:p w14:paraId="1CB6E400">
      <w:pPr>
        <w:pStyle w:val="2"/>
        <w:spacing w:before="158" w:line="224" w:lineRule="auto"/>
        <w:ind w:left="17"/>
        <w:rPr>
          <w:color w:val="auto"/>
        </w:rPr>
      </w:pPr>
      <w:r>
        <w:rPr>
          <w:b/>
          <w:bCs/>
          <w:color w:val="auto"/>
          <w:spacing w:val="-7"/>
        </w:rPr>
        <w:t>1、交货地点：</w:t>
      </w:r>
    </w:p>
    <w:p w14:paraId="60703976">
      <w:pPr>
        <w:pStyle w:val="2"/>
        <w:spacing w:before="153" w:line="222" w:lineRule="auto"/>
        <w:ind w:left="8"/>
        <w:rPr>
          <w:color w:val="auto"/>
        </w:rPr>
      </w:pPr>
      <w:r>
        <w:rPr>
          <w:color w:val="auto"/>
          <w:spacing w:val="-7"/>
        </w:rPr>
        <w:t>采购人指定地点。</w:t>
      </w:r>
    </w:p>
    <w:p w14:paraId="7E863703">
      <w:pPr>
        <w:pStyle w:val="2"/>
        <w:spacing w:before="154" w:line="223" w:lineRule="auto"/>
        <w:ind w:left="1"/>
        <w:rPr>
          <w:color w:val="auto"/>
        </w:rPr>
      </w:pPr>
      <w:r>
        <w:rPr>
          <w:b/>
          <w:bCs/>
          <w:color w:val="auto"/>
          <w:spacing w:val="-4"/>
        </w:rPr>
        <w:t>2、交货时间：</w:t>
      </w:r>
    </w:p>
    <w:p w14:paraId="7FD1D877">
      <w:pPr>
        <w:pStyle w:val="2"/>
        <w:spacing w:before="154" w:line="220" w:lineRule="auto"/>
        <w:ind w:left="56"/>
        <w:rPr>
          <w:color w:val="0000FF"/>
        </w:rPr>
      </w:pPr>
      <w:r>
        <w:rPr>
          <w:color w:val="0000FF"/>
          <w:spacing w:val="-4"/>
        </w:rPr>
        <w:t>自合同签订生效后</w:t>
      </w:r>
      <w:r>
        <w:rPr>
          <w:color w:val="0000FF"/>
          <w:spacing w:val="-43"/>
        </w:rPr>
        <w:t xml:space="preserve"> </w:t>
      </w:r>
      <w:r>
        <w:rPr>
          <w:color w:val="0000FF"/>
          <w:spacing w:val="-4"/>
        </w:rPr>
        <w:t>90</w:t>
      </w:r>
      <w:r>
        <w:rPr>
          <w:color w:val="0000FF"/>
          <w:spacing w:val="-49"/>
        </w:rPr>
        <w:t xml:space="preserve"> </w:t>
      </w:r>
      <w:r>
        <w:rPr>
          <w:color w:val="0000FF"/>
          <w:spacing w:val="-4"/>
        </w:rPr>
        <w:t>个日历日内完成所有设备交货并验收合格</w:t>
      </w:r>
    </w:p>
    <w:p w14:paraId="35E71AA6">
      <w:pPr>
        <w:pStyle w:val="2"/>
        <w:spacing w:before="158" w:line="223" w:lineRule="auto"/>
        <w:ind w:left="3"/>
        <w:rPr>
          <w:color w:val="auto"/>
        </w:rPr>
      </w:pPr>
      <w:r>
        <w:rPr>
          <w:b/>
          <w:bCs/>
          <w:color w:val="auto"/>
          <w:spacing w:val="-7"/>
        </w:rPr>
        <w:t>3、验收</w:t>
      </w:r>
    </w:p>
    <w:p w14:paraId="4360F8AD">
      <w:pPr>
        <w:pStyle w:val="2"/>
        <w:spacing w:before="154" w:line="328" w:lineRule="auto"/>
        <w:ind w:left="8" w:right="79" w:hanging="5"/>
        <w:rPr>
          <w:color w:val="auto"/>
        </w:rPr>
      </w:pPr>
      <w:r>
        <w:rPr>
          <w:color w:val="auto"/>
        </w:rPr>
        <w:t>3.1</w:t>
      </w:r>
      <w:r>
        <w:rPr>
          <w:color w:val="auto"/>
          <w:spacing w:val="-46"/>
        </w:rPr>
        <w:t xml:space="preserve"> </w:t>
      </w:r>
      <w:r>
        <w:rPr>
          <w:color w:val="auto"/>
        </w:rPr>
        <w:t>采购人应当在收到中标人项目验收建议书之日起</w:t>
      </w:r>
      <w:r>
        <w:rPr>
          <w:color w:val="auto"/>
          <w:spacing w:val="-49"/>
        </w:rPr>
        <w:t xml:space="preserve"> </w:t>
      </w:r>
      <w:r>
        <w:rPr>
          <w:color w:val="auto"/>
        </w:rPr>
        <w:t>7</w:t>
      </w:r>
      <w:r>
        <w:rPr>
          <w:color w:val="auto"/>
          <w:spacing w:val="-47"/>
        </w:rPr>
        <w:t xml:space="preserve"> </w:t>
      </w:r>
      <w:r>
        <w:rPr>
          <w:color w:val="auto"/>
        </w:rPr>
        <w:t>个工</w:t>
      </w:r>
      <w:r>
        <w:rPr>
          <w:color w:val="auto"/>
          <w:spacing w:val="-1"/>
        </w:rPr>
        <w:t>作日内按照合同的约定</w:t>
      </w:r>
      <w:r>
        <w:rPr>
          <w:color w:val="auto"/>
          <w:spacing w:val="-2"/>
        </w:rPr>
        <w:t>对履约情况进行验收，对每一项技术、服务、安全标准</w:t>
      </w:r>
      <w:r>
        <w:rPr>
          <w:color w:val="auto"/>
          <w:spacing w:val="-3"/>
        </w:rPr>
        <w:t>的履约情况进行确认；</w:t>
      </w:r>
    </w:p>
    <w:p w14:paraId="424B9BCB">
      <w:pPr>
        <w:pStyle w:val="2"/>
        <w:spacing w:line="328" w:lineRule="auto"/>
        <w:ind w:left="16" w:right="79" w:hanging="13"/>
        <w:rPr>
          <w:color w:val="auto"/>
        </w:rPr>
      </w:pPr>
      <w:r>
        <w:rPr>
          <w:color w:val="auto"/>
          <w:spacing w:val="-5"/>
        </w:rPr>
        <w:t>3.2 中标人验收前应对服务内容全面检查，应整理列出</w:t>
      </w:r>
      <w:r>
        <w:rPr>
          <w:color w:val="auto"/>
          <w:spacing w:val="-6"/>
        </w:rPr>
        <w:t>服务清单</w:t>
      </w:r>
      <w:r>
        <w:rPr>
          <w:color w:val="auto"/>
          <w:spacing w:val="-78"/>
        </w:rPr>
        <w:t xml:space="preserve"> </w:t>
      </w:r>
      <w:r>
        <w:rPr>
          <w:color w:val="auto"/>
          <w:spacing w:val="-6"/>
        </w:rPr>
        <w:t>(服务清单的内容应</w:t>
      </w:r>
      <w:r>
        <w:rPr>
          <w:color w:val="auto"/>
          <w:spacing w:val="-4"/>
        </w:rPr>
        <w:t>与响应文件中一致)交采购人，作为采购人验收的依据；</w:t>
      </w:r>
    </w:p>
    <w:p w14:paraId="5CDA63E8">
      <w:pPr>
        <w:pStyle w:val="2"/>
        <w:spacing w:before="1" w:line="328" w:lineRule="auto"/>
        <w:ind w:left="5" w:right="79" w:hanging="2"/>
        <w:rPr>
          <w:color w:val="auto"/>
        </w:rPr>
      </w:pPr>
      <w:r>
        <w:rPr>
          <w:color w:val="auto"/>
          <w:spacing w:val="1"/>
        </w:rPr>
        <w:t>3.3</w:t>
      </w:r>
      <w:r>
        <w:rPr>
          <w:color w:val="auto"/>
          <w:spacing w:val="-46"/>
        </w:rPr>
        <w:t xml:space="preserve"> </w:t>
      </w:r>
      <w:r>
        <w:rPr>
          <w:color w:val="auto"/>
          <w:spacing w:val="1"/>
        </w:rPr>
        <w:t>采购人对中标人所提供的服务清单依照采购文件、响应文件</w:t>
      </w:r>
      <w:r>
        <w:rPr>
          <w:color w:val="auto"/>
        </w:rPr>
        <w:t>上的要求。涉及中</w:t>
      </w:r>
      <w:r>
        <w:rPr>
          <w:color w:val="auto"/>
          <w:spacing w:val="-4"/>
        </w:rPr>
        <w:t>标人向第三方采购商品类实物的，应按国家有关质量标准进行现场验收</w:t>
      </w:r>
      <w:r>
        <w:rPr>
          <w:color w:val="auto"/>
          <w:spacing w:val="-5"/>
        </w:rPr>
        <w:t>,达到要求的</w:t>
      </w:r>
      <w:r>
        <w:rPr>
          <w:color w:val="auto"/>
          <w:spacing w:val="-3"/>
        </w:rPr>
        <w:t>给予签收。验收不合格的不予签收，后果由中标人负责；</w:t>
      </w:r>
    </w:p>
    <w:p w14:paraId="569BFC63">
      <w:pPr>
        <w:pStyle w:val="2"/>
        <w:spacing w:before="2" w:line="328" w:lineRule="auto"/>
        <w:ind w:left="7" w:right="79" w:hanging="4"/>
        <w:rPr>
          <w:color w:val="auto"/>
        </w:rPr>
      </w:pPr>
      <w:r>
        <w:rPr>
          <w:color w:val="auto"/>
          <w:spacing w:val="1"/>
        </w:rPr>
        <w:t>3.4</w:t>
      </w:r>
      <w:r>
        <w:rPr>
          <w:color w:val="auto"/>
          <w:spacing w:val="-46"/>
        </w:rPr>
        <w:t xml:space="preserve"> </w:t>
      </w:r>
      <w:r>
        <w:rPr>
          <w:color w:val="auto"/>
          <w:spacing w:val="1"/>
        </w:rPr>
        <w:t>采购人应组织专业人士在现场验收，验收产生的费用（包括</w:t>
      </w:r>
      <w:r>
        <w:rPr>
          <w:color w:val="auto"/>
        </w:rPr>
        <w:t>但不限于聘请专业</w:t>
      </w:r>
      <w:r>
        <w:rPr>
          <w:color w:val="auto"/>
          <w:spacing w:val="-1"/>
        </w:rPr>
        <w:t>人士花费的费用）由中标人承担，验收时中标人必须在场。采购人根据其验收情况作出验收结果报告，中标人必须予以配合。如经采购人书面通知中标人到场中标人</w:t>
      </w:r>
      <w:r>
        <w:rPr>
          <w:color w:val="auto"/>
          <w:spacing w:val="-3"/>
        </w:rPr>
        <w:t>仍不到场的，视为中标人认可采购人的验收结</w:t>
      </w:r>
      <w:r>
        <w:rPr>
          <w:color w:val="auto"/>
          <w:spacing w:val="-4"/>
        </w:rPr>
        <w:t>果报告；</w:t>
      </w:r>
    </w:p>
    <w:p w14:paraId="296DE005">
      <w:pPr>
        <w:pStyle w:val="2"/>
        <w:spacing w:line="328" w:lineRule="auto"/>
        <w:ind w:left="9" w:right="79" w:hanging="6"/>
        <w:rPr>
          <w:color w:val="auto"/>
        </w:rPr>
      </w:pPr>
      <w:r>
        <w:rPr>
          <w:color w:val="auto"/>
          <w:spacing w:val="-1"/>
        </w:rPr>
        <w:t>3.5</w:t>
      </w:r>
      <w:r>
        <w:rPr>
          <w:color w:val="auto"/>
          <w:spacing w:val="-36"/>
        </w:rPr>
        <w:t xml:space="preserve"> </w:t>
      </w:r>
      <w:r>
        <w:rPr>
          <w:color w:val="auto"/>
          <w:spacing w:val="-1"/>
        </w:rPr>
        <w:t>在验收过程中发现有质量、技术等问题，</w:t>
      </w:r>
      <w:r>
        <w:rPr>
          <w:color w:val="auto"/>
          <w:spacing w:val="-79"/>
        </w:rPr>
        <w:t xml:space="preserve"> </w:t>
      </w:r>
      <w:r>
        <w:rPr>
          <w:color w:val="auto"/>
          <w:spacing w:val="-1"/>
        </w:rPr>
        <w:t>中标人应负责按照采购人的要求采取</w:t>
      </w:r>
      <w:r>
        <w:rPr>
          <w:color w:val="auto"/>
          <w:spacing w:val="-2"/>
        </w:rPr>
        <w:t>更换或退货等措施妥善处理，并承担由此发生的一切费用和损失。</w:t>
      </w:r>
    </w:p>
    <w:p w14:paraId="14D88566">
      <w:pPr>
        <w:pStyle w:val="2"/>
        <w:spacing w:before="16" w:line="342" w:lineRule="auto"/>
        <w:ind w:left="5" w:right="79" w:hanging="2"/>
        <w:rPr>
          <w:color w:val="auto"/>
        </w:rPr>
      </w:pPr>
      <w:r>
        <w:rPr>
          <w:rFonts w:hint="default"/>
          <w:b/>
          <w:bCs/>
          <w:color w:val="auto"/>
          <w:spacing w:val="-1"/>
          <w:lang w:val="en-US" w:eastAsia="zh-CN"/>
        </w:rPr>
        <w:t>4</w:t>
      </w:r>
      <w:r>
        <w:rPr>
          <w:b/>
          <w:bCs/>
          <w:color w:val="auto"/>
          <w:spacing w:val="-1"/>
        </w:rPr>
        <w:t>、履约保证金</w:t>
      </w:r>
      <w:r>
        <w:rPr>
          <w:color w:val="auto"/>
          <w:spacing w:val="-1"/>
        </w:rPr>
        <w:t>：本采购项目履约保证金为合同金额的</w:t>
      </w:r>
      <w:r>
        <w:rPr>
          <w:b/>
          <w:bCs/>
          <w:color w:val="auto"/>
          <w:spacing w:val="-1"/>
        </w:rPr>
        <w:t xml:space="preserve"> </w:t>
      </w:r>
      <w:r>
        <w:rPr>
          <w:b/>
          <w:bCs/>
          <w:color w:val="auto"/>
          <w:spacing w:val="-1"/>
          <w:u w:val="single" w:color="auto"/>
        </w:rPr>
        <w:t xml:space="preserve"> 3 </w:t>
      </w:r>
      <w:r>
        <w:rPr>
          <w:b/>
          <w:bCs/>
          <w:color w:val="auto"/>
          <w:spacing w:val="-1"/>
        </w:rPr>
        <w:t>%</w:t>
      </w:r>
      <w:r>
        <w:rPr>
          <w:b/>
          <w:bCs/>
          <w:color w:val="auto"/>
          <w:spacing w:val="-2"/>
        </w:rPr>
        <w:t>，</w:t>
      </w:r>
      <w:r>
        <w:rPr>
          <w:color w:val="auto"/>
          <w:spacing w:val="-2"/>
        </w:rPr>
        <w:t>提交方式应当采用支</w:t>
      </w:r>
      <w:r>
        <w:rPr>
          <w:color w:val="auto"/>
          <w:spacing w:val="-1"/>
        </w:rPr>
        <w:t>票、汇票、本票、网上银行支付或者金融机构、担保机构出具的见索即付保函等非</w:t>
      </w:r>
      <w:r>
        <w:rPr>
          <w:color w:val="auto"/>
          <w:spacing w:val="-3"/>
        </w:rPr>
        <w:t>现金形式交纳。项目免费质量保证期到期后</w:t>
      </w:r>
      <w:r>
        <w:rPr>
          <w:color w:val="auto"/>
          <w:spacing w:val="-52"/>
        </w:rPr>
        <w:t xml:space="preserve"> </w:t>
      </w:r>
      <w:r>
        <w:rPr>
          <w:color w:val="0000FF"/>
          <w:spacing w:val="-3"/>
          <w:u w:val="single" w:color="auto"/>
        </w:rPr>
        <w:t>30</w:t>
      </w:r>
      <w:r>
        <w:rPr>
          <w:color w:val="0000FF"/>
          <w:spacing w:val="-48"/>
          <w:u w:val="single" w:color="auto"/>
        </w:rPr>
        <w:t xml:space="preserve"> </w:t>
      </w:r>
      <w:r>
        <w:rPr>
          <w:color w:val="auto"/>
          <w:spacing w:val="-3"/>
        </w:rPr>
        <w:t>天内退还。</w:t>
      </w:r>
    </w:p>
    <w:p w14:paraId="7E0FC628">
      <w:pPr>
        <w:pStyle w:val="2"/>
        <w:spacing w:before="1" w:line="336" w:lineRule="auto"/>
        <w:ind w:left="14" w:hanging="11"/>
        <w:rPr>
          <w:rFonts w:hint="eastAsia"/>
          <w:b/>
          <w:bCs/>
          <w:color w:val="auto"/>
          <w:spacing w:val="-5"/>
        </w:rPr>
      </w:pPr>
      <w:r>
        <w:rPr>
          <w:b/>
          <w:bCs/>
          <w:color w:val="auto"/>
          <w:spacing w:val="-5"/>
        </w:rPr>
        <w:t>5、付款方式</w:t>
      </w:r>
      <w:r>
        <w:rPr>
          <w:color w:val="auto"/>
          <w:spacing w:val="-5"/>
        </w:rPr>
        <w:t>：</w:t>
      </w:r>
    </w:p>
    <w:p w14:paraId="671EC710">
      <w:pPr>
        <w:pStyle w:val="2"/>
        <w:spacing w:before="1" w:line="336" w:lineRule="auto"/>
        <w:ind w:left="298" w:leftChars="142" w:firstLine="565" w:firstLineChars="194"/>
        <w:rPr>
          <w:rFonts w:hint="eastAsia"/>
          <w:b/>
          <w:bCs/>
          <w:color w:val="auto"/>
          <w:spacing w:val="-5"/>
        </w:rPr>
      </w:pPr>
      <w:r>
        <w:rPr>
          <w:rFonts w:hint="eastAsia"/>
          <w:b/>
          <w:bCs/>
          <w:color w:val="auto"/>
          <w:spacing w:val="-5"/>
        </w:rPr>
        <w:t>合同签订后，中标单位在规定期限内货到安装、调试、培训、验收合格后支付至合同金额的70%，余下30%以验收日期为准，每年10%分三年按考核付清。若当期考核评分达到 90分及以上，甲方于验收合格并收到发票后</w:t>
      </w:r>
      <w:r>
        <w:rPr>
          <w:rFonts w:hint="eastAsia"/>
          <w:b/>
          <w:bCs/>
          <w:color w:val="auto"/>
          <w:spacing w:val="-5"/>
          <w:lang w:val="en-US" w:eastAsia="zh-CN"/>
        </w:rPr>
        <w:t>15</w:t>
      </w:r>
      <w:r>
        <w:rPr>
          <w:rFonts w:hint="eastAsia"/>
          <w:b/>
          <w:bCs/>
          <w:color w:val="auto"/>
          <w:spacing w:val="-5"/>
        </w:rPr>
        <w:t>日内支付10%；若评分未达标，甲方有权暂缓支付并要求乙方限期整改，直至达标后再行支付。</w:t>
      </w:r>
    </w:p>
    <w:p w14:paraId="3F91DA23">
      <w:pPr>
        <w:pStyle w:val="2"/>
        <w:spacing w:before="1" w:line="220" w:lineRule="auto"/>
        <w:rPr>
          <w:color w:val="auto"/>
        </w:rPr>
      </w:pPr>
      <w:r>
        <w:rPr>
          <w:b/>
          <w:bCs/>
          <w:color w:val="auto"/>
          <w:spacing w:val="-4"/>
        </w:rPr>
        <w:t>6、售后服务：</w:t>
      </w:r>
    </w:p>
    <w:p w14:paraId="20315FA7">
      <w:pPr>
        <w:pStyle w:val="2"/>
        <w:spacing w:before="16" w:line="342" w:lineRule="auto"/>
        <w:ind w:left="5" w:right="79" w:hanging="2"/>
        <w:rPr>
          <w:b w:val="0"/>
          <w:bCs w:val="0"/>
          <w:color w:val="auto"/>
          <w:spacing w:val="-3"/>
        </w:rPr>
      </w:pPr>
      <w:r>
        <w:rPr>
          <w:rFonts w:ascii="仿宋" w:hAnsi="仿宋" w:eastAsia="仿宋" w:cs="仿宋"/>
          <w:b w:val="0"/>
          <w:bCs w:val="0"/>
          <w:snapToGrid w:val="0"/>
          <w:color w:val="auto"/>
          <w:spacing w:val="-3"/>
          <w:kern w:val="0"/>
          <w:sz w:val="30"/>
          <w:szCs w:val="30"/>
          <w:lang w:val="en-US" w:eastAsia="zh-CN" w:bidi="ar"/>
        </w:rPr>
        <w:t>（1）安装和调试：中标人负责派厂家技术人员到现场进行免费安装调试，直至验收</w:t>
      </w:r>
      <w:r>
        <w:rPr>
          <w:rFonts w:hint="default" w:ascii="仿宋" w:hAnsi="仿宋" w:eastAsia="仿宋" w:cs="仿宋"/>
          <w:b w:val="0"/>
          <w:bCs w:val="0"/>
          <w:snapToGrid w:val="0"/>
          <w:color w:val="auto"/>
          <w:spacing w:val="-3"/>
          <w:kern w:val="0"/>
          <w:sz w:val="30"/>
          <w:szCs w:val="30"/>
          <w:lang w:val="en-US" w:eastAsia="zh-CN" w:bidi="ar"/>
        </w:rPr>
        <w:t xml:space="preserve">合格；中标人应在设备运抵现场一周前，向采购人提供设备安装调试及运行的进度计划表。 </w:t>
      </w:r>
    </w:p>
    <w:p w14:paraId="53CB2422">
      <w:pPr>
        <w:pStyle w:val="2"/>
        <w:spacing w:before="16" w:line="342" w:lineRule="auto"/>
        <w:ind w:left="5" w:right="79" w:hanging="2"/>
        <w:rPr>
          <w:b w:val="0"/>
          <w:bCs w:val="0"/>
          <w:color w:val="auto"/>
          <w:spacing w:val="-3"/>
        </w:rPr>
      </w:pPr>
      <w:r>
        <w:rPr>
          <w:rFonts w:hint="default" w:ascii="仿宋" w:hAnsi="仿宋" w:eastAsia="仿宋" w:cs="仿宋"/>
          <w:b w:val="0"/>
          <w:bCs w:val="0"/>
          <w:snapToGrid w:val="0"/>
          <w:color w:val="auto"/>
          <w:spacing w:val="-3"/>
          <w:kern w:val="0"/>
          <w:sz w:val="30"/>
          <w:szCs w:val="30"/>
          <w:lang w:val="en-US" w:eastAsia="zh-CN" w:bidi="ar"/>
        </w:rPr>
        <w:t xml:space="preserve">（2）技术培训：中标人应负责对采购人人员进行现场培训，直至采购人人员能完全操作和维护设备。 </w:t>
      </w:r>
    </w:p>
    <w:p w14:paraId="2CEABFB6">
      <w:pPr>
        <w:pStyle w:val="2"/>
        <w:spacing w:before="16" w:line="342" w:lineRule="auto"/>
        <w:ind w:left="5" w:right="79" w:hanging="2"/>
        <w:rPr>
          <w:b w:val="0"/>
          <w:bCs w:val="0"/>
          <w:color w:val="auto"/>
          <w:spacing w:val="-3"/>
        </w:rPr>
      </w:pPr>
      <w:r>
        <w:rPr>
          <w:rFonts w:hint="default" w:ascii="仿宋" w:hAnsi="仿宋" w:eastAsia="仿宋" w:cs="仿宋"/>
          <w:b w:val="0"/>
          <w:bCs w:val="0"/>
          <w:snapToGrid w:val="0"/>
          <w:color w:val="auto"/>
          <w:spacing w:val="-3"/>
          <w:kern w:val="0"/>
          <w:sz w:val="30"/>
          <w:szCs w:val="30"/>
          <w:lang w:val="en-US" w:eastAsia="zh-CN" w:bidi="ar"/>
        </w:rPr>
        <w:t xml:space="preserve">（3）免费质量保证（修）期：所投货物必须提供 </w:t>
      </w:r>
      <w:r>
        <w:rPr>
          <w:rFonts w:hint="eastAsia" w:cs="仿宋"/>
          <w:b w:val="0"/>
          <w:bCs w:val="0"/>
          <w:snapToGrid w:val="0"/>
          <w:color w:val="auto"/>
          <w:spacing w:val="-3"/>
          <w:kern w:val="0"/>
          <w:sz w:val="30"/>
          <w:szCs w:val="30"/>
          <w:lang w:val="en-US" w:eastAsia="zh-CN" w:bidi="ar"/>
        </w:rPr>
        <w:t>3</w:t>
      </w:r>
      <w:r>
        <w:rPr>
          <w:rFonts w:hint="default" w:ascii="仿宋" w:hAnsi="仿宋" w:eastAsia="仿宋" w:cs="仿宋"/>
          <w:b w:val="0"/>
          <w:bCs w:val="0"/>
          <w:snapToGrid w:val="0"/>
          <w:color w:val="auto"/>
          <w:spacing w:val="-3"/>
          <w:kern w:val="0"/>
          <w:sz w:val="30"/>
          <w:szCs w:val="30"/>
          <w:lang w:val="en-US" w:eastAsia="zh-CN" w:bidi="ar"/>
        </w:rPr>
        <w:t xml:space="preserve"> 年（含）以上的质保期，质保期经安装调试、验收合格之日起计算。相关运维耗材（技术要求有规定的，以其规定为准，投标人有优于招标文件承诺的以其承诺为准）。不在保修范围内的附件、配件、易损品等，各投标人应在投标文件中单独列表说明，写出相应的保修期、更换单价，否则代表承诺免费保修期内免费更换附件、配件、易损品等。保修期内，免费更换零配件、免工时费。 </w:t>
      </w:r>
    </w:p>
    <w:p w14:paraId="63D2536A">
      <w:pPr>
        <w:pStyle w:val="2"/>
        <w:spacing w:before="16" w:line="342" w:lineRule="auto"/>
        <w:ind w:left="5" w:right="79" w:hanging="2"/>
        <w:rPr>
          <w:b w:val="0"/>
          <w:bCs w:val="0"/>
          <w:color w:val="auto"/>
          <w:spacing w:val="-3"/>
        </w:rPr>
      </w:pPr>
      <w:r>
        <w:rPr>
          <w:rFonts w:hint="default" w:ascii="仿宋" w:hAnsi="仿宋" w:eastAsia="仿宋" w:cs="仿宋"/>
          <w:b w:val="0"/>
          <w:bCs w:val="0"/>
          <w:snapToGrid w:val="0"/>
          <w:color w:val="auto"/>
          <w:spacing w:val="-3"/>
          <w:kern w:val="0"/>
          <w:sz w:val="30"/>
          <w:szCs w:val="30"/>
          <w:lang w:val="en-US" w:eastAsia="zh-CN" w:bidi="ar"/>
        </w:rPr>
        <w:t xml:space="preserve">（4）发生质量问题的处理方式：免费保修期内，如果有因质量问题而引起的损坏， 中标人应对货物予以维修或更换，全部服务费和更换货物或配件的费用由中标人承担，中标人如不能修理或不能调换，按货物原价赔偿处理。 </w:t>
      </w:r>
    </w:p>
    <w:p w14:paraId="5F1E7D94">
      <w:pPr>
        <w:pStyle w:val="2"/>
        <w:spacing w:before="16" w:line="342" w:lineRule="auto"/>
        <w:ind w:left="5" w:right="79" w:hanging="2"/>
        <w:rPr>
          <w:rFonts w:hint="default" w:ascii="仿宋" w:hAnsi="仿宋" w:eastAsia="仿宋" w:cs="仿宋"/>
          <w:b w:val="0"/>
          <w:bCs w:val="0"/>
          <w:snapToGrid w:val="0"/>
          <w:color w:val="auto"/>
          <w:spacing w:val="-3"/>
          <w:kern w:val="0"/>
          <w:sz w:val="30"/>
          <w:szCs w:val="30"/>
          <w:lang w:val="en-US" w:eastAsia="zh-CN" w:bidi="ar"/>
        </w:rPr>
      </w:pPr>
    </w:p>
    <w:p w14:paraId="58B85F3F">
      <w:pPr>
        <w:pStyle w:val="2"/>
        <w:numPr>
          <w:ilvl w:val="0"/>
          <w:numId w:val="0"/>
        </w:numPr>
        <w:spacing w:before="16" w:line="342" w:lineRule="auto"/>
        <w:ind w:left="5" w:leftChars="0" w:right="79" w:rightChars="0" w:hanging="2" w:firstLineChars="0"/>
        <w:rPr>
          <w:rFonts w:hint="default" w:ascii="仿宋" w:hAnsi="仿宋" w:eastAsia="仿宋" w:cs="仿宋"/>
          <w:i w:val="0"/>
          <w:iCs w:val="0"/>
          <w:caps w:val="0"/>
          <w:color w:val="auto"/>
          <w:spacing w:val="-3"/>
          <w:sz w:val="30"/>
          <w:szCs w:val="30"/>
          <w:shd w:val="clear"/>
          <w:lang w:eastAsia="zh-CN" w:bidi="ar"/>
        </w:rPr>
      </w:pPr>
      <w:r>
        <w:rPr>
          <w:rFonts w:hint="default" w:ascii="仿宋" w:hAnsi="仿宋" w:eastAsia="仿宋" w:cs="仿宋"/>
          <w:i w:val="0"/>
          <w:iCs w:val="0"/>
          <w:caps w:val="0"/>
          <w:snapToGrid w:val="0"/>
          <w:color w:val="auto"/>
          <w:spacing w:val="-3"/>
          <w:sz w:val="30"/>
          <w:szCs w:val="30"/>
          <w:shd w:val="clear"/>
          <w:lang w:val="en-US" w:eastAsia="zh-CN" w:bidi="ar"/>
        </w:rPr>
        <w:t>（5）</w:t>
      </w:r>
      <w:r>
        <w:rPr>
          <w:rFonts w:hint="default" w:ascii="仿宋" w:hAnsi="仿宋" w:eastAsia="仿宋" w:cs="仿宋"/>
          <w:b w:val="0"/>
          <w:bCs w:val="0"/>
          <w:snapToGrid w:val="0"/>
          <w:color w:val="auto"/>
          <w:spacing w:val="-3"/>
          <w:kern w:val="0"/>
          <w:sz w:val="30"/>
          <w:szCs w:val="30"/>
          <w:lang w:val="en-US" w:eastAsia="zh-CN" w:bidi="ar"/>
        </w:rPr>
        <w:t>故障响应时间： 第1年（驻点期）：</w:t>
      </w:r>
      <w:r>
        <w:rPr>
          <w:rFonts w:ascii="仿宋" w:hAnsi="仿宋" w:eastAsia="仿宋" w:cs="仿宋"/>
          <w:i w:val="0"/>
          <w:iCs w:val="0"/>
          <w:caps w:val="0"/>
          <w:color w:val="auto"/>
          <w:spacing w:val="-3"/>
          <w:sz w:val="30"/>
          <w:szCs w:val="30"/>
          <w:shd w:val="clear"/>
          <w:lang w:eastAsia="zh-CN" w:bidi="ar"/>
        </w:rPr>
        <w:t>中标人须安排专业技术人员驻场，驻点人员接到故障通知后须在</w:t>
      </w:r>
      <w:r>
        <w:rPr>
          <w:rFonts w:hint="default" w:ascii="仿宋" w:hAnsi="仿宋" w:eastAsia="仿宋" w:cs="仿宋"/>
          <w:i w:val="0"/>
          <w:iCs w:val="0"/>
          <w:caps w:val="0"/>
          <w:color w:val="auto"/>
          <w:spacing w:val="-3"/>
          <w:sz w:val="30"/>
          <w:szCs w:val="30"/>
          <w:shd w:val="clear"/>
          <w:lang w:eastAsia="zh-CN" w:bidi="ar"/>
        </w:rPr>
        <w:t> </w:t>
      </w:r>
      <w:r>
        <w:rPr>
          <w:rFonts w:ascii="仿宋" w:hAnsi="仿宋" w:eastAsia="仿宋" w:cs="仿宋"/>
          <w:i w:val="0"/>
          <w:iCs w:val="0"/>
          <w:caps w:val="0"/>
          <w:color w:val="auto"/>
          <w:spacing w:val="-3"/>
          <w:sz w:val="30"/>
          <w:szCs w:val="30"/>
          <w:shd w:val="clear"/>
          <w:lang w:eastAsia="zh-CN" w:bidi="ar"/>
        </w:rPr>
        <w:t>15分钟内</w:t>
      </w:r>
      <w:r>
        <w:rPr>
          <w:rFonts w:hint="default" w:ascii="仿宋" w:hAnsi="仿宋" w:eastAsia="仿宋" w:cs="仿宋"/>
          <w:i w:val="0"/>
          <w:iCs w:val="0"/>
          <w:caps w:val="0"/>
          <w:color w:val="auto"/>
          <w:spacing w:val="-3"/>
          <w:sz w:val="30"/>
          <w:szCs w:val="30"/>
          <w:shd w:val="clear"/>
          <w:lang w:eastAsia="zh-CN" w:bidi="ar"/>
        </w:rPr>
        <w:t>响应并介入处理。</w:t>
      </w:r>
    </w:p>
    <w:p w14:paraId="317480D7">
      <w:pPr>
        <w:pStyle w:val="2"/>
        <w:numPr>
          <w:ilvl w:val="0"/>
          <w:numId w:val="0"/>
        </w:numPr>
        <w:spacing w:before="16" w:line="342" w:lineRule="auto"/>
        <w:ind w:left="3" w:leftChars="0" w:right="79" w:rightChars="0" w:firstLine="588" w:firstLineChars="200"/>
        <w:rPr>
          <w:rFonts w:hint="default" w:ascii="仿宋" w:hAnsi="仿宋" w:eastAsia="仿宋" w:cs="仿宋"/>
          <w:b w:val="0"/>
          <w:bCs w:val="0"/>
          <w:snapToGrid w:val="0"/>
          <w:color w:val="auto"/>
          <w:spacing w:val="-3"/>
          <w:kern w:val="0"/>
          <w:sz w:val="30"/>
          <w:szCs w:val="30"/>
          <w:lang w:val="en-US" w:eastAsia="zh-CN" w:bidi="ar"/>
        </w:rPr>
      </w:pPr>
      <w:r>
        <w:rPr>
          <w:rFonts w:hint="default" w:ascii="仿宋" w:hAnsi="仿宋" w:eastAsia="仿宋" w:cs="仿宋"/>
          <w:b w:val="0"/>
          <w:bCs w:val="0"/>
          <w:snapToGrid w:val="0"/>
          <w:color w:val="auto"/>
          <w:spacing w:val="-3"/>
          <w:kern w:val="0"/>
          <w:sz w:val="30"/>
          <w:szCs w:val="30"/>
          <w:lang w:val="en-US" w:eastAsia="zh-CN" w:bidi="ar"/>
        </w:rPr>
        <w:t>第2-3年（非驻点期）：出现质量问题或故障时，响应时间≤</w:t>
      </w:r>
      <w:r>
        <w:rPr>
          <w:rFonts w:hint="default" w:cs="仿宋"/>
          <w:b w:val="0"/>
          <w:bCs w:val="0"/>
          <w:snapToGrid w:val="0"/>
          <w:color w:val="auto"/>
          <w:spacing w:val="-3"/>
          <w:kern w:val="0"/>
          <w:sz w:val="30"/>
          <w:szCs w:val="30"/>
          <w:lang w:val="en-US" w:eastAsia="zh-CN" w:bidi="ar"/>
        </w:rPr>
        <w:t>3</w:t>
      </w:r>
      <w:r>
        <w:rPr>
          <w:rFonts w:hint="default" w:ascii="仿宋" w:hAnsi="仿宋" w:eastAsia="仿宋" w:cs="仿宋"/>
          <w:b w:val="0"/>
          <w:bCs w:val="0"/>
          <w:snapToGrid w:val="0"/>
          <w:color w:val="auto"/>
          <w:spacing w:val="-3"/>
          <w:kern w:val="0"/>
          <w:sz w:val="30"/>
          <w:szCs w:val="30"/>
          <w:lang w:val="en-US" w:eastAsia="zh-CN" w:bidi="ar"/>
        </w:rPr>
        <w:t>小时</w:t>
      </w:r>
      <w:r>
        <w:rPr>
          <w:rFonts w:hint="default" w:cs="仿宋"/>
          <w:b w:val="0"/>
          <w:bCs w:val="0"/>
          <w:snapToGrid w:val="0"/>
          <w:color w:val="auto"/>
          <w:spacing w:val="-3"/>
          <w:kern w:val="0"/>
          <w:sz w:val="30"/>
          <w:szCs w:val="30"/>
          <w:lang w:val="en-US" w:eastAsia="zh-CN" w:bidi="ar"/>
        </w:rPr>
        <w:t>；</w:t>
      </w:r>
      <w:r>
        <w:rPr>
          <w:rFonts w:hint="default" w:ascii="仿宋" w:hAnsi="仿宋" w:eastAsia="仿宋" w:cs="仿宋"/>
          <w:b w:val="0"/>
          <w:bCs w:val="0"/>
          <w:snapToGrid w:val="0"/>
          <w:color w:val="auto"/>
          <w:spacing w:val="-3"/>
          <w:kern w:val="0"/>
          <w:sz w:val="30"/>
          <w:szCs w:val="30"/>
          <w:lang w:val="en-US" w:eastAsia="zh-CN" w:bidi="ar"/>
        </w:rPr>
        <w:t>工程师应在 24 小时内到达现场并排除故障，零配件供应及时。</w:t>
      </w:r>
    </w:p>
    <w:p w14:paraId="079F2F58">
      <w:pPr>
        <w:pStyle w:val="2"/>
        <w:numPr>
          <w:ilvl w:val="0"/>
          <w:numId w:val="0"/>
        </w:numPr>
        <w:spacing w:before="16" w:line="342" w:lineRule="auto"/>
        <w:ind w:left="3" w:leftChars="0" w:right="79" w:rightChars="0"/>
        <w:rPr>
          <w:rFonts w:hint="default" w:ascii="仿宋" w:hAnsi="仿宋" w:eastAsia="仿宋" w:cs="仿宋"/>
          <w:i w:val="0"/>
          <w:iCs w:val="0"/>
          <w:caps w:val="0"/>
          <w:color w:val="auto"/>
          <w:spacing w:val="-3"/>
          <w:sz w:val="30"/>
          <w:szCs w:val="30"/>
          <w:shd w:val="clear"/>
          <w:lang w:val="en-US" w:eastAsia="zh-CN" w:bidi="ar"/>
        </w:rPr>
      </w:pPr>
      <w:r>
        <w:rPr>
          <w:rFonts w:ascii="仿宋" w:hAnsi="仿宋" w:eastAsia="仿宋" w:cs="仿宋"/>
          <w:i w:val="0"/>
          <w:iCs w:val="0"/>
          <w:caps w:val="0"/>
          <w:color w:val="auto"/>
          <w:spacing w:val="-3"/>
          <w:sz w:val="30"/>
          <w:szCs w:val="30"/>
          <w:shd w:val="clear"/>
          <w:lang w:eastAsia="zh-CN" w:bidi="ar"/>
        </w:rPr>
        <w:t>保修期内，如发生以下任一情形，中标人须无条件免费更换同型号或不低于原配置的新设备，由此产生的一切费用由中标人承担：</w:t>
      </w:r>
      <w:r>
        <w:rPr>
          <w:rFonts w:hint="default" w:ascii="仿宋" w:hAnsi="仿宋" w:eastAsia="仿宋" w:cs="仿宋"/>
          <w:i w:val="0"/>
          <w:iCs w:val="0"/>
          <w:caps w:val="0"/>
          <w:color w:val="auto"/>
          <w:spacing w:val="-3"/>
          <w:sz w:val="30"/>
          <w:szCs w:val="30"/>
          <w:shd w:val="clear"/>
          <w:lang w:eastAsia="zh-CN" w:bidi="ar"/>
        </w:rPr>
        <w:t>（1）同一故障在 </w:t>
      </w:r>
      <w:r>
        <w:rPr>
          <w:rFonts w:ascii="仿宋" w:hAnsi="仿宋" w:eastAsia="仿宋" w:cs="仿宋"/>
          <w:i w:val="0"/>
          <w:iCs w:val="0"/>
          <w:caps w:val="0"/>
          <w:color w:val="auto"/>
          <w:spacing w:val="-3"/>
          <w:sz w:val="30"/>
          <w:szCs w:val="30"/>
          <w:shd w:val="clear"/>
          <w:lang w:eastAsia="zh-CN" w:bidi="ar"/>
        </w:rPr>
        <w:t>30天内累计发生三次</w:t>
      </w:r>
      <w:r>
        <w:rPr>
          <w:rFonts w:hint="default" w:ascii="仿宋" w:hAnsi="仿宋" w:eastAsia="仿宋" w:cs="仿宋"/>
          <w:i w:val="0"/>
          <w:iCs w:val="0"/>
          <w:caps w:val="0"/>
          <w:color w:val="auto"/>
          <w:spacing w:val="-3"/>
          <w:sz w:val="30"/>
          <w:szCs w:val="30"/>
          <w:shd w:val="clear"/>
          <w:lang w:eastAsia="zh-CN" w:bidi="ar"/>
        </w:rPr>
        <w:t> 及以上；（2）自首次报障起 连续60日内 仍无法彻底修复的。</w:t>
      </w:r>
      <w:r>
        <w:rPr>
          <w:rFonts w:hint="default" w:cs="仿宋"/>
          <w:i w:val="0"/>
          <w:iCs w:val="0"/>
          <w:caps w:val="0"/>
          <w:color w:val="auto"/>
          <w:spacing w:val="-3"/>
          <w:sz w:val="30"/>
          <w:szCs w:val="30"/>
          <w:shd w:val="clear"/>
          <w:lang w:val="en-US" w:eastAsia="zh-CN" w:bidi="ar"/>
        </w:rPr>
        <w:t xml:space="preserve"> </w:t>
      </w:r>
    </w:p>
    <w:p w14:paraId="28731E53">
      <w:pPr>
        <w:pStyle w:val="2"/>
        <w:numPr>
          <w:ilvl w:val="0"/>
          <w:numId w:val="0"/>
        </w:numPr>
        <w:spacing w:before="16" w:line="342" w:lineRule="auto"/>
        <w:ind w:left="3" w:leftChars="0" w:right="79" w:rightChars="0" w:firstLine="588" w:firstLineChars="200"/>
        <w:rPr>
          <w:b w:val="0"/>
          <w:bCs w:val="0"/>
          <w:color w:val="auto"/>
          <w:spacing w:val="-3"/>
          <w:lang w:eastAsia="zh-CN" w:bidi="ar"/>
        </w:rPr>
      </w:pPr>
      <w:r>
        <w:rPr>
          <w:rFonts w:ascii="仿宋" w:hAnsi="仿宋" w:eastAsia="仿宋" w:cs="仿宋"/>
          <w:i w:val="0"/>
          <w:iCs w:val="0"/>
          <w:caps w:val="0"/>
          <w:color w:val="auto"/>
          <w:spacing w:val="-3"/>
          <w:sz w:val="30"/>
          <w:szCs w:val="30"/>
          <w:shd w:val="clear"/>
          <w:lang w:eastAsia="zh-CN" w:bidi="ar"/>
        </w:rPr>
        <w:t>保修期内，因设备故障导致系统停机的，保修期自故障报障之时起至故障彻底排除并经采购人确认恢复运行之日止</w:t>
      </w:r>
      <w:r>
        <w:rPr>
          <w:rFonts w:hint="default" w:ascii="仿宋" w:hAnsi="仿宋" w:eastAsia="仿宋" w:cs="仿宋"/>
          <w:i w:val="0"/>
          <w:iCs w:val="0"/>
          <w:caps w:val="0"/>
          <w:color w:val="auto"/>
          <w:spacing w:val="-3"/>
          <w:sz w:val="30"/>
          <w:szCs w:val="30"/>
          <w:shd w:val="clear"/>
          <w:lang w:eastAsia="zh-CN" w:bidi="ar"/>
        </w:rPr>
        <w:t>，按实际停机时间的双倍予以顺延。</w:t>
      </w:r>
    </w:p>
    <w:p w14:paraId="35CA54E0">
      <w:pPr>
        <w:pStyle w:val="2"/>
        <w:spacing w:before="16" w:line="342" w:lineRule="auto"/>
        <w:ind w:left="5" w:right="79" w:hanging="2"/>
        <w:rPr>
          <w:b w:val="0"/>
          <w:bCs w:val="0"/>
          <w:color w:val="auto"/>
          <w:spacing w:val="-3"/>
        </w:rPr>
      </w:pPr>
      <w:r>
        <w:rPr>
          <w:rFonts w:hint="default" w:ascii="仿宋" w:hAnsi="仿宋" w:eastAsia="仿宋" w:cs="仿宋"/>
          <w:b w:val="0"/>
          <w:bCs w:val="0"/>
          <w:snapToGrid w:val="0"/>
          <w:color w:val="auto"/>
          <w:spacing w:val="-3"/>
          <w:kern w:val="0"/>
          <w:sz w:val="30"/>
          <w:szCs w:val="30"/>
          <w:lang w:val="en-US" w:eastAsia="zh-CN" w:bidi="ar"/>
        </w:rPr>
        <w:t>（6）保修期外售后服务要求：保修期满后，一旦发生质量问题，投标人保证在接到通知24 小时内赶到现场进行修理或更换。</w:t>
      </w:r>
    </w:p>
    <w:p w14:paraId="402344D9">
      <w:pPr>
        <w:pageBreakBefore w:val="0"/>
        <w:widowControl w:val="0"/>
        <w:wordWrap/>
        <w:overflowPunct/>
        <w:topLinePunct w:val="0"/>
        <w:bidi w:val="0"/>
        <w:spacing w:line="242" w:lineRule="auto"/>
        <w:rPr>
          <w:b w:val="0"/>
          <w:bCs w:val="0"/>
          <w:color w:val="auto"/>
          <w:spacing w:val="0"/>
          <w:w w:val="100"/>
          <w:position w:val="0"/>
        </w:rPr>
      </w:pPr>
    </w:p>
    <w:p w14:paraId="4D5A7645">
      <w:pPr>
        <w:pageBreakBefore w:val="0"/>
        <w:widowControl w:val="0"/>
        <w:wordWrap/>
        <w:overflowPunct/>
        <w:topLinePunct w:val="0"/>
        <w:bidi w:val="0"/>
        <w:spacing w:line="242" w:lineRule="auto"/>
        <w:rPr>
          <w:color w:val="auto"/>
          <w:spacing w:val="0"/>
          <w:w w:val="100"/>
          <w:position w:val="0"/>
        </w:rPr>
      </w:pPr>
    </w:p>
    <w:p w14:paraId="74621A6C">
      <w:pPr>
        <w:pageBreakBefore w:val="0"/>
        <w:widowControl w:val="0"/>
        <w:wordWrap/>
        <w:overflowPunct/>
        <w:topLinePunct w:val="0"/>
        <w:bidi w:val="0"/>
        <w:spacing w:line="242" w:lineRule="auto"/>
        <w:rPr>
          <w:color w:val="auto"/>
          <w:spacing w:val="0"/>
          <w:w w:val="100"/>
          <w:position w:val="0"/>
        </w:rPr>
      </w:pPr>
    </w:p>
    <w:p w14:paraId="4873D497">
      <w:pPr>
        <w:pageBreakBefore w:val="0"/>
        <w:widowControl w:val="0"/>
        <w:wordWrap/>
        <w:overflowPunct/>
        <w:topLinePunct w:val="0"/>
        <w:bidi w:val="0"/>
        <w:spacing w:line="242" w:lineRule="auto"/>
        <w:rPr>
          <w:color w:val="auto"/>
          <w:spacing w:val="0"/>
          <w:w w:val="100"/>
          <w:position w:val="0"/>
        </w:rPr>
      </w:pPr>
    </w:p>
    <w:p w14:paraId="6B16B17F">
      <w:pPr>
        <w:pageBreakBefore w:val="0"/>
        <w:widowControl w:val="0"/>
        <w:wordWrap/>
        <w:overflowPunct/>
        <w:topLinePunct w:val="0"/>
        <w:bidi w:val="0"/>
        <w:spacing w:line="242" w:lineRule="auto"/>
        <w:rPr>
          <w:color w:val="auto"/>
          <w:spacing w:val="0"/>
          <w:w w:val="100"/>
          <w:position w:val="0"/>
        </w:rPr>
      </w:pPr>
    </w:p>
    <w:p w14:paraId="6A506C3F">
      <w:pPr>
        <w:pageBreakBefore w:val="0"/>
        <w:widowControl w:val="0"/>
        <w:wordWrap/>
        <w:overflowPunct/>
        <w:topLinePunct w:val="0"/>
        <w:bidi w:val="0"/>
        <w:spacing w:line="242" w:lineRule="auto"/>
        <w:rPr>
          <w:color w:val="auto"/>
          <w:spacing w:val="0"/>
          <w:w w:val="100"/>
          <w:position w:val="0"/>
        </w:rPr>
      </w:pPr>
    </w:p>
    <w:p w14:paraId="1761C48E">
      <w:pPr>
        <w:pageBreakBefore w:val="0"/>
        <w:widowControl w:val="0"/>
        <w:wordWrap/>
        <w:overflowPunct/>
        <w:topLinePunct w:val="0"/>
        <w:bidi w:val="0"/>
        <w:spacing w:line="243" w:lineRule="auto"/>
        <w:rPr>
          <w:color w:val="auto"/>
          <w:spacing w:val="0"/>
          <w:w w:val="100"/>
          <w:position w:val="0"/>
        </w:rPr>
      </w:pPr>
    </w:p>
    <w:p w14:paraId="3294E383">
      <w:pPr>
        <w:pageBreakBefore w:val="0"/>
        <w:widowControl w:val="0"/>
        <w:wordWrap/>
        <w:overflowPunct/>
        <w:topLinePunct w:val="0"/>
        <w:bidi w:val="0"/>
        <w:spacing w:line="243" w:lineRule="auto"/>
        <w:rPr>
          <w:color w:val="auto"/>
          <w:spacing w:val="0"/>
          <w:w w:val="100"/>
          <w:position w:val="0"/>
        </w:rPr>
      </w:pPr>
    </w:p>
    <w:p w14:paraId="7F48CD7B">
      <w:pPr>
        <w:pageBreakBefore w:val="0"/>
        <w:widowControl w:val="0"/>
        <w:wordWrap/>
        <w:overflowPunct/>
        <w:topLinePunct w:val="0"/>
        <w:bidi w:val="0"/>
        <w:spacing w:line="243" w:lineRule="auto"/>
        <w:rPr>
          <w:color w:val="auto"/>
          <w:spacing w:val="0"/>
          <w:w w:val="100"/>
          <w:position w:val="0"/>
        </w:rPr>
      </w:pPr>
    </w:p>
    <w:p w14:paraId="366A5E66">
      <w:pPr>
        <w:pageBreakBefore w:val="0"/>
        <w:widowControl w:val="0"/>
        <w:wordWrap/>
        <w:overflowPunct/>
        <w:topLinePunct w:val="0"/>
        <w:bidi w:val="0"/>
        <w:spacing w:line="245" w:lineRule="auto"/>
        <w:rPr>
          <w:color w:val="auto"/>
          <w:spacing w:val="0"/>
          <w:w w:val="100"/>
          <w:position w:val="0"/>
          <w:lang w:eastAsia="zh-CN"/>
        </w:rPr>
      </w:pPr>
    </w:p>
    <w:p w14:paraId="0328D8C9">
      <w:pPr>
        <w:pageBreakBefore w:val="0"/>
        <w:widowControl w:val="0"/>
        <w:wordWrap/>
        <w:overflowPunct/>
        <w:topLinePunct w:val="0"/>
        <w:bidi w:val="0"/>
        <w:spacing w:line="245" w:lineRule="auto"/>
        <w:rPr>
          <w:color w:val="auto"/>
          <w:spacing w:val="0"/>
          <w:w w:val="100"/>
          <w:position w:val="0"/>
          <w:lang w:eastAsia="zh-CN"/>
        </w:rPr>
      </w:pPr>
    </w:p>
    <w:p w14:paraId="3CEABB66">
      <w:pPr>
        <w:pageBreakBefore w:val="0"/>
        <w:widowControl w:val="0"/>
        <w:wordWrap/>
        <w:overflowPunct/>
        <w:topLinePunct w:val="0"/>
        <w:bidi w:val="0"/>
        <w:spacing w:line="245" w:lineRule="auto"/>
        <w:rPr>
          <w:color w:val="auto"/>
          <w:spacing w:val="0"/>
          <w:w w:val="100"/>
          <w:position w:val="0"/>
          <w:lang w:eastAsia="zh-CN"/>
        </w:rPr>
      </w:pPr>
    </w:p>
    <w:p w14:paraId="6C8F9C01">
      <w:pPr>
        <w:pageBreakBefore w:val="0"/>
        <w:widowControl w:val="0"/>
        <w:wordWrap/>
        <w:overflowPunct/>
        <w:topLinePunct w:val="0"/>
        <w:bidi w:val="0"/>
        <w:spacing w:line="245" w:lineRule="auto"/>
        <w:rPr>
          <w:color w:val="auto"/>
          <w:spacing w:val="0"/>
          <w:w w:val="100"/>
          <w:position w:val="0"/>
          <w:lang w:eastAsia="zh-CN"/>
        </w:rPr>
      </w:pPr>
    </w:p>
    <w:p w14:paraId="21BA5B81">
      <w:pPr>
        <w:pageBreakBefore w:val="0"/>
        <w:widowControl w:val="0"/>
        <w:wordWrap/>
        <w:overflowPunct/>
        <w:topLinePunct w:val="0"/>
        <w:bidi w:val="0"/>
        <w:spacing w:line="245" w:lineRule="auto"/>
        <w:rPr>
          <w:color w:val="auto"/>
          <w:spacing w:val="0"/>
          <w:w w:val="100"/>
          <w:position w:val="0"/>
          <w:lang w:eastAsia="zh-CN"/>
        </w:rPr>
      </w:pPr>
    </w:p>
    <w:p w14:paraId="40454E5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B78149">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193384">
                          <w:pPr>
                            <w:pStyle w:val="3"/>
                          </w:pPr>
                          <w:r>
                            <w:fldChar w:fldCharType="begin"/>
                          </w:r>
                          <w:r>
                            <w:instrText xml:space="preserve"> PAGE  \* MERGEFORMAT </w:instrText>
                          </w:r>
                          <w:r>
                            <w:fldChar w:fldCharType="separate"/>
                          </w:r>
                          <w:r>
                            <w:t>65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6D193384">
                    <w:pPr>
                      <w:pStyle w:val="3"/>
                    </w:pPr>
                    <w:r>
                      <w:fldChar w:fldCharType="begin"/>
                    </w:r>
                    <w:r>
                      <w:instrText xml:space="preserve"> PAGE  \* MERGEFORMAT </w:instrText>
                    </w:r>
                    <w:r>
                      <w:fldChar w:fldCharType="separate"/>
                    </w:r>
                    <w:r>
                      <w:t>65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0353AE3"/>
    <w:multiLevelType w:val="singleLevel"/>
    <w:tmpl w:val="50353AE3"/>
    <w:lvl w:ilvl="0" w:tentative="0">
      <w:start w:val="1"/>
      <w:numFmt w:val="decimal"/>
      <w:lvlText w:val="%1."/>
      <w:lvlJc w:val="left"/>
      <w:pPr>
        <w:ind w:left="425" w:hanging="425"/>
      </w:pPr>
      <w:rPr>
        <w:rFonts w:hint="default"/>
      </w:rPr>
    </w:lvl>
  </w:abstractNum>
  <w:abstractNum w:abstractNumId="1">
    <w:nsid w:val="7057168C"/>
    <w:multiLevelType w:val="multilevel"/>
    <w:tmpl w:val="7057168C"/>
    <w:lvl w:ilvl="0" w:tentative="0">
      <w:start w:val="1"/>
      <w:numFmt w:val="decimal"/>
      <w:lvlText w:val="(%1)"/>
      <w:lvlJc w:val="left"/>
      <w:pPr>
        <w:ind w:left="440"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896A58"/>
    <w:rsid w:val="7E896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 w:type="paragraph" w:customStyle="1" w:styleId="9">
    <w:name w:val="Table Paragraph"/>
    <w:basedOn w:val="1"/>
    <w:qFormat/>
    <w:uiPriority w:val="1"/>
    <w:pPr>
      <w:spacing w:before="59"/>
    </w:pPr>
    <w:rPr>
      <w:rFonts w:ascii="宋体" w:hAnsi="宋体" w:eastAsia="宋体" w:cs="宋体"/>
      <w:szCs w:val="22"/>
      <w:lang w:val="zh-CN" w:bidi="zh-CN"/>
    </w:rPr>
  </w:style>
  <w:style w:type="paragraph" w:customStyle="1" w:styleId="10">
    <w:name w:val="Default1"/>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2026-06-18T05:11:00Z</dcterms:created>
  <dc:creator>WPS_1714115929</dc:creator>
  <cp:lastModifiedBy>WPS_1714115929</cp:lastModifiedBy>
  <dcterms:modified xsi:type="dcterms:W3CDTF">2026-06-18T05:11:31Z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3405F345156B4CD1B9149D5F35ED0E1D_11</vt:lpwstr>
  </property>
  <property fmtid="{D5CDD505-2E9C-101B-9397-08002B2CF9AE}" pid="4" name="KSOTemplateDocerSaveRecord">
    <vt:lpwstr>eyJoZGlkIjoiMTgxOGFmMGFjYThjNzhmNTE4MzU1MDMwZjk4ZjBhMWUiLCJ1c2VySWQiOiIxNTk2Mzc4Njg1In0=</vt:lpwstr>
  </property>
</Properties>
</file>