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E78041">
      <w:pPr>
        <w:pageBreakBefore w:val="0"/>
        <w:widowControl w:val="0"/>
        <w:wordWrap/>
        <w:overflowPunct/>
        <w:topLinePunct w:val="0"/>
        <w:bidi w:val="0"/>
        <w:spacing w:before="63" w:line="224" w:lineRule="auto"/>
        <w:jc w:val="center"/>
        <w:rPr>
          <w:rFonts w:ascii="宋体" w:hAnsi="宋体" w:eastAsia="宋体" w:cs="宋体"/>
          <w:color w:val="auto"/>
          <w:sz w:val="31"/>
          <w:szCs w:val="31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10EC163E">
      <w:pPr>
        <w:pageBreakBefore w:val="0"/>
        <w:widowControl w:val="0"/>
        <w:wordWrap/>
        <w:overflowPunct/>
        <w:topLinePunct w:val="0"/>
        <w:bidi w:val="0"/>
        <w:spacing w:line="309" w:lineRule="auto"/>
        <w:jc w:val="center"/>
        <w:rPr>
          <w:color w:val="auto"/>
          <w:highlight w:val="none"/>
          <w:lang w:eastAsia="zh-CN"/>
        </w:rPr>
      </w:pPr>
    </w:p>
    <w:p w14:paraId="0F2A714C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jc w:val="both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</w:p>
    <w:p w14:paraId="755ACE0D">
      <w:pPr>
        <w:pageBreakBefore w:val="0"/>
        <w:widowControl w:val="0"/>
        <w:wordWrap/>
        <w:overflowPunct/>
        <w:topLinePunct w:val="0"/>
        <w:bidi w:val="0"/>
        <w:spacing w:before="64"/>
        <w:rPr>
          <w:color w:val="auto"/>
          <w:highlight w:val="none"/>
        </w:rPr>
      </w:pPr>
    </w:p>
    <w:tbl>
      <w:tblPr>
        <w:tblStyle w:val="7"/>
        <w:tblW w:w="9374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509"/>
      </w:tblGrid>
      <w:tr w14:paraId="2BDF12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048" w:type="dxa"/>
            <w:tcBorders>
              <w:right w:val="nil"/>
            </w:tcBorders>
          </w:tcPr>
          <w:p w14:paraId="68381846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bookmarkStart w:id="0" w:name="_GoBack"/>
            <w:r>
              <w:rPr>
                <w:color w:val="auto"/>
                <w:highlight w:val="none"/>
              </w:rPr>
              <w:drawing>
                <wp:anchor distT="0" distB="0" distL="0" distR="0" simplePos="0" relativeHeight="251659264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bookmarkEnd w:id="0"/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名</w:t>
            </w:r>
          </w:p>
          <w:p w14:paraId="33DED3CD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rPr>
                <w:color w:val="auto"/>
                <w:highlight w:val="none"/>
              </w:rPr>
            </w:pPr>
          </w:p>
          <w:p w14:paraId="54D65D9C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246" w:lineRule="auto"/>
              <w:rPr>
                <w:color w:val="auto"/>
                <w:highlight w:val="none"/>
              </w:rPr>
            </w:pPr>
          </w:p>
          <w:p w14:paraId="63C6196A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内</w:t>
            </w:r>
          </w:p>
          <w:p w14:paraId="358A875A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338" w:lineRule="auto"/>
              <w:rPr>
                <w:color w:val="auto"/>
                <w:highlight w:val="none"/>
              </w:rPr>
            </w:pPr>
          </w:p>
          <w:p w14:paraId="63F7F2D1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7777A9C6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06557C90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3E94AB91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264" w:lineRule="auto"/>
              <w:rPr>
                <w:color w:val="auto"/>
                <w:highlight w:val="none"/>
              </w:rPr>
            </w:pPr>
          </w:p>
          <w:p w14:paraId="50F0F1DB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509" w:type="dxa"/>
            <w:vAlign w:val="center"/>
          </w:tcPr>
          <w:p w14:paraId="1D0E3C30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default" w:eastAsia="微软雅黑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  <w:u w:val="none"/>
                <w:lang w:val="en-US" w:eastAsia="zh-CN"/>
              </w:rPr>
              <w:t>2026年江西省、萍乡市青少年击剑锦标赛体育服务项目</w:t>
            </w:r>
          </w:p>
        </w:tc>
      </w:tr>
      <w:tr w14:paraId="4821176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1A169D43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509" w:type="dxa"/>
            <w:vAlign w:val="center"/>
          </w:tcPr>
          <w:p w14:paraId="7D2D090F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  <w:u w:val="none"/>
                <w:lang w:val="en-US" w:eastAsia="zh-CN"/>
              </w:rPr>
              <w:t>2项</w:t>
            </w:r>
          </w:p>
        </w:tc>
      </w:tr>
      <w:tr w14:paraId="63AE95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3596EDDE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  <w:u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  <w:u w:val="none"/>
              </w:rPr>
              <w:t>期</w:t>
            </w:r>
          </w:p>
        </w:tc>
        <w:tc>
          <w:tcPr>
            <w:tcW w:w="6509" w:type="dxa"/>
            <w:vAlign w:val="center"/>
          </w:tcPr>
          <w:p w14:paraId="2856DFA6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  <w:u w:val="none"/>
              </w:rPr>
              <w:t>合同签订之日起至</w:t>
            </w: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  <w:u w:val="none"/>
                <w:lang w:val="en-US" w:eastAsia="zh-CN"/>
              </w:rPr>
              <w:t>赛事服务结束</w:t>
            </w:r>
          </w:p>
        </w:tc>
      </w:tr>
      <w:tr w14:paraId="4B034D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1090F3AC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6509" w:type="dxa"/>
            <w:vAlign w:val="center"/>
          </w:tcPr>
          <w:p w14:paraId="5025AECB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highlight w:val="none"/>
                <w:vertAlign w:val="baseline"/>
                <w:lang w:val="en-US" w:eastAsia="zh-CN"/>
              </w:rPr>
              <w:t>采购人指定地点</w:t>
            </w:r>
          </w:p>
        </w:tc>
      </w:tr>
      <w:tr w14:paraId="2F9C78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65" w:type="dxa"/>
            <w:gridSpan w:val="2"/>
          </w:tcPr>
          <w:p w14:paraId="24194C9A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509" w:type="dxa"/>
            <w:vAlign w:val="center"/>
          </w:tcPr>
          <w:p w14:paraId="5F7CCCC9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highlight w:val="none"/>
              </w:rPr>
            </w:pPr>
          </w:p>
        </w:tc>
      </w:tr>
    </w:tbl>
    <w:p w14:paraId="27C439BE">
      <w:pPr>
        <w:rPr>
          <w:highlight w:val="none"/>
        </w:rPr>
      </w:pPr>
    </w:p>
    <w:p w14:paraId="5F1E6DC1">
      <w:pPr>
        <w:pStyle w:val="2"/>
        <w:rPr>
          <w:rFonts w:hint="default" w:ascii="宋体" w:hAnsi="宋体" w:eastAsia="宋体" w:cs="宋体"/>
          <w:snapToGrid w:val="0"/>
          <w:color w:val="auto"/>
          <w:spacing w:val="-2"/>
          <w:sz w:val="24"/>
          <w:szCs w:val="24"/>
          <w:highlight w:val="none"/>
          <w:lang w:val="en-US" w:eastAsia="zh-CN" w:bidi="ar-SA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eastAsia="宋体" w:cs="宋体"/>
          <w:snapToGrid w:val="0"/>
          <w:color w:val="auto"/>
          <w:spacing w:val="-2"/>
          <w:sz w:val="24"/>
          <w:szCs w:val="24"/>
          <w:highlight w:val="none"/>
          <w:lang w:val="en-US" w:eastAsia="zh-CN" w:bidi="ar-SA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二、服务需求表</w:t>
      </w:r>
    </w:p>
    <w:tbl>
      <w:tblPr>
        <w:tblStyle w:val="5"/>
        <w:tblW w:w="917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3076"/>
        <w:gridCol w:w="1383"/>
        <w:gridCol w:w="1608"/>
        <w:gridCol w:w="2260"/>
      </w:tblGrid>
      <w:tr w14:paraId="2376A2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</w:tcPr>
          <w:p w14:paraId="2DA345A3">
            <w:pPr>
              <w:pStyle w:val="3"/>
              <w:widowControl w:val="0"/>
              <w:spacing w:line="360" w:lineRule="auto"/>
              <w:ind w:left="0" w:leftChars="0" w:firstLine="0" w:firstLineChars="0"/>
              <w:jc w:val="both"/>
              <w:rPr>
                <w:rFonts w:hint="default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  <w:t>序号</w:t>
            </w:r>
          </w:p>
        </w:tc>
        <w:tc>
          <w:tcPr>
            <w:tcW w:w="3076" w:type="dxa"/>
          </w:tcPr>
          <w:p w14:paraId="2A9F2F02">
            <w:pPr>
              <w:pStyle w:val="3"/>
              <w:widowControl w:val="0"/>
              <w:spacing w:line="360" w:lineRule="auto"/>
              <w:ind w:left="0" w:leftChars="0" w:firstLine="0" w:firstLineChars="0"/>
              <w:jc w:val="center"/>
              <w:rPr>
                <w:rFonts w:hint="default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  <w:t>赛事</w:t>
            </w:r>
          </w:p>
        </w:tc>
        <w:tc>
          <w:tcPr>
            <w:tcW w:w="1383" w:type="dxa"/>
          </w:tcPr>
          <w:p w14:paraId="17D7ACB2">
            <w:pPr>
              <w:pStyle w:val="3"/>
              <w:widowControl w:val="0"/>
              <w:spacing w:line="360" w:lineRule="auto"/>
              <w:ind w:left="0" w:leftChars="0" w:firstLine="0" w:firstLineChars="0"/>
              <w:jc w:val="center"/>
              <w:rPr>
                <w:rFonts w:hint="default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  <w:t>数量</w:t>
            </w:r>
          </w:p>
        </w:tc>
        <w:tc>
          <w:tcPr>
            <w:tcW w:w="1608" w:type="dxa"/>
          </w:tcPr>
          <w:p w14:paraId="337955AB">
            <w:pPr>
              <w:pStyle w:val="3"/>
              <w:widowControl w:val="0"/>
              <w:spacing w:line="360" w:lineRule="auto"/>
              <w:ind w:left="0" w:leftChars="0" w:firstLine="0" w:firstLineChars="0"/>
              <w:jc w:val="center"/>
              <w:rPr>
                <w:rFonts w:hint="default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  <w:t>预算金额/元</w:t>
            </w:r>
          </w:p>
        </w:tc>
        <w:tc>
          <w:tcPr>
            <w:tcW w:w="2260" w:type="dxa"/>
          </w:tcPr>
          <w:p w14:paraId="7CF093F1">
            <w:pPr>
              <w:pStyle w:val="3"/>
              <w:widowControl w:val="0"/>
              <w:spacing w:line="360" w:lineRule="auto"/>
              <w:ind w:left="0" w:leftChars="0" w:firstLine="0" w:firstLineChars="0"/>
              <w:jc w:val="center"/>
              <w:rPr>
                <w:rFonts w:hint="default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  <w:t>备注</w:t>
            </w:r>
          </w:p>
        </w:tc>
      </w:tr>
      <w:tr w14:paraId="589A0F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</w:trPr>
        <w:tc>
          <w:tcPr>
            <w:tcW w:w="846" w:type="dxa"/>
            <w:vAlign w:val="center"/>
          </w:tcPr>
          <w:p w14:paraId="6277B8D1">
            <w:pPr>
              <w:pStyle w:val="3"/>
              <w:widowControl w:val="0"/>
              <w:spacing w:line="360" w:lineRule="auto"/>
              <w:jc w:val="center"/>
              <w:rPr>
                <w:rFonts w:hint="default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  <w:t>1</w:t>
            </w:r>
          </w:p>
        </w:tc>
        <w:tc>
          <w:tcPr>
            <w:tcW w:w="3076" w:type="dxa"/>
            <w:vAlign w:val="center"/>
          </w:tcPr>
          <w:p w14:paraId="00FE909B">
            <w:pPr>
              <w:pStyle w:val="3"/>
              <w:widowControl w:val="0"/>
              <w:spacing w:line="360" w:lineRule="auto"/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</w:rPr>
              <w:t>2026年江西省青少年击剑锦标赛体育服务项目</w:t>
            </w:r>
          </w:p>
        </w:tc>
        <w:tc>
          <w:tcPr>
            <w:tcW w:w="1383" w:type="dxa"/>
            <w:vAlign w:val="center"/>
          </w:tcPr>
          <w:p w14:paraId="61024D3B">
            <w:pPr>
              <w:pStyle w:val="3"/>
              <w:widowControl w:val="0"/>
              <w:spacing w:line="360" w:lineRule="auto"/>
              <w:ind w:left="0" w:leftChars="0" w:firstLine="0" w:firstLineChars="0"/>
              <w:jc w:val="center"/>
              <w:rPr>
                <w:rFonts w:hint="default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  <w:t>1项</w:t>
            </w:r>
          </w:p>
        </w:tc>
        <w:tc>
          <w:tcPr>
            <w:tcW w:w="1608" w:type="dxa"/>
            <w:vAlign w:val="center"/>
          </w:tcPr>
          <w:p w14:paraId="292E7691">
            <w:pPr>
              <w:pStyle w:val="3"/>
              <w:widowControl w:val="0"/>
              <w:spacing w:line="360" w:lineRule="auto"/>
              <w:ind w:left="0" w:leftChars="0" w:firstLine="0" w:firstLineChars="0"/>
              <w:jc w:val="center"/>
              <w:rPr>
                <w:rFonts w:hint="default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  <w:t>300000.00</w:t>
            </w:r>
          </w:p>
        </w:tc>
        <w:tc>
          <w:tcPr>
            <w:tcW w:w="2260" w:type="dxa"/>
            <w:vAlign w:val="center"/>
          </w:tcPr>
          <w:p w14:paraId="6A7787F8">
            <w:pPr>
              <w:pStyle w:val="3"/>
              <w:widowControl w:val="0"/>
              <w:spacing w:line="360" w:lineRule="auto"/>
              <w:ind w:left="0" w:leftChars="0" w:firstLine="0" w:firstLineChars="0"/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711FB8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</w:trPr>
        <w:tc>
          <w:tcPr>
            <w:tcW w:w="846" w:type="dxa"/>
            <w:vAlign w:val="center"/>
          </w:tcPr>
          <w:p w14:paraId="5A92D840">
            <w:pPr>
              <w:pStyle w:val="3"/>
              <w:widowControl w:val="0"/>
              <w:spacing w:line="360" w:lineRule="auto"/>
              <w:jc w:val="center"/>
              <w:rPr>
                <w:rFonts w:hint="default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  <w:t>2</w:t>
            </w:r>
          </w:p>
        </w:tc>
        <w:tc>
          <w:tcPr>
            <w:tcW w:w="3076" w:type="dxa"/>
            <w:vAlign w:val="center"/>
          </w:tcPr>
          <w:p w14:paraId="18B828DF">
            <w:pPr>
              <w:pStyle w:val="3"/>
              <w:widowControl w:val="0"/>
              <w:spacing w:line="360" w:lineRule="auto"/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</w:rPr>
              <w:t>2026年江西省萍乡市青少年击剑锦标赛体育服务项目</w:t>
            </w:r>
          </w:p>
        </w:tc>
        <w:tc>
          <w:tcPr>
            <w:tcW w:w="1383" w:type="dxa"/>
            <w:vAlign w:val="center"/>
          </w:tcPr>
          <w:p w14:paraId="7189B196">
            <w:pPr>
              <w:pStyle w:val="3"/>
              <w:widowControl w:val="0"/>
              <w:spacing w:line="360" w:lineRule="auto"/>
              <w:ind w:left="0" w:leftChars="0" w:firstLine="0" w:firstLineChars="0"/>
              <w:jc w:val="center"/>
              <w:rPr>
                <w:rFonts w:hint="default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  <w:t>1项</w:t>
            </w:r>
          </w:p>
        </w:tc>
        <w:tc>
          <w:tcPr>
            <w:tcW w:w="1608" w:type="dxa"/>
            <w:vAlign w:val="center"/>
          </w:tcPr>
          <w:p w14:paraId="1097FAFA">
            <w:pPr>
              <w:pStyle w:val="3"/>
              <w:widowControl w:val="0"/>
              <w:spacing w:line="360" w:lineRule="auto"/>
              <w:ind w:left="0" w:leftChars="0" w:firstLine="0" w:firstLineChars="0"/>
              <w:jc w:val="center"/>
              <w:rPr>
                <w:rFonts w:hint="default" w:eastAsia="仿宋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  <w:t>100000.00</w:t>
            </w:r>
          </w:p>
        </w:tc>
        <w:tc>
          <w:tcPr>
            <w:tcW w:w="2260" w:type="dxa"/>
            <w:vAlign w:val="center"/>
          </w:tcPr>
          <w:p w14:paraId="2173CAC8">
            <w:pPr>
              <w:pStyle w:val="3"/>
              <w:widowControl w:val="0"/>
              <w:spacing w:line="360" w:lineRule="auto"/>
              <w:ind w:left="0" w:leftChars="0" w:firstLine="0" w:firstLineChars="0"/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 w14:paraId="69EFEA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9173" w:type="dxa"/>
            <w:gridSpan w:val="5"/>
          </w:tcPr>
          <w:p w14:paraId="0351D3AF">
            <w:pPr>
              <w:pStyle w:val="3"/>
              <w:widowControl w:val="0"/>
              <w:spacing w:line="360" w:lineRule="auto"/>
              <w:ind w:left="0" w:leftChars="0" w:firstLine="0" w:firstLineChars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22222"/>
                <w:spacing w:val="0"/>
                <w:sz w:val="21"/>
                <w:szCs w:val="21"/>
                <w:highlight w:val="none"/>
                <w:lang w:val="en-US" w:eastAsia="zh-CN"/>
              </w:rPr>
              <w:t>注：</w:t>
            </w:r>
          </w:p>
        </w:tc>
      </w:tr>
    </w:tbl>
    <w:p w14:paraId="2908B6A4">
      <w:pPr>
        <w:pStyle w:val="3"/>
        <w:spacing w:line="360" w:lineRule="auto"/>
        <w:ind w:left="0" w:leftChars="0" w:firstLine="0" w:firstLineChars="0"/>
        <w:rPr>
          <w:rFonts w:hint="eastAsia" w:ascii="仿宋" w:hAnsi="仿宋" w:eastAsia="仿宋" w:cs="仿宋"/>
          <w:snapToGrid w:val="0"/>
          <w:color w:val="000000"/>
          <w:sz w:val="30"/>
          <w:szCs w:val="30"/>
          <w:highlight w:val="none"/>
          <w:lang w:val="en-US" w:eastAsia="zh-CN" w:bidi="ar-SA"/>
        </w:rPr>
      </w:pPr>
    </w:p>
    <w:p w14:paraId="7DCF8A98">
      <w:pPr>
        <w:pStyle w:val="3"/>
        <w:spacing w:line="360" w:lineRule="auto"/>
        <w:ind w:left="0" w:leftChars="0" w:firstLine="0" w:firstLineChars="0"/>
        <w:rPr>
          <w:rFonts w:hint="eastAsia" w:ascii="仿宋" w:hAnsi="仿宋" w:eastAsia="仿宋" w:cs="仿宋"/>
          <w:snapToGrid w:val="0"/>
          <w:color w:val="000000"/>
          <w:sz w:val="30"/>
          <w:szCs w:val="30"/>
          <w:highlight w:val="none"/>
          <w:lang w:val="en-US" w:eastAsia="zh-CN" w:bidi="ar-SA"/>
        </w:rPr>
      </w:pPr>
    </w:p>
    <w:p w14:paraId="408B3CD9">
      <w:pPr>
        <w:pStyle w:val="3"/>
        <w:spacing w:line="360" w:lineRule="auto"/>
        <w:ind w:left="0" w:leftChars="0" w:firstLine="0" w:firstLineChars="0"/>
        <w:rPr>
          <w:rFonts w:hint="eastAsia" w:ascii="仿宋" w:hAnsi="仿宋" w:eastAsia="仿宋" w:cs="仿宋"/>
          <w:snapToGrid w:val="0"/>
          <w:color w:val="000000"/>
          <w:sz w:val="30"/>
          <w:szCs w:val="30"/>
          <w:highlight w:val="none"/>
          <w:lang w:val="en-US" w:eastAsia="zh-CN" w:bidi="ar-SA"/>
        </w:rPr>
      </w:pPr>
    </w:p>
    <w:p w14:paraId="5DD5A576">
      <w:pPr>
        <w:pStyle w:val="3"/>
        <w:spacing w:line="360" w:lineRule="auto"/>
        <w:ind w:left="0" w:leftChars="0" w:firstLine="0" w:firstLineChars="0"/>
        <w:rPr>
          <w:rFonts w:hint="eastAsia" w:ascii="仿宋" w:hAnsi="仿宋" w:eastAsia="仿宋" w:cs="仿宋"/>
          <w:snapToGrid w:val="0"/>
          <w:color w:val="000000"/>
          <w:sz w:val="30"/>
          <w:szCs w:val="30"/>
          <w:highlight w:val="none"/>
          <w:lang w:val="en-US" w:eastAsia="zh-CN" w:bidi="ar-SA"/>
        </w:rPr>
      </w:pPr>
    </w:p>
    <w:p w14:paraId="57AA46EB">
      <w:pPr>
        <w:pStyle w:val="3"/>
        <w:spacing w:line="360" w:lineRule="auto"/>
        <w:ind w:left="0" w:leftChars="0" w:firstLine="0" w:firstLineChars="0"/>
        <w:rPr>
          <w:rFonts w:hint="eastAsia" w:ascii="仿宋" w:hAnsi="仿宋" w:eastAsia="仿宋" w:cs="仿宋"/>
          <w:snapToGrid w:val="0"/>
          <w:color w:val="000000"/>
          <w:sz w:val="30"/>
          <w:szCs w:val="30"/>
          <w:highlight w:val="none"/>
          <w:lang w:val="en-US" w:eastAsia="zh-CN" w:bidi="ar-SA"/>
        </w:rPr>
      </w:pPr>
    </w:p>
    <w:p w14:paraId="5C11C8D4">
      <w:pPr>
        <w:pStyle w:val="3"/>
        <w:spacing w:line="360" w:lineRule="auto"/>
        <w:ind w:left="0" w:leftChars="0" w:firstLine="0" w:firstLineChars="0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0"/>
          <w:sz w:val="21"/>
          <w:szCs w:val="21"/>
          <w:highlight w:val="none"/>
          <w:lang w:val="en-US" w:eastAsia="zh-CN"/>
        </w:rPr>
      </w:pPr>
      <w:r>
        <w:rPr>
          <w:rFonts w:hint="eastAsia" w:ascii="仿宋" w:hAnsi="仿宋" w:eastAsia="仿宋" w:cs="仿宋"/>
          <w:snapToGrid w:val="0"/>
          <w:color w:val="000000"/>
          <w:sz w:val="30"/>
          <w:szCs w:val="30"/>
          <w:highlight w:val="none"/>
          <w:lang w:val="en-US" w:eastAsia="zh-CN" w:bidi="ar-SA"/>
        </w:rPr>
        <w:t xml:space="preserve"> </w:t>
      </w:r>
      <w:r>
        <w:rPr>
          <w:rFonts w:hint="eastAsia" w:ascii="宋体" w:hAnsi="宋体" w:eastAsia="宋体" w:cs="宋体"/>
          <w:snapToGrid w:val="0"/>
          <w:color w:val="auto"/>
          <w:spacing w:val="-2"/>
          <w:sz w:val="24"/>
          <w:szCs w:val="24"/>
          <w:highlight w:val="none"/>
          <w:lang w:val="en-US" w:eastAsia="zh-CN" w:bidi="ar-SA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三、服务内容及要求：</w:t>
      </w:r>
    </w:p>
    <w:tbl>
      <w:tblPr>
        <w:tblStyle w:val="4"/>
        <w:tblW w:w="9252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7"/>
        <w:gridCol w:w="1823"/>
        <w:gridCol w:w="2582"/>
        <w:gridCol w:w="4080"/>
      </w:tblGrid>
      <w:tr w14:paraId="31EC62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4874CB"/>
            <w:noWrap/>
            <w:vAlign w:val="center"/>
          </w:tcPr>
          <w:p w14:paraId="1359A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serif" w:hAnsi="serif" w:eastAsia="serif" w:cs="serif"/>
                <w:b/>
                <w:bCs/>
                <w:i w:val="0"/>
                <w:iCs w:val="0"/>
                <w:color w:val="FFFFFF"/>
                <w:sz w:val="22"/>
                <w:szCs w:val="22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4874CB"/>
            <w:noWrap/>
            <w:vAlign w:val="center"/>
          </w:tcPr>
          <w:p w14:paraId="33693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FFFFFF"/>
                <w:sz w:val="22"/>
                <w:szCs w:val="22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模块</w:t>
            </w:r>
          </w:p>
        </w:tc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4874CB"/>
            <w:noWrap/>
            <w:vAlign w:val="center"/>
          </w:tcPr>
          <w:p w14:paraId="732E4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FFFFFF"/>
                <w:sz w:val="22"/>
                <w:szCs w:val="22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4874CB"/>
            <w:noWrap/>
            <w:vAlign w:val="center"/>
          </w:tcPr>
          <w:p w14:paraId="22284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FFFFFF"/>
                <w:sz w:val="22"/>
                <w:szCs w:val="22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项目清单</w:t>
            </w:r>
          </w:p>
        </w:tc>
      </w:tr>
      <w:tr w14:paraId="46CAAC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8F9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8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BDA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竞赛器材</w:t>
            </w:r>
          </w:p>
        </w:tc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39D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专用器材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C09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剑道用花剑、重剑、佩剑</w:t>
            </w:r>
          </w:p>
        </w:tc>
      </w:tr>
      <w:tr w14:paraId="6AF6EF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49DF01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471BF0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4C0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电子器材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A84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摄像</w:t>
            </w:r>
          </w:p>
        </w:tc>
      </w:tr>
      <w:tr w14:paraId="77697A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1D2AFF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F6286E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DE45CA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79C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计时计分系统</w:t>
            </w:r>
          </w:p>
        </w:tc>
      </w:tr>
      <w:tr w14:paraId="66AB1A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9CA121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A66695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825D37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661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成绩显示系统</w:t>
            </w:r>
          </w:p>
        </w:tc>
      </w:tr>
      <w:tr w14:paraId="39D7DF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F35F5B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49198E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EFE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竞赛辅助办公</w:t>
            </w: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器材及耗材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E0F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打印机、纸张等</w:t>
            </w:r>
          </w:p>
        </w:tc>
      </w:tr>
      <w:tr w14:paraId="771192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5BC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8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83D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物料设计</w:t>
            </w: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与制作搭建</w:t>
            </w:r>
          </w:p>
        </w:tc>
        <w:tc>
          <w:tcPr>
            <w:tcW w:w="25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D16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竞赛辅助物料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317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赛事记录单</w:t>
            </w:r>
          </w:p>
        </w:tc>
      </w:tr>
      <w:tr w14:paraId="2783E6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D92A30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BB37C6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262866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E58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号码布</w:t>
            </w:r>
          </w:p>
        </w:tc>
      </w:tr>
      <w:tr w14:paraId="127A05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0DAE05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70D7DC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D614E4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B8A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对阵表</w:t>
            </w:r>
          </w:p>
        </w:tc>
      </w:tr>
      <w:tr w14:paraId="04F146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ED07B5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19B267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A23288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5AE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场地导览</w:t>
            </w:r>
          </w:p>
        </w:tc>
      </w:tr>
      <w:tr w14:paraId="082A22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7F0553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EABED4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DCF8B8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1EC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裁判辅助工具</w:t>
            </w:r>
          </w:p>
        </w:tc>
      </w:tr>
      <w:tr w14:paraId="2952DA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9EBBF3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44AE5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C4E392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C25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赛事指南</w:t>
            </w:r>
          </w:p>
        </w:tc>
      </w:tr>
      <w:tr w14:paraId="0204F5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8ACF92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A935CA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B0E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印刷物料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88C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秩序册</w:t>
            </w:r>
          </w:p>
        </w:tc>
      </w:tr>
      <w:tr w14:paraId="707547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A76BFA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8308A7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E02117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D17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成绩册</w:t>
            </w:r>
          </w:p>
        </w:tc>
      </w:tr>
      <w:tr w14:paraId="20B615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995F51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27A863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BA5884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677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赛况播报系统</w:t>
            </w:r>
          </w:p>
        </w:tc>
      </w:tr>
      <w:tr w14:paraId="6599DC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4AC78F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859CEA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0A4976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B4B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班车时间表</w:t>
            </w:r>
          </w:p>
        </w:tc>
      </w:tr>
      <w:tr w14:paraId="38FED3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8F585D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F25E2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14EE03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2A5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功能名称表</w:t>
            </w:r>
          </w:p>
        </w:tc>
      </w:tr>
      <w:tr w14:paraId="535837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5E62B2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5FD4C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5B269A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3C9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荣誉证书</w:t>
            </w:r>
          </w:p>
        </w:tc>
      </w:tr>
      <w:tr w14:paraId="20BB90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AA8199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543B00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76B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赛场物料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A27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背景栏、彩色挂幅</w:t>
            </w:r>
          </w:p>
        </w:tc>
      </w:tr>
      <w:tr w14:paraId="24DF3B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93770D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9D8BC6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F8B020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DE5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运会海报</w:t>
            </w:r>
          </w:p>
        </w:tc>
      </w:tr>
      <w:tr w14:paraId="573F6F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E12876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67C8C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930ACA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F9D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主背景</w:t>
            </w:r>
          </w:p>
        </w:tc>
      </w:tr>
      <w:tr w14:paraId="5CC712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4AB473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AA5DEA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964A4C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65D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主席台</w:t>
            </w:r>
          </w:p>
        </w:tc>
      </w:tr>
      <w:tr w14:paraId="5E8DB3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C6801A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6B123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4DB21A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F58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围挡</w:t>
            </w:r>
          </w:p>
        </w:tc>
      </w:tr>
      <w:tr w14:paraId="623E15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877D73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732B3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F9EDFA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C0D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赞助LOGO</w:t>
            </w:r>
          </w:p>
        </w:tc>
      </w:tr>
      <w:tr w14:paraId="2B1E2A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64504C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86D6A0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33E047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EE4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运动员席、媒体席</w:t>
            </w:r>
          </w:p>
        </w:tc>
      </w:tr>
      <w:tr w14:paraId="3AB077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B9166D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99E600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BEB66D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D9B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成绩公告</w:t>
            </w:r>
          </w:p>
        </w:tc>
      </w:tr>
      <w:tr w14:paraId="47BE3E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25F102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3C8D6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8F4857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E57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引导牌</w:t>
            </w:r>
          </w:p>
        </w:tc>
      </w:tr>
      <w:tr w14:paraId="5C762C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F6E337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BD970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ACDAFB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EFD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各场地通道</w:t>
            </w:r>
          </w:p>
        </w:tc>
      </w:tr>
      <w:tr w14:paraId="3D4AD6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D9E288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B77E48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939C6D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C40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检录、医疗等</w:t>
            </w:r>
          </w:p>
        </w:tc>
      </w:tr>
      <w:tr w14:paraId="40BE45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9A7F55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8DEDA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F12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外围物料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6F3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充气拱门</w:t>
            </w:r>
          </w:p>
        </w:tc>
      </w:tr>
      <w:tr w14:paraId="485F1E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0527A6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D817F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8D6851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8E4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路线指引</w:t>
            </w:r>
          </w:p>
        </w:tc>
      </w:tr>
      <w:tr w14:paraId="74E63B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723A6B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103372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A190D4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4AD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注水道旗</w:t>
            </w:r>
          </w:p>
        </w:tc>
      </w:tr>
      <w:tr w14:paraId="570F36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73A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8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B40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培训、会议、学习</w:t>
            </w:r>
          </w:p>
        </w:tc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47C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演出物料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9E0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演出道具</w:t>
            </w:r>
          </w:p>
        </w:tc>
      </w:tr>
      <w:tr w14:paraId="36C6DD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4A6250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83F82C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2B3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裁判员学习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5C3B79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49A8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B8E46B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977D90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65D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联系会、抽签会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4106BF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459B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F751E3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8B6E03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990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灭火消杀工作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056C9C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54A3E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7F1AE2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C2CEB5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5DC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组委会、技术会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C62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</w:t>
            </w:r>
          </w:p>
        </w:tc>
      </w:tr>
      <w:tr w14:paraId="05162A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844177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4D041C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703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志愿者培训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BEBFB5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677C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4BB168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EFA4BB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CF5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裁判员培训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F3BD85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8F3C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081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8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441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竞赛功能布置</w:t>
            </w:r>
          </w:p>
        </w:tc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B61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赛场搭建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0F4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场地布置</w:t>
            </w:r>
          </w:p>
        </w:tc>
      </w:tr>
      <w:tr w14:paraId="2F5576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53BECE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104E51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678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功能房布置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83C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防护栏</w:t>
            </w:r>
          </w:p>
        </w:tc>
      </w:tr>
      <w:tr w14:paraId="779C90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9F9292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7A4362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03907C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D7F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场地水电、空调</w:t>
            </w:r>
          </w:p>
        </w:tc>
      </w:tr>
      <w:tr w14:paraId="763AEF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5A4F1B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C5B735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B14CD8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5C3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组委会办公</w:t>
            </w:r>
          </w:p>
        </w:tc>
      </w:tr>
      <w:tr w14:paraId="410F8E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B25633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8E61FF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F2125B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D83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竞赛会议室</w:t>
            </w:r>
          </w:p>
        </w:tc>
      </w:tr>
      <w:tr w14:paraId="355A37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EDC8FB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297911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AA38EF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152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兴奋剂检测室（含洗手间）</w:t>
            </w:r>
          </w:p>
        </w:tc>
      </w:tr>
      <w:tr w14:paraId="64F51A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E71511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735619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E4A2D7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8AF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器材室</w:t>
            </w:r>
          </w:p>
        </w:tc>
      </w:tr>
      <w:tr w14:paraId="2BC8CD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ACE356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7BDE63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DD1D9C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559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仲裁摄影室</w:t>
            </w:r>
          </w:p>
        </w:tc>
      </w:tr>
      <w:tr w14:paraId="449DD5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E77B1A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7A8C85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449334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F78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裁判休息室</w:t>
            </w:r>
          </w:p>
        </w:tc>
      </w:tr>
      <w:tr w14:paraId="7349F7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ED201C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95A25C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81C5C1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D10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检录区</w:t>
            </w:r>
          </w:p>
        </w:tc>
      </w:tr>
      <w:tr w14:paraId="53F9F6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CE12C0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743EF3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EFC39F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79B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颁奖区设置</w:t>
            </w:r>
          </w:p>
        </w:tc>
      </w:tr>
      <w:tr w14:paraId="680A04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73B89F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5032F8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F89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颁奖布置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055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颁奖背景动画制作</w:t>
            </w:r>
          </w:p>
        </w:tc>
      </w:tr>
      <w:tr w14:paraId="044C3F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C82F63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E51FD6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C7332B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FF1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颁奖所需用品：颁奖台、</w:t>
            </w: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话筒、鲜花、红绸、托盘</w:t>
            </w:r>
          </w:p>
        </w:tc>
      </w:tr>
      <w:tr w14:paraId="5D01AC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EFB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A45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赛事风险评估</w:t>
            </w:r>
          </w:p>
        </w:tc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C1D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C626B9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065A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047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F62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保险</w:t>
            </w:r>
          </w:p>
        </w:tc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EDB5F5">
            <w:pPr>
              <w:jc w:val="center"/>
              <w:rPr>
                <w:rFonts w:hint="eastAsia" w:ascii="serif" w:hAnsi="serif" w:eastAsia="宋体" w:cs="serif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serif" w:hAnsi="serif" w:eastAsia="宋体" w:cs="serif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保险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C9728F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EC9A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57B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8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1A6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交通</w:t>
            </w:r>
          </w:p>
        </w:tc>
        <w:tc>
          <w:tcPr>
            <w:tcW w:w="25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E9D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交通安排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2B3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运动队</w:t>
            </w:r>
          </w:p>
        </w:tc>
      </w:tr>
      <w:tr w14:paraId="274D11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F33413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738D0C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978564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6DA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裁判员</w:t>
            </w:r>
          </w:p>
        </w:tc>
      </w:tr>
      <w:tr w14:paraId="7F8652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CC4B8B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65191D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CE1E20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884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志愿者</w:t>
            </w:r>
          </w:p>
        </w:tc>
      </w:tr>
      <w:tr w14:paraId="7AC205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945E4A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315FF3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3307FB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582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工作人员</w:t>
            </w:r>
          </w:p>
        </w:tc>
      </w:tr>
      <w:tr w14:paraId="1D2827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2FA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8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23E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住宿</w:t>
            </w:r>
          </w:p>
        </w:tc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1FCEC8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1A8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运动员</w:t>
            </w:r>
          </w:p>
        </w:tc>
      </w:tr>
      <w:tr w14:paraId="6D8EEE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9552C9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FBEB53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B123AB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FCF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裁判员</w:t>
            </w:r>
          </w:p>
        </w:tc>
      </w:tr>
      <w:tr w14:paraId="7F16D8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6CF9A4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DFA670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864833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17B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组委会、官员</w:t>
            </w:r>
          </w:p>
        </w:tc>
      </w:tr>
      <w:tr w14:paraId="1AFE4E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1A4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8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D30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伙食</w:t>
            </w:r>
          </w:p>
        </w:tc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34550B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019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运动员</w:t>
            </w:r>
          </w:p>
        </w:tc>
      </w:tr>
      <w:tr w14:paraId="5A1230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07F1C3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99D123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A91311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92D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裁判员</w:t>
            </w:r>
          </w:p>
        </w:tc>
      </w:tr>
      <w:tr w14:paraId="37477C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976756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01A1C9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8B99C7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1CC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组委会、官员</w:t>
            </w:r>
          </w:p>
        </w:tc>
      </w:tr>
      <w:tr w14:paraId="51A445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7C2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8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CC4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通用用品</w:t>
            </w:r>
          </w:p>
        </w:tc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7CB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饮用水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885AB5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7782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96CE2A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0ABFC1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EEA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医务水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2B7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采购</w:t>
            </w:r>
          </w:p>
        </w:tc>
      </w:tr>
      <w:tr w14:paraId="504340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2AA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8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784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劳务</w:t>
            </w:r>
          </w:p>
        </w:tc>
        <w:tc>
          <w:tcPr>
            <w:tcW w:w="25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51B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劳务费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FC5B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省派裁判长</w:t>
            </w:r>
          </w:p>
        </w:tc>
      </w:tr>
      <w:tr w14:paraId="2FEA3D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77ADB1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7014A3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5E3413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D78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副裁判长（含官技术代表等）</w:t>
            </w:r>
          </w:p>
        </w:tc>
      </w:tr>
      <w:tr w14:paraId="041C75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F53DAE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B9B4ED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6FAD35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985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组委会、官员</w:t>
            </w:r>
          </w:p>
        </w:tc>
      </w:tr>
      <w:tr w14:paraId="241771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67B940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195952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2FBCB3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53C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裁判员</w:t>
            </w:r>
          </w:p>
        </w:tc>
      </w:tr>
      <w:tr w14:paraId="6B8F84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4C6C29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08B37B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C1E5C0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11F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工作人员</w:t>
            </w:r>
          </w:p>
        </w:tc>
      </w:tr>
      <w:tr w14:paraId="6BA62E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F16860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40DD4F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247308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10F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大会医生</w:t>
            </w:r>
          </w:p>
        </w:tc>
      </w:tr>
      <w:tr w14:paraId="54FF45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8252E8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EB11E8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D82375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F0D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安保人员</w:t>
            </w:r>
          </w:p>
        </w:tc>
      </w:tr>
      <w:tr w14:paraId="7F5D63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01892F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990735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5E6607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090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保洁人员</w:t>
            </w:r>
          </w:p>
        </w:tc>
      </w:tr>
      <w:tr w14:paraId="4EF22D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320070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AC0CA8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6F9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差旅费</w:t>
            </w: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76A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省派裁判长</w:t>
            </w:r>
          </w:p>
        </w:tc>
      </w:tr>
      <w:tr w14:paraId="338F73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1476FB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94E8E4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8203A1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3F8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副裁</w:t>
            </w:r>
          </w:p>
        </w:tc>
      </w:tr>
      <w:tr w14:paraId="151B3F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3A8C8E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</w:p>
        </w:tc>
        <w:tc>
          <w:tcPr>
            <w:tcW w:w="18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B0C833">
            <w:pPr>
              <w:jc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768535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CF9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组委会、官员</w:t>
            </w:r>
          </w:p>
        </w:tc>
      </w:tr>
      <w:tr w14:paraId="496470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A15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4874CB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ACD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serif" w:hAnsi="serif" w:eastAsia="serif" w:cs="serif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serif" w:hAnsi="serif" w:eastAsia="serif" w:cs="serif"/>
                <w:b/>
                <w:bCs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税金</w:t>
            </w:r>
          </w:p>
        </w:tc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8B6100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363796">
            <w:pPr>
              <w:jc w:val="center"/>
              <w:rPr>
                <w:rFonts w:hint="default" w:ascii="serif" w:hAnsi="serif" w:eastAsia="serif" w:cs="serif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</w:tbl>
    <w:p w14:paraId="3993E3FB">
      <w:pPr>
        <w:pStyle w:val="2"/>
        <w:spacing w:line="360" w:lineRule="auto"/>
        <w:ind w:firstLine="480" w:firstLineChars="200"/>
        <w:rPr>
          <w:rFonts w:hint="eastAsia" w:ascii="宋体" w:hAnsi="宋体" w:eastAsia="宋体" w:cs="宋体"/>
          <w:i w:val="0"/>
          <w:iCs w:val="0"/>
          <w:caps w:val="0"/>
          <w:color w:val="222222"/>
          <w:spacing w:val="0"/>
          <w:sz w:val="24"/>
          <w:szCs w:val="24"/>
          <w:highlight w:val="none"/>
          <w:lang w:val="en-US" w:eastAsia="zh-CN"/>
        </w:rPr>
      </w:pPr>
    </w:p>
    <w:p w14:paraId="7E1509B4">
      <w:pPr>
        <w:pStyle w:val="2"/>
        <w:spacing w:line="360" w:lineRule="auto"/>
        <w:ind w:firstLine="480" w:firstLineChars="200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222222"/>
          <w:spacing w:val="0"/>
          <w:sz w:val="24"/>
          <w:szCs w:val="24"/>
          <w:highlight w:val="none"/>
          <w:lang w:val="en-US" w:eastAsia="zh-CN"/>
        </w:rPr>
        <w:t>服务商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全面负责赛事的策划、执行与保障全流程工作。协调各单项赛事筹备工作，包括场地布置，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US" w:eastAsia="zh-CN"/>
        </w:rPr>
        <w:t>裁判人员及工作人员安排、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设备采购与租赁，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US" w:eastAsia="zh-CN"/>
        </w:rPr>
        <w:t>物料设计与制作搭建、竞赛相关培训与会议、负责场馆服务、食宿交通安排、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制订安全方案并为赛事投保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eastAsia="zh-CN"/>
        </w:rPr>
        <w:t>、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US" w:eastAsia="zh-CN"/>
        </w:rPr>
        <w:t>赛事医疗服务等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。通过专业、规范、安全的赛事组织服务.保障赛事圆满成功。</w:t>
      </w:r>
    </w:p>
    <w:p w14:paraId="47DA7E2C">
      <w:pPr>
        <w:pStyle w:val="3"/>
        <w:numPr>
          <w:ilvl w:val="0"/>
          <w:numId w:val="0"/>
        </w:numPr>
        <w:kinsoku w:val="0"/>
        <w:autoSpaceDE w:val="0"/>
        <w:autoSpaceDN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  <w:t>（一）场地布置</w:t>
      </w:r>
    </w:p>
    <w:p w14:paraId="1E395330">
      <w:pPr>
        <w:keepNext w:val="0"/>
        <w:keepLines w:val="0"/>
        <w:widowControl/>
        <w:suppressLineNumbers w:val="0"/>
        <w:spacing w:line="360" w:lineRule="auto"/>
        <w:ind w:firstLine="480" w:firstLineChars="200"/>
        <w:jc w:val="left"/>
        <w:rPr>
          <w:color w:val="auto"/>
          <w:highlight w:val="none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  <w:t xml:space="preserve">1.可使用面积按正常24条剑道计算最低标准 20*40米（活不低于1400平方米），高度7米以上 ； </w:t>
      </w:r>
    </w:p>
    <w:p w14:paraId="5A6AF0F6">
      <w:pPr>
        <w:keepNext w:val="0"/>
        <w:keepLines w:val="0"/>
        <w:widowControl/>
        <w:suppressLineNumbers w:val="0"/>
        <w:spacing w:line="360" w:lineRule="auto"/>
        <w:ind w:firstLine="480" w:firstLineChars="200"/>
        <w:jc w:val="left"/>
        <w:rPr>
          <w:highlight w:val="none"/>
        </w:rPr>
      </w:pP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 xml:space="preserve">2.决赛区域视情况铺地毯，剑道末端距铁马/围挡之间的距离为1.5-2米。 </w:t>
      </w:r>
    </w:p>
    <w:p w14:paraId="6C3C2A41">
      <w:pPr>
        <w:keepNext w:val="0"/>
        <w:keepLines w:val="0"/>
        <w:widowControl/>
        <w:suppressLineNumbers w:val="0"/>
        <w:spacing w:line="360" w:lineRule="auto"/>
        <w:ind w:firstLine="480" w:firstLineChars="200"/>
        <w:jc w:val="left"/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>3.平均照明不低于800LX，需满足竞赛要求。</w:t>
      </w:r>
    </w:p>
    <w:p w14:paraId="11FDF3F0">
      <w:pPr>
        <w:pStyle w:val="3"/>
        <w:numPr>
          <w:ilvl w:val="0"/>
          <w:numId w:val="0"/>
        </w:numPr>
        <w:kinsoku w:val="0"/>
        <w:autoSpaceDE w:val="0"/>
        <w:autoSpaceDN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>（二）设备采购与租赁</w:t>
      </w:r>
    </w:p>
    <w:p w14:paraId="342688A0">
      <w:pPr>
        <w:keepNext w:val="0"/>
        <w:keepLines w:val="0"/>
        <w:widowControl/>
        <w:suppressLineNumbers w:val="0"/>
        <w:spacing w:line="360" w:lineRule="auto"/>
        <w:ind w:firstLine="480" w:firstLineChars="200"/>
        <w:jc w:val="left"/>
        <w:rPr>
          <w:highlight w:val="none"/>
        </w:rPr>
      </w:pP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 xml:space="preserve">1.需安排至少16*1.5米标准剑道，如有高台，作为决赛剑道更佳； </w:t>
      </w:r>
    </w:p>
    <w:p w14:paraId="0442026B">
      <w:pPr>
        <w:keepNext w:val="0"/>
        <w:keepLines w:val="0"/>
        <w:widowControl/>
        <w:suppressLineNumbers w:val="0"/>
        <w:spacing w:line="360" w:lineRule="auto"/>
        <w:ind w:firstLine="480" w:firstLineChars="200"/>
        <w:jc w:val="left"/>
        <w:rPr>
          <w:highlight w:val="none"/>
        </w:rPr>
      </w:pP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 xml:space="preserve">2.裁判器需根据剑道数量，每条剑道配备一台裁判器，包括相关拖线盘及连接线； </w:t>
      </w:r>
    </w:p>
    <w:p w14:paraId="3B3C7A56">
      <w:pPr>
        <w:keepNext w:val="0"/>
        <w:keepLines w:val="0"/>
        <w:widowControl/>
        <w:suppressLineNumbers w:val="0"/>
        <w:spacing w:line="360" w:lineRule="auto"/>
        <w:ind w:firstLine="480" w:firstLineChars="200"/>
        <w:jc w:val="left"/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>3.如经费允许，安排录像回放系统，可在关键轮次场次使用。</w:t>
      </w:r>
    </w:p>
    <w:p w14:paraId="0F0C51EE">
      <w:pPr>
        <w:pStyle w:val="3"/>
        <w:numPr>
          <w:ilvl w:val="0"/>
          <w:numId w:val="0"/>
        </w:numPr>
        <w:kinsoku w:val="0"/>
        <w:autoSpaceDE w:val="0"/>
        <w:autoSpaceDN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>（三）物料设计与制作搭建</w:t>
      </w:r>
    </w:p>
    <w:p w14:paraId="7EAD99B8">
      <w:pPr>
        <w:pStyle w:val="3"/>
        <w:numPr>
          <w:ilvl w:val="0"/>
          <w:numId w:val="0"/>
        </w:numPr>
        <w:kinsoku w:val="0"/>
        <w:autoSpaceDE w:val="0"/>
        <w:autoSpaceDN w:val="0"/>
        <w:adjustRightInd w:val="0"/>
        <w:snapToGrid w:val="0"/>
        <w:spacing w:line="360" w:lineRule="auto"/>
        <w:ind w:left="0" w:leftChars="0" w:firstLine="480" w:firstLineChars="200"/>
        <w:textAlignment w:val="baseline"/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>物料设计制作及安装，包括(不限于以下内容)：</w:t>
      </w:r>
    </w:p>
    <w:p w14:paraId="0A95D9C3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1.竞赛辅助物料：单项赛事记录单、号码布、对战表、场地编号、竞赛判罚辅助工具，竞赛配套容器等；</w:t>
      </w:r>
    </w:p>
    <w:p w14:paraId="6CE2295C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2.印刷物料：场地适应训练表、日程班车时刻表、功能房名称、桌签等；</w:t>
      </w:r>
    </w:p>
    <w:p w14:paraId="247F4F07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3.赛场物料：主背景画面、主席台画面、围挡画面、赞助商广告LOGO、运动员席，媒体席、成绩公告、引导牌、各场地通道口物料等；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br w:type="textWrapping"/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4.外围物料：充气拱门、指引（路线引导、场馆平面图、流线图）、注水道旗等；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br w:type="textWrapping"/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5.酒店物料：会务报到、桌签、车牌、公告、条幅等。</w:t>
      </w:r>
    </w:p>
    <w:p w14:paraId="46F610C3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6.负责现场宣传物料布置，因物料宣传内容及质量所造成的投诉纠纷 、法律责任及费用赔付责任均由供应商全部承担</w:t>
      </w:r>
    </w:p>
    <w:p w14:paraId="5F8C8FD0">
      <w:pPr>
        <w:pStyle w:val="3"/>
        <w:numPr>
          <w:ilvl w:val="0"/>
          <w:numId w:val="0"/>
        </w:numPr>
        <w:kinsoku w:val="0"/>
        <w:autoSpaceDE w:val="0"/>
        <w:autoSpaceDN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>（四）竞赛相关培训与会议</w:t>
      </w:r>
    </w:p>
    <w:p w14:paraId="17442FE0">
      <w:pPr>
        <w:pStyle w:val="3"/>
        <w:numPr>
          <w:ilvl w:val="0"/>
          <w:numId w:val="0"/>
        </w:numPr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textAlignment w:val="baseline"/>
        <w:rPr>
          <w:rFonts w:ascii="微软雅黑" w:hAnsi="微软雅黑" w:eastAsia="微软雅黑" w:cs="微软雅黑"/>
          <w:i w:val="0"/>
          <w:iCs w:val="0"/>
          <w:caps w:val="0"/>
          <w:color w:val="222222"/>
          <w:spacing w:val="0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>1.提供裁判员学习会、反兴奋剂会、组委会暨技术会、单项新闻发布会的会议场地布置与会议组织工作方案；</w:t>
      </w: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br w:type="textWrapping"/>
      </w: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 xml:space="preserve">  2.制定组织服务工作方案，提供赛事项目志愿者</w:t>
      </w: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highlight w:val="none"/>
          <w:lang w:val="zh-CN" w:eastAsia="zh-CN" w:bidi="ar"/>
        </w:rPr>
        <w:t>岗位</w:t>
      </w: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>专业指导培训。</w:t>
      </w:r>
    </w:p>
    <w:p w14:paraId="5A53FDBC">
      <w:pPr>
        <w:pStyle w:val="3"/>
        <w:numPr>
          <w:ilvl w:val="0"/>
          <w:numId w:val="0"/>
        </w:numPr>
        <w:kinsoku w:val="0"/>
        <w:autoSpaceDE w:val="0"/>
        <w:autoSpaceDN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>（五）负责场馆服务</w:t>
      </w:r>
    </w:p>
    <w:p w14:paraId="418A7E0A">
      <w:pPr>
        <w:keepNext w:val="0"/>
        <w:keepLines w:val="0"/>
        <w:widowControl/>
        <w:suppressLineNumbers w:val="0"/>
        <w:spacing w:line="360" w:lineRule="auto"/>
        <w:ind w:firstLine="480" w:firstLineChars="200"/>
        <w:jc w:val="left"/>
        <w:rPr>
          <w:highlight w:val="none"/>
        </w:rPr>
      </w:pP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 xml:space="preserve">1.供应商在竞赛开始前应对场地安全进行确认，经确认后在竞赛时间内如发生安全事故，由供应商承担由此引起的一切法律责任和经济责任，若导致采购人遭受损失的，采购人有权向供应商进行足额追偿。 </w:t>
      </w:r>
    </w:p>
    <w:p w14:paraId="7D69229C">
      <w:pPr>
        <w:keepNext w:val="0"/>
        <w:keepLines w:val="0"/>
        <w:widowControl/>
        <w:suppressLineNumbers w:val="0"/>
        <w:spacing w:line="360" w:lineRule="auto"/>
        <w:ind w:firstLine="480" w:firstLineChars="200"/>
        <w:jc w:val="left"/>
        <w:rPr>
          <w:rFonts w:ascii="微软雅黑" w:hAnsi="微软雅黑" w:eastAsia="微软雅黑" w:cs="微软雅黑"/>
          <w:i w:val="0"/>
          <w:iCs w:val="0"/>
          <w:caps w:val="0"/>
          <w:color w:val="222222"/>
          <w:spacing w:val="0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>2.竞赛活动开展期间，供应商应服从采购人关于消防、综治防疫的管理要求，保证合作竞赛项目顺利开展。</w:t>
      </w:r>
    </w:p>
    <w:p w14:paraId="314F83FA">
      <w:pPr>
        <w:pStyle w:val="3"/>
        <w:numPr>
          <w:ilvl w:val="0"/>
          <w:numId w:val="0"/>
        </w:numPr>
        <w:kinsoku w:val="0"/>
        <w:autoSpaceDE w:val="0"/>
        <w:autoSpaceDN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>（六）食宿交通安排</w:t>
      </w:r>
    </w:p>
    <w:p w14:paraId="1C8CD2B3">
      <w:pPr>
        <w:keepNext w:val="0"/>
        <w:keepLines w:val="0"/>
        <w:widowControl/>
        <w:suppressLineNumbers w:val="0"/>
        <w:spacing w:line="360" w:lineRule="auto"/>
        <w:ind w:firstLine="480" w:firstLineChars="200"/>
        <w:jc w:val="left"/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>1.对各竞赛后勤保障、车辆调度等提供咨询及设计，确保赛事标准统一，符合竞赛要求保障。</w:t>
      </w:r>
    </w:p>
    <w:p w14:paraId="3BB8BBBB">
      <w:pPr>
        <w:keepNext w:val="0"/>
        <w:keepLines w:val="0"/>
        <w:widowControl/>
        <w:suppressLineNumbers w:val="0"/>
        <w:spacing w:line="360" w:lineRule="auto"/>
        <w:ind w:firstLine="480" w:firstLineChars="200"/>
        <w:jc w:val="left"/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/>
          <w:kern w:val="2"/>
          <w:sz w:val="24"/>
          <w:szCs w:val="24"/>
          <w:highlight w:val="none"/>
          <w:lang w:val="en-US" w:eastAsia="zh-CN" w:bidi="ar-SA"/>
        </w:rPr>
        <w:t>2.全程负责各参赛主体的高铁站到赛事现场，场馆到酒店，酒店到就餐地的车辆安排。</w:t>
      </w:r>
    </w:p>
    <w:p w14:paraId="59945038">
      <w:pPr>
        <w:keepNext w:val="0"/>
        <w:keepLines w:val="0"/>
        <w:widowControl/>
        <w:suppressLineNumbers w:val="0"/>
        <w:spacing w:line="360" w:lineRule="auto"/>
        <w:ind w:firstLine="480" w:firstLineChars="200"/>
        <w:jc w:val="left"/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>3.活动接待宾馆应当干净、卫生、安全，就餐条件应达到卫生B类。</w:t>
      </w:r>
    </w:p>
    <w:p w14:paraId="55AC5EB2">
      <w:pPr>
        <w:pStyle w:val="3"/>
        <w:numPr>
          <w:ilvl w:val="0"/>
          <w:numId w:val="0"/>
        </w:numPr>
        <w:kinsoku w:val="0"/>
        <w:autoSpaceDE w:val="0"/>
        <w:autoSpaceDN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>（七）赛事风险评估</w:t>
      </w:r>
    </w:p>
    <w:p w14:paraId="7A7389E1">
      <w:pPr>
        <w:pStyle w:val="3"/>
        <w:numPr>
          <w:ilvl w:val="0"/>
          <w:numId w:val="0"/>
        </w:numPr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 w:ascii="宋体" w:hAnsi="宋体" w:eastAsia="宋体" w:cs="宋体"/>
          <w:b w:val="0"/>
          <w:bCs/>
          <w:snapToGrid w:val="0"/>
          <w:color w:val="000000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/>
          <w:snapToGrid w:val="0"/>
          <w:color w:val="000000"/>
          <w:kern w:val="2"/>
          <w:sz w:val="24"/>
          <w:szCs w:val="24"/>
          <w:highlight w:val="none"/>
          <w:lang w:val="en-US" w:eastAsia="zh-CN" w:bidi="ar-SA"/>
        </w:rPr>
        <w:t>依据国务院体规字〔2021〕3号《关于进一步加强体育赛事活动安全监管服务的意见》，国家体育总局要求，健全赛事风险评估及应急要求。</w:t>
      </w:r>
    </w:p>
    <w:p w14:paraId="61E3169A">
      <w:pPr>
        <w:pStyle w:val="3"/>
        <w:numPr>
          <w:ilvl w:val="0"/>
          <w:numId w:val="0"/>
        </w:numPr>
        <w:kinsoku w:val="0"/>
        <w:autoSpaceDE w:val="0"/>
        <w:autoSpaceDN w:val="0"/>
        <w:adjustRightInd w:val="0"/>
        <w:snapToGrid w:val="0"/>
        <w:spacing w:line="360" w:lineRule="auto"/>
        <w:textAlignment w:val="baseline"/>
        <w:rPr>
          <w:rFonts w:hint="default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>（八）制订安全方案并为赛事投保</w:t>
      </w:r>
    </w:p>
    <w:p w14:paraId="2249D6C1">
      <w:pPr>
        <w:pStyle w:val="3"/>
        <w:numPr>
          <w:ilvl w:val="0"/>
          <w:numId w:val="0"/>
        </w:numPr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 w:ascii="宋体" w:hAnsi="宋体" w:eastAsia="宋体" w:cs="宋体"/>
          <w:b w:val="0"/>
          <w:bCs/>
          <w:snapToGrid w:val="0"/>
          <w:color w:val="000000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/>
          <w:snapToGrid w:val="0"/>
          <w:color w:val="000000"/>
          <w:kern w:val="2"/>
          <w:sz w:val="24"/>
          <w:szCs w:val="24"/>
          <w:highlight w:val="none"/>
          <w:lang w:val="en-US" w:eastAsia="zh-CN" w:bidi="ar-SA"/>
        </w:rPr>
        <w:t>本着一切从保护组委会利益出发的原则，推荐承办单位对赛事期间运动队、工作人员及观众购买公众责任保险，对转移各项风险起到切实保障作用。</w:t>
      </w:r>
    </w:p>
    <w:p w14:paraId="245C4711">
      <w:pPr>
        <w:keepNext w:val="0"/>
        <w:keepLines w:val="0"/>
        <w:widowControl/>
        <w:suppressLineNumbers w:val="0"/>
        <w:spacing w:line="360" w:lineRule="auto"/>
        <w:jc w:val="left"/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>（九）赛事医疗服务</w:t>
      </w:r>
    </w:p>
    <w:p w14:paraId="221A9C6E">
      <w:pPr>
        <w:pStyle w:val="2"/>
        <w:spacing w:line="360" w:lineRule="auto"/>
        <w:ind w:firstLine="480" w:firstLineChars="200"/>
        <w:jc w:val="left"/>
        <w:rPr>
          <w:rFonts w:hint="eastAsia" w:ascii="Times New Roman" w:hAnsi="宋体" w:eastAsia="宋体" w:cs="宋体"/>
          <w:b w:val="0"/>
          <w:bCs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Times New Roman" w:hAnsi="宋体" w:eastAsia="宋体" w:cs="宋体"/>
          <w:b w:val="0"/>
          <w:bCs/>
          <w:kern w:val="2"/>
          <w:sz w:val="24"/>
          <w:szCs w:val="24"/>
          <w:highlight w:val="none"/>
          <w:lang w:val="en-US" w:eastAsia="zh-CN" w:bidi="ar-SA"/>
        </w:rPr>
        <w:t>为确保比赛的安全进行，整场比赛需要调动救护车</w:t>
      </w:r>
      <w:r>
        <w:rPr>
          <w:rFonts w:hint="eastAsia" w:hAnsi="宋体" w:cs="宋体"/>
          <w:b w:val="0"/>
          <w:bCs/>
          <w:kern w:val="2"/>
          <w:sz w:val="24"/>
          <w:szCs w:val="24"/>
          <w:highlight w:val="none"/>
          <w:lang w:val="en-US" w:eastAsia="zh-CN" w:bidi="ar-SA"/>
        </w:rPr>
        <w:t>2</w:t>
      </w:r>
      <w:r>
        <w:rPr>
          <w:rFonts w:hint="eastAsia" w:ascii="Times New Roman" w:hAnsi="宋体" w:eastAsia="宋体" w:cs="宋体"/>
          <w:b w:val="0"/>
          <w:bCs/>
          <w:kern w:val="2"/>
          <w:sz w:val="24"/>
          <w:szCs w:val="24"/>
          <w:highlight w:val="none"/>
          <w:lang w:val="en-US" w:eastAsia="zh-CN" w:bidi="ar-SA"/>
        </w:rPr>
        <w:t>辆，心肺复苏</w:t>
      </w:r>
      <w:r>
        <w:rPr>
          <w:rFonts w:hint="eastAsia" w:hAnsi="宋体" w:cs="宋体"/>
          <w:b w:val="0"/>
          <w:bCs/>
          <w:kern w:val="2"/>
          <w:sz w:val="24"/>
          <w:szCs w:val="24"/>
          <w:highlight w:val="none"/>
          <w:lang w:val="en-US" w:eastAsia="zh-CN" w:bidi="ar-SA"/>
        </w:rPr>
        <w:t>设备2</w:t>
      </w:r>
      <w:r>
        <w:rPr>
          <w:rFonts w:hint="eastAsia" w:ascii="Times New Roman" w:hAnsi="宋体" w:eastAsia="宋体" w:cs="宋体"/>
          <w:b w:val="0"/>
          <w:bCs/>
          <w:kern w:val="2"/>
          <w:sz w:val="24"/>
          <w:szCs w:val="24"/>
          <w:highlight w:val="none"/>
          <w:lang w:val="en-US" w:eastAsia="zh-CN" w:bidi="ar-SA"/>
        </w:rPr>
        <w:t>台，医生</w:t>
      </w:r>
      <w:r>
        <w:rPr>
          <w:rFonts w:hint="eastAsia" w:hAnsi="宋体" w:cs="宋体"/>
          <w:b w:val="0"/>
          <w:bCs/>
          <w:kern w:val="2"/>
          <w:sz w:val="24"/>
          <w:szCs w:val="24"/>
          <w:highlight w:val="none"/>
          <w:lang w:val="en-US" w:eastAsia="zh-CN" w:bidi="ar-SA"/>
        </w:rPr>
        <w:t>2</w:t>
      </w:r>
      <w:r>
        <w:rPr>
          <w:rFonts w:hint="eastAsia" w:ascii="Times New Roman" w:hAnsi="宋体" w:eastAsia="宋体" w:cs="宋体"/>
          <w:b w:val="0"/>
          <w:bCs/>
          <w:kern w:val="2"/>
          <w:sz w:val="24"/>
          <w:szCs w:val="24"/>
          <w:highlight w:val="none"/>
          <w:lang w:val="en-US" w:eastAsia="zh-CN" w:bidi="ar-SA"/>
        </w:rPr>
        <w:t>名，护士</w:t>
      </w:r>
      <w:r>
        <w:rPr>
          <w:rFonts w:hint="eastAsia" w:hAnsi="宋体" w:cs="宋体"/>
          <w:b w:val="0"/>
          <w:bCs/>
          <w:kern w:val="2"/>
          <w:sz w:val="24"/>
          <w:szCs w:val="24"/>
          <w:highlight w:val="none"/>
          <w:lang w:val="en-US" w:eastAsia="zh-CN" w:bidi="ar-SA"/>
        </w:rPr>
        <w:t>3</w:t>
      </w:r>
      <w:r>
        <w:rPr>
          <w:rFonts w:hint="eastAsia" w:ascii="Times New Roman" w:hAnsi="宋体" w:eastAsia="宋体" w:cs="宋体"/>
          <w:b w:val="0"/>
          <w:bCs/>
          <w:kern w:val="2"/>
          <w:sz w:val="24"/>
          <w:szCs w:val="24"/>
          <w:highlight w:val="none"/>
          <w:lang w:val="en-US" w:eastAsia="zh-CN" w:bidi="ar-SA"/>
        </w:rPr>
        <w:t>名，在整个比赛过程中全程</w:t>
      </w:r>
      <w:r>
        <w:rPr>
          <w:rFonts w:hint="eastAsia" w:hAnsi="宋体" w:cs="宋体"/>
          <w:b w:val="0"/>
          <w:bCs/>
          <w:kern w:val="2"/>
          <w:sz w:val="24"/>
          <w:szCs w:val="24"/>
          <w:highlight w:val="none"/>
          <w:lang w:val="en-US" w:eastAsia="zh-CN" w:bidi="ar-SA"/>
        </w:rPr>
        <w:t>值守</w:t>
      </w:r>
      <w:r>
        <w:rPr>
          <w:rFonts w:hint="eastAsia" w:ascii="Times New Roman" w:hAnsi="宋体" w:eastAsia="宋体" w:cs="宋体"/>
          <w:b w:val="0"/>
          <w:bCs/>
          <w:kern w:val="2"/>
          <w:sz w:val="24"/>
          <w:szCs w:val="24"/>
          <w:highlight w:val="none"/>
          <w:lang w:val="en-US" w:eastAsia="zh-CN" w:bidi="ar-SA"/>
        </w:rPr>
        <w:t>在赛事现场</w:t>
      </w:r>
    </w:p>
    <w:p w14:paraId="2BF6352A">
      <w:pPr>
        <w:pStyle w:val="2"/>
        <w:numPr>
          <w:ilvl w:val="0"/>
          <w:numId w:val="1"/>
        </w:numPr>
        <w:spacing w:line="360" w:lineRule="auto"/>
        <w:jc w:val="left"/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>赛事记录和宣传</w:t>
      </w:r>
    </w:p>
    <w:p w14:paraId="06B9FE15">
      <w:pPr>
        <w:pStyle w:val="2"/>
        <w:spacing w:line="360" w:lineRule="auto"/>
        <w:ind w:firstLine="480" w:firstLineChars="200"/>
        <w:jc w:val="left"/>
        <w:rPr>
          <w:rFonts w:hint="default" w:ascii="Times New Roman" w:hAnsi="宋体" w:eastAsia="宋体" w:cs="宋体"/>
          <w:b w:val="0"/>
          <w:bCs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default" w:ascii="Times New Roman" w:hAnsi="宋体" w:eastAsia="宋体" w:cs="宋体"/>
          <w:b w:val="0"/>
          <w:bCs/>
          <w:kern w:val="2"/>
          <w:sz w:val="24"/>
          <w:szCs w:val="24"/>
          <w:highlight w:val="none"/>
          <w:lang w:val="en-US" w:eastAsia="zh-CN" w:bidi="ar-SA"/>
        </w:rPr>
        <w:t>负责赛事全周期影像纪实，覆盖赛前彩排、开幕式、正式竞赛、颁奖仪式、嘉宾活动、赛场花絮、后勤保障等全部环节；全程拍摄高清实拍照片、现场原视频、现场采访音视频素材</w:t>
      </w:r>
      <w:r>
        <w:rPr>
          <w:rFonts w:hint="eastAsia" w:ascii="Times New Roman" w:hAnsi="宋体" w:eastAsia="宋体" w:cs="宋体"/>
          <w:b w:val="0"/>
          <w:bCs/>
          <w:kern w:val="2"/>
          <w:sz w:val="24"/>
          <w:szCs w:val="24"/>
          <w:highlight w:val="none"/>
          <w:lang w:val="en-US" w:eastAsia="zh-CN" w:bidi="ar-SA"/>
        </w:rPr>
        <w:t>，完成审计公共平台报道1次，市级公共平台报道3次，并配套投放赛事宣传视频。</w:t>
      </w:r>
    </w:p>
    <w:p w14:paraId="1ADFCF3E">
      <w:pPr>
        <w:keepNext w:val="0"/>
        <w:keepLines w:val="0"/>
        <w:widowControl/>
        <w:suppressLineNumbers w:val="0"/>
        <w:spacing w:line="360" w:lineRule="auto"/>
        <w:jc w:val="left"/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>(十二）通用品</w:t>
      </w:r>
    </w:p>
    <w:p w14:paraId="5ABFD095">
      <w:pPr>
        <w:keepNext w:val="0"/>
        <w:keepLines w:val="0"/>
        <w:widowControl/>
        <w:numPr>
          <w:ilvl w:val="0"/>
          <w:numId w:val="0"/>
        </w:numPr>
        <w:suppressLineNumbers w:val="0"/>
        <w:spacing w:line="360" w:lineRule="auto"/>
        <w:ind w:firstLine="480" w:firstLineChars="200"/>
        <w:jc w:val="left"/>
        <w:rPr>
          <w:rFonts w:hint="eastAsia" w:ascii="宋体" w:hAnsi="宋体" w:cs="宋体"/>
          <w:color w:val="auto"/>
          <w:kern w:val="0"/>
          <w:sz w:val="24"/>
          <w:szCs w:val="24"/>
          <w:highlight w:val="none"/>
          <w:lang w:bidi="ar"/>
        </w:rPr>
      </w:pPr>
      <w:r>
        <w:rPr>
          <w:rFonts w:hint="eastAsia" w:ascii="宋体" w:hAnsi="宋体" w:cs="宋体"/>
          <w:color w:val="auto"/>
          <w:kern w:val="0"/>
          <w:sz w:val="24"/>
          <w:szCs w:val="24"/>
          <w:highlight w:val="none"/>
          <w:lang w:bidi="ar"/>
        </w:rPr>
        <w:t>提供中心赛区其他所需桌、椅、饮用水、功能饮料等物资耗材。</w:t>
      </w:r>
    </w:p>
    <w:p w14:paraId="1EDA59E5">
      <w:pPr>
        <w:keepNext w:val="0"/>
        <w:keepLines w:val="0"/>
        <w:widowControl/>
        <w:numPr>
          <w:ilvl w:val="0"/>
          <w:numId w:val="0"/>
        </w:numPr>
        <w:suppressLineNumbers w:val="0"/>
        <w:spacing w:line="360" w:lineRule="auto"/>
        <w:jc w:val="left"/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4"/>
          <w:szCs w:val="24"/>
          <w:highlight w:val="none"/>
          <w:lang w:val="en-US" w:eastAsia="zh-CN" w:bidi="ar"/>
        </w:rPr>
        <w:t>（十三）人员要求</w:t>
      </w:r>
    </w:p>
    <w:p w14:paraId="0B959580">
      <w:pPr>
        <w:keepNext w:val="0"/>
        <w:keepLines w:val="0"/>
        <w:widowControl/>
        <w:numPr>
          <w:ilvl w:val="0"/>
          <w:numId w:val="0"/>
        </w:numPr>
        <w:suppressLineNumbers w:val="0"/>
        <w:spacing w:line="360" w:lineRule="auto"/>
        <w:ind w:firstLine="480" w:firstLineChars="200"/>
        <w:jc w:val="left"/>
        <w:rPr>
          <w:rFonts w:hint="eastAsia" w:ascii="宋体" w:hAnsi="宋体" w:eastAsia="宋体" w:cs="宋体"/>
          <w:b w:val="0"/>
          <w:bCs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/>
          <w:kern w:val="2"/>
          <w:sz w:val="24"/>
          <w:szCs w:val="24"/>
          <w:highlight w:val="none"/>
          <w:lang w:val="en-US" w:eastAsia="zh-CN" w:bidi="ar-SA"/>
        </w:rPr>
        <w:t xml:space="preserve">配备40名有相关赛事现场工作经验的志愿者，对赛程赛制的顺利进行有经验，并对赛场发生的突发情况有专业应急管理方案。  </w:t>
      </w:r>
    </w:p>
    <w:p w14:paraId="544E31BC">
      <w:pPr>
        <w:keepNext w:val="0"/>
        <w:keepLines w:val="0"/>
        <w:widowControl/>
        <w:numPr>
          <w:ilvl w:val="0"/>
          <w:numId w:val="0"/>
        </w:numPr>
        <w:suppressLineNumbers w:val="0"/>
        <w:spacing w:line="360" w:lineRule="auto"/>
        <w:jc w:val="left"/>
        <w:rPr>
          <w:rFonts w:hint="eastAsia" w:ascii="宋体" w:hAnsi="宋体" w:eastAsia="宋体" w:cs="宋体"/>
          <w:b/>
          <w:bCs/>
          <w:color w:val="000000" w:themeColor="text1"/>
          <w:spacing w:val="2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pacing w:val="2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（十四）监督</w:t>
      </w:r>
    </w:p>
    <w:p w14:paraId="62A9721E"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在整个比赛过程中，赛事主办方及采购人将对中标单位进行监督，若由于中标单位导致赛事未达到规定的要求，采购人有权终止合同并追究其相关责任。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rif">
    <w:altName w:val="FFont-Family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Font-Family">
    <w:panose1 w:val="02000509000000000000"/>
    <w:charset w:val="00"/>
    <w:family w:val="auto"/>
    <w:pitch w:val="default"/>
    <w:sig w:usb0="00000001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3677528"/>
    <w:multiLevelType w:val="singleLevel"/>
    <w:tmpl w:val="13677528"/>
    <w:lvl w:ilvl="0" w:tentative="0">
      <w:start w:val="1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872A1E"/>
    <w:rsid w:val="5D872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2026-06-18T07:08:00Z</dcterms:created>
  <dc:creator>刘 刘 刘</dc:creator>
  <cp:lastModifiedBy>刘 刘 刘</cp:lastModifiedBy>
  <dcterms:modified xsi:type="dcterms:W3CDTF">2026-06-18T07:09:15Z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7C0FCBE1E7B1424CA3CE54BEDBBCAFC1_11</vt:lpwstr>
  </property>
  <property fmtid="{D5CDD505-2E9C-101B-9397-08002B2CF9AE}" pid="4" name="KSOTemplateDocerSaveRecord">
    <vt:lpwstr>eyJoZGlkIjoiZjM1MjNjMjMxNGFlNmY2YzZlYmUyNDNiMzE4ZDRmMjgiLCJ1c2VySWQiOiIxMTk3OTg5MjQyIn0=</vt:lpwstr>
  </property>
</Properties>
</file>