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DC7BE7">
      <w:pPr>
        <w:widowControl w:val="0"/>
        <w:spacing w:before="47" w:line="219" w:lineRule="auto"/>
        <w:ind w:left="0" w:leftChars="0" w:firstLine="0" w:firstLineChars="0"/>
        <w:jc w:val="center"/>
        <w:outlineLvl w:val="1"/>
        <w:rPr>
          <w:rFonts w:ascii="宋体" w:hAnsi="宋体" w:eastAsia="宋体" w:cs="宋体"/>
          <w:color w:val="auto"/>
          <w:sz w:val="24"/>
          <w:szCs w:val="24"/>
        </w:rPr>
      </w:pPr>
      <w:bookmarkStart w:id="0" w:name="_Toc232425831"/>
      <w:r>
        <w:rPr>
          <w:rFonts w:ascii="宋体" w:hAnsi="宋体" w:eastAsia="宋体" w:cs="宋体"/>
          <w:color w:val="auto"/>
          <w:sz w:val="24"/>
          <w:szCs w:val="24"/>
        </w:rPr>
        <w:t>二、采购需求</w:t>
      </w:r>
      <w:bookmarkEnd w:id="0"/>
    </w:p>
    <w:p w14:paraId="6145CFA7">
      <w:pPr>
        <w:widowControl w:val="0"/>
        <w:spacing w:line="258" w:lineRule="auto"/>
        <w:rPr>
          <w:rFonts w:hint="eastAsia" w:eastAsiaTheme="minorEastAsia"/>
          <w:color w:val="auto"/>
          <w:lang w:eastAsia="zh-CN"/>
        </w:rPr>
      </w:pPr>
    </w:p>
    <w:p w14:paraId="6B66EA18">
      <w:pPr>
        <w:widowControl w:val="0"/>
        <w:spacing w:before="78" w:line="219" w:lineRule="auto"/>
        <w:rPr>
          <w:rFonts w:cs="仿宋" w:asciiTheme="minorEastAsia" w:hAnsiTheme="minorEastAsia" w:eastAsiaTheme="minorEastAsia"/>
          <w:b/>
          <w:bCs/>
          <w:sz w:val="24"/>
          <w:szCs w:val="24"/>
          <w:lang w:eastAsia="zh-CN"/>
        </w:rPr>
      </w:pPr>
      <w:r>
        <w:rPr>
          <w:rFonts w:cs="仿宋" w:asciiTheme="minorEastAsia" w:hAnsiTheme="minorEastAsia" w:eastAsiaTheme="minorEastAsia"/>
          <w:b/>
          <w:bCs/>
          <w:sz w:val="24"/>
          <w:szCs w:val="24"/>
          <w:lang w:eastAsia="zh-CN"/>
        </w:rPr>
        <w:t xml:space="preserve">（一） </w:t>
      </w:r>
      <w:r>
        <w:rPr>
          <w:rFonts w:hint="eastAsia" w:cs="仿宋" w:asciiTheme="minorEastAsia" w:hAnsiTheme="minorEastAsia" w:eastAsiaTheme="minorEastAsia"/>
          <w:b/>
          <w:bCs/>
          <w:sz w:val="24"/>
          <w:szCs w:val="24"/>
          <w:lang w:eastAsia="zh-CN"/>
        </w:rPr>
        <w:t>服务</w:t>
      </w:r>
      <w:r>
        <w:rPr>
          <w:rFonts w:cs="仿宋" w:asciiTheme="minorEastAsia" w:hAnsiTheme="minorEastAsia" w:eastAsiaTheme="minorEastAsia"/>
          <w:b/>
          <w:bCs/>
          <w:sz w:val="24"/>
          <w:szCs w:val="24"/>
          <w:lang w:eastAsia="zh-CN"/>
        </w:rPr>
        <w:t>需求</w:t>
      </w:r>
      <w:r>
        <w:rPr>
          <w:rFonts w:hint="eastAsia" w:cs="仿宋" w:asciiTheme="minorEastAsia" w:hAnsiTheme="minorEastAsia" w:eastAsiaTheme="minorEastAsia"/>
          <w:b/>
          <w:bCs/>
          <w:sz w:val="24"/>
          <w:szCs w:val="24"/>
          <w:lang w:eastAsia="zh-CN"/>
        </w:rPr>
        <w:t>-项目技术参数要求</w:t>
      </w:r>
    </w:p>
    <w:p w14:paraId="60DC4844">
      <w:pPr>
        <w:spacing w:beforeLines="50" w:line="360" w:lineRule="auto"/>
        <w:ind w:firstLine="482" w:firstLineChars="200"/>
        <w:rPr>
          <w:rFonts w:cs="仿宋" w:asciiTheme="minorEastAsia" w:hAnsiTheme="minorEastAsia" w:eastAsiaTheme="minorEastAsia"/>
          <w:b/>
          <w:bCs/>
          <w:sz w:val="24"/>
          <w:szCs w:val="24"/>
          <w:lang w:eastAsia="zh-CN"/>
        </w:rPr>
      </w:pPr>
      <w:r>
        <w:rPr>
          <w:rFonts w:hint="eastAsia" w:cs="仿宋" w:asciiTheme="minorEastAsia" w:hAnsiTheme="minorEastAsia" w:eastAsiaTheme="minorEastAsia"/>
          <w:b/>
          <w:bCs/>
          <w:sz w:val="24"/>
          <w:szCs w:val="24"/>
          <w:lang w:eastAsia="zh-CN"/>
        </w:rPr>
        <w:t>项目建设基本情况：</w:t>
      </w:r>
    </w:p>
    <w:p w14:paraId="5A7B17F9">
      <w:pPr>
        <w:spacing w:line="360" w:lineRule="auto"/>
        <w:ind w:firstLine="496" w:firstLineChars="200"/>
        <w:rPr>
          <w:rFonts w:cs="仿宋" w:asciiTheme="minorEastAsia" w:hAnsiTheme="minorEastAsia" w:eastAsiaTheme="minorEastAsia"/>
          <w:spacing w:val="4"/>
          <w:sz w:val="24"/>
          <w:szCs w:val="24"/>
          <w:lang w:eastAsia="zh-CN"/>
        </w:rPr>
      </w:pPr>
      <w:bookmarkStart w:id="1" w:name="_Toc66873903"/>
      <w:r>
        <w:rPr>
          <w:rFonts w:hint="eastAsia" w:cs="仿宋" w:asciiTheme="minorEastAsia" w:hAnsiTheme="minorEastAsia" w:eastAsiaTheme="minorEastAsia"/>
          <w:color w:val="auto"/>
          <w:spacing w:val="4"/>
          <w:sz w:val="24"/>
          <w:szCs w:val="24"/>
          <w:lang w:eastAsia="zh-CN"/>
        </w:rPr>
        <w:t>一是国家产教融合战略和《现代产业学院建设指南》明确要求建设产业学院，政策导向清晰；二是全国及南昌市智能制造领域人才缺口巨大，供需矛盾尖锐，亟需扩大高素质技术技能人才供给；三是江西省和南昌市制造业数字化、智能化转型进程加快，产业发展对复合型人才提出了迫切需求；四是当前人才培养模式存在的“两张皮”困境亟待破解，产教深度融合机制尚未健全；因此，推进智能制造产业学院人才培养项目建设，既是响应国家政策号召、服务区域产业发展的主动作为，也是提升人才培养质量、破解人才供需结构性矛盾的根本之策，具有十分重要的战略意义和现实紧迫性。</w:t>
      </w:r>
    </w:p>
    <w:bookmarkEnd w:id="1"/>
    <w:p w14:paraId="1C8155B4">
      <w:pPr>
        <w:spacing w:beforeLines="50" w:line="360" w:lineRule="auto"/>
        <w:ind w:firstLine="482" w:firstLineChars="200"/>
        <w:rPr>
          <w:rFonts w:cs="仿宋" w:asciiTheme="minorEastAsia" w:hAnsiTheme="minorEastAsia" w:eastAsiaTheme="minorEastAsia"/>
          <w:b/>
          <w:bCs/>
          <w:sz w:val="24"/>
          <w:szCs w:val="24"/>
        </w:rPr>
      </w:pPr>
      <w:r>
        <w:rPr>
          <w:rFonts w:hint="eastAsia" w:cs="仿宋" w:asciiTheme="minorEastAsia" w:hAnsiTheme="minorEastAsia" w:eastAsiaTheme="minorEastAsia"/>
          <w:b/>
          <w:bCs/>
          <w:sz w:val="24"/>
          <w:szCs w:val="24"/>
          <w:lang w:eastAsia="zh-CN"/>
        </w:rPr>
        <w:t xml:space="preserve">项目建设规划方案 </w:t>
      </w:r>
    </w:p>
    <w:tbl>
      <w:tblPr>
        <w:tblStyle w:val="5"/>
        <w:tblpPr w:leftFromText="180" w:rightFromText="180" w:vertAnchor="text" w:horzAnchor="page" w:tblpX="1467" w:tblpY="150"/>
        <w:tblOverlap w:val="never"/>
        <w:tblW w:w="9067" w:type="dxa"/>
        <w:tblInd w:w="0" w:type="dxa"/>
        <w:tblLayout w:type="fixed"/>
        <w:tblCellMar>
          <w:top w:w="0" w:type="dxa"/>
          <w:left w:w="0" w:type="dxa"/>
          <w:bottom w:w="0" w:type="dxa"/>
          <w:right w:w="0" w:type="dxa"/>
        </w:tblCellMar>
      </w:tblPr>
      <w:tblGrid>
        <w:gridCol w:w="477"/>
        <w:gridCol w:w="1169"/>
        <w:gridCol w:w="1080"/>
        <w:gridCol w:w="5586"/>
        <w:gridCol w:w="755"/>
      </w:tblGrid>
      <w:tr w14:paraId="545F085D">
        <w:tblPrEx>
          <w:tblCellMar>
            <w:top w:w="0" w:type="dxa"/>
            <w:left w:w="0" w:type="dxa"/>
            <w:bottom w:w="0" w:type="dxa"/>
            <w:right w:w="0" w:type="dxa"/>
          </w:tblCellMar>
        </w:tblPrEx>
        <w:trPr>
          <w:trHeight w:val="600" w:hRule="atLeast"/>
          <w:tblHeader/>
        </w:trPr>
        <w:tc>
          <w:tcPr>
            <w:tcW w:w="477" w:type="dxa"/>
            <w:tcBorders>
              <w:top w:val="single" w:color="auto" w:sz="4" w:space="0"/>
              <w:left w:val="single" w:color="auto" w:sz="4" w:space="0"/>
              <w:bottom w:val="single" w:color="auto" w:sz="4" w:space="0"/>
              <w:right w:val="single" w:color="auto" w:sz="4" w:space="0"/>
              <w:tl2br w:val="nil"/>
              <w:tr2bl w:val="nil"/>
            </w:tcBorders>
            <w:tcMar>
              <w:top w:w="15" w:type="dxa"/>
              <w:left w:w="15" w:type="dxa"/>
              <w:bottom w:w="0" w:type="dxa"/>
              <w:right w:w="15" w:type="dxa"/>
            </w:tcMar>
            <w:vAlign w:val="center"/>
          </w:tcPr>
          <w:p w14:paraId="7A65EBC6">
            <w:pPr>
              <w:spacing w:line="360" w:lineRule="auto"/>
              <w:jc w:val="center"/>
              <w:rPr>
                <w:rFonts w:cs="仿宋" w:asciiTheme="minorEastAsia" w:hAnsiTheme="minorEastAsia" w:eastAsiaTheme="minorEastAsia"/>
                <w:sz w:val="24"/>
                <w:szCs w:val="24"/>
              </w:rPr>
            </w:pPr>
            <w:r>
              <w:rPr>
                <w:rFonts w:hint="eastAsia" w:cs="仿宋" w:asciiTheme="minorEastAsia" w:hAnsiTheme="minorEastAsia" w:eastAsiaTheme="minorEastAsia"/>
                <w:color w:val="auto"/>
                <w:sz w:val="24"/>
                <w:szCs w:val="24"/>
              </w:rPr>
              <w:t>序号</w:t>
            </w:r>
          </w:p>
        </w:tc>
        <w:tc>
          <w:tcPr>
            <w:tcW w:w="1169" w:type="dxa"/>
            <w:tcBorders>
              <w:top w:val="single" w:color="auto" w:sz="4" w:space="0"/>
              <w:left w:val="single" w:color="auto" w:sz="4" w:space="0"/>
              <w:bottom w:val="single" w:color="auto" w:sz="4" w:space="0"/>
              <w:right w:val="single" w:color="auto" w:sz="4" w:space="0"/>
              <w:tl2br w:val="nil"/>
              <w:tr2bl w:val="nil"/>
            </w:tcBorders>
            <w:tcMar>
              <w:top w:w="15" w:type="dxa"/>
              <w:left w:w="15" w:type="dxa"/>
              <w:bottom w:w="0" w:type="dxa"/>
              <w:right w:w="15" w:type="dxa"/>
            </w:tcMar>
            <w:vAlign w:val="center"/>
          </w:tcPr>
          <w:p w14:paraId="6CB19463">
            <w:pPr>
              <w:spacing w:line="360" w:lineRule="auto"/>
              <w:jc w:val="center"/>
              <w:rPr>
                <w:rFonts w:cs="仿宋" w:asciiTheme="minorEastAsia" w:hAnsiTheme="minorEastAsia" w:eastAsiaTheme="minorEastAsia"/>
                <w:sz w:val="24"/>
                <w:szCs w:val="24"/>
              </w:rPr>
            </w:pPr>
            <w:r>
              <w:rPr>
                <w:rFonts w:hint="eastAsia" w:cs="仿宋" w:asciiTheme="minorEastAsia" w:hAnsiTheme="minorEastAsia" w:eastAsiaTheme="minorEastAsia"/>
                <w:color w:val="auto"/>
                <w:sz w:val="24"/>
                <w:szCs w:val="24"/>
              </w:rPr>
              <w:t>项目名称</w:t>
            </w:r>
          </w:p>
        </w:tc>
        <w:tc>
          <w:tcPr>
            <w:tcW w:w="1080" w:type="dxa"/>
            <w:tcBorders>
              <w:top w:val="single" w:color="auto" w:sz="4" w:space="0"/>
              <w:left w:val="single" w:color="auto" w:sz="4" w:space="0"/>
              <w:bottom w:val="single" w:color="auto" w:sz="4" w:space="0"/>
              <w:right w:val="single" w:color="auto" w:sz="4" w:space="0"/>
              <w:tl2br w:val="nil"/>
              <w:tr2bl w:val="nil"/>
            </w:tcBorders>
            <w:tcMar>
              <w:top w:w="15" w:type="dxa"/>
              <w:left w:w="15" w:type="dxa"/>
              <w:bottom w:w="0" w:type="dxa"/>
              <w:right w:w="15" w:type="dxa"/>
            </w:tcMar>
            <w:vAlign w:val="center"/>
          </w:tcPr>
          <w:p w14:paraId="4682045F">
            <w:pPr>
              <w:spacing w:line="360" w:lineRule="auto"/>
              <w:jc w:val="center"/>
              <w:rPr>
                <w:rFonts w:cs="仿宋" w:asciiTheme="minorEastAsia" w:hAnsiTheme="minorEastAsia" w:eastAsiaTheme="minorEastAsia"/>
                <w:sz w:val="24"/>
                <w:szCs w:val="24"/>
              </w:rPr>
            </w:pPr>
            <w:r>
              <w:rPr>
                <w:rFonts w:hint="eastAsia" w:cs="仿宋" w:asciiTheme="minorEastAsia" w:hAnsiTheme="minorEastAsia" w:eastAsiaTheme="minorEastAsia"/>
                <w:color w:val="auto"/>
                <w:sz w:val="24"/>
                <w:szCs w:val="24"/>
              </w:rPr>
              <w:t>预算金额</w:t>
            </w:r>
          </w:p>
          <w:p w14:paraId="28E9C6E6">
            <w:pPr>
              <w:spacing w:line="360" w:lineRule="auto"/>
              <w:jc w:val="center"/>
              <w:rPr>
                <w:rFonts w:cs="仿宋" w:asciiTheme="minorEastAsia" w:hAnsiTheme="minorEastAsia" w:eastAsiaTheme="minorEastAsia"/>
                <w:sz w:val="24"/>
                <w:szCs w:val="24"/>
              </w:rPr>
            </w:pPr>
            <w:r>
              <w:rPr>
                <w:rFonts w:hint="eastAsia" w:cs="仿宋" w:asciiTheme="minorEastAsia" w:hAnsiTheme="minorEastAsia" w:eastAsiaTheme="minorEastAsia"/>
                <w:color w:val="auto"/>
                <w:sz w:val="24"/>
                <w:szCs w:val="24"/>
              </w:rPr>
              <w:t>（万元）</w:t>
            </w:r>
          </w:p>
        </w:tc>
        <w:tc>
          <w:tcPr>
            <w:tcW w:w="5586" w:type="dxa"/>
            <w:tcBorders>
              <w:top w:val="single" w:color="auto" w:sz="4" w:space="0"/>
              <w:left w:val="nil"/>
              <w:bottom w:val="single" w:color="auto" w:sz="4" w:space="0"/>
              <w:right w:val="single" w:color="auto" w:sz="4" w:space="0"/>
              <w:tl2br w:val="nil"/>
              <w:tr2bl w:val="nil"/>
            </w:tcBorders>
            <w:tcMar>
              <w:top w:w="15" w:type="dxa"/>
              <w:left w:w="15" w:type="dxa"/>
              <w:bottom w:w="0" w:type="dxa"/>
              <w:right w:w="15" w:type="dxa"/>
            </w:tcMar>
            <w:vAlign w:val="center"/>
          </w:tcPr>
          <w:p w14:paraId="18765C26">
            <w:pPr>
              <w:spacing w:line="360" w:lineRule="auto"/>
              <w:jc w:val="center"/>
              <w:rPr>
                <w:rFonts w:cs="仿宋" w:asciiTheme="minorEastAsia" w:hAnsiTheme="minorEastAsia" w:eastAsiaTheme="minorEastAsia"/>
                <w:sz w:val="24"/>
                <w:szCs w:val="24"/>
              </w:rPr>
            </w:pPr>
            <w:r>
              <w:rPr>
                <w:rFonts w:hint="eastAsia" w:cs="仿宋" w:asciiTheme="minorEastAsia" w:hAnsiTheme="minorEastAsia" w:eastAsiaTheme="minorEastAsia"/>
                <w:color w:val="auto"/>
                <w:sz w:val="24"/>
                <w:szCs w:val="24"/>
              </w:rPr>
              <w:t>功能需求及主要设备</w:t>
            </w:r>
          </w:p>
        </w:tc>
        <w:tc>
          <w:tcPr>
            <w:tcW w:w="755" w:type="dxa"/>
            <w:tcBorders>
              <w:top w:val="single" w:color="auto" w:sz="4" w:space="0"/>
              <w:left w:val="nil"/>
              <w:bottom w:val="single" w:color="auto" w:sz="4" w:space="0"/>
              <w:right w:val="single" w:color="auto" w:sz="4" w:space="0"/>
              <w:tl2br w:val="nil"/>
              <w:tr2bl w:val="nil"/>
            </w:tcBorders>
            <w:tcMar>
              <w:top w:w="15" w:type="dxa"/>
              <w:left w:w="15" w:type="dxa"/>
              <w:bottom w:w="0" w:type="dxa"/>
              <w:right w:w="15" w:type="dxa"/>
            </w:tcMar>
            <w:vAlign w:val="center"/>
          </w:tcPr>
          <w:p w14:paraId="1E8D65E6">
            <w:pPr>
              <w:spacing w:line="360" w:lineRule="auto"/>
              <w:jc w:val="center"/>
              <w:rPr>
                <w:rFonts w:cs="仿宋" w:asciiTheme="minorEastAsia" w:hAnsiTheme="minorEastAsia" w:eastAsiaTheme="minorEastAsia"/>
                <w:sz w:val="24"/>
                <w:szCs w:val="24"/>
              </w:rPr>
            </w:pPr>
            <w:r>
              <w:rPr>
                <w:rFonts w:hint="eastAsia" w:cs="仿宋" w:asciiTheme="minorEastAsia" w:hAnsiTheme="minorEastAsia" w:eastAsiaTheme="minorEastAsia"/>
                <w:color w:val="auto"/>
                <w:sz w:val="24"/>
                <w:szCs w:val="24"/>
              </w:rPr>
              <w:t>备注</w:t>
            </w:r>
          </w:p>
        </w:tc>
      </w:tr>
      <w:tr w14:paraId="16282827">
        <w:tblPrEx>
          <w:tblCellMar>
            <w:top w:w="0" w:type="dxa"/>
            <w:left w:w="0" w:type="dxa"/>
            <w:bottom w:w="0" w:type="dxa"/>
            <w:right w:w="0" w:type="dxa"/>
          </w:tblCellMar>
        </w:tblPrEx>
        <w:trPr>
          <w:trHeight w:val="1095" w:hRule="atLeast"/>
        </w:trPr>
        <w:tc>
          <w:tcPr>
            <w:tcW w:w="477" w:type="dxa"/>
            <w:tcBorders>
              <w:top w:val="nil"/>
              <w:left w:val="single" w:color="auto" w:sz="4" w:space="0"/>
              <w:bottom w:val="single" w:color="auto" w:sz="4" w:space="0"/>
              <w:right w:val="single" w:color="auto" w:sz="4" w:space="0"/>
              <w:tl2br w:val="nil"/>
              <w:tr2bl w:val="nil"/>
            </w:tcBorders>
            <w:tcMar>
              <w:top w:w="15" w:type="dxa"/>
              <w:left w:w="15" w:type="dxa"/>
              <w:bottom w:w="0" w:type="dxa"/>
              <w:right w:w="15" w:type="dxa"/>
            </w:tcMar>
            <w:vAlign w:val="center"/>
          </w:tcPr>
          <w:p w14:paraId="48BA1ABE">
            <w:pPr>
              <w:spacing w:line="360" w:lineRule="auto"/>
              <w:jc w:val="center"/>
              <w:rPr>
                <w:rFonts w:cs="仿宋" w:asciiTheme="minorEastAsia" w:hAnsiTheme="minorEastAsia" w:eastAsiaTheme="minorEastAsia"/>
                <w:sz w:val="24"/>
                <w:szCs w:val="24"/>
              </w:rPr>
            </w:pPr>
            <w:r>
              <w:rPr>
                <w:rFonts w:hint="eastAsia" w:cs="仿宋" w:asciiTheme="minorEastAsia" w:hAnsiTheme="minorEastAsia" w:eastAsiaTheme="minorEastAsia"/>
                <w:color w:val="auto"/>
                <w:sz w:val="24"/>
                <w:szCs w:val="24"/>
              </w:rPr>
              <w:t>1</w:t>
            </w:r>
          </w:p>
        </w:tc>
        <w:tc>
          <w:tcPr>
            <w:tcW w:w="1169" w:type="dxa"/>
            <w:tcBorders>
              <w:top w:val="single" w:color="auto" w:sz="4" w:space="0"/>
              <w:left w:val="single" w:color="auto" w:sz="4" w:space="0"/>
              <w:bottom w:val="single" w:color="auto" w:sz="4" w:space="0"/>
              <w:right w:val="single" w:color="auto" w:sz="4" w:space="0"/>
              <w:tl2br w:val="nil"/>
              <w:tr2bl w:val="nil"/>
            </w:tcBorders>
            <w:tcMar>
              <w:top w:w="15" w:type="dxa"/>
              <w:left w:w="15" w:type="dxa"/>
              <w:bottom w:w="0" w:type="dxa"/>
              <w:right w:w="15" w:type="dxa"/>
            </w:tcMar>
            <w:vAlign w:val="center"/>
          </w:tcPr>
          <w:p w14:paraId="63ACEE40">
            <w:pPr>
              <w:spacing w:line="360" w:lineRule="auto"/>
              <w:jc w:val="center"/>
              <w:rPr>
                <w:rFonts w:cs="仿宋" w:asciiTheme="minorEastAsia" w:hAnsiTheme="minorEastAsia" w:eastAsiaTheme="minorEastAsia"/>
                <w:sz w:val="24"/>
                <w:szCs w:val="24"/>
                <w:lang w:eastAsia="zh-CN"/>
              </w:rPr>
            </w:pPr>
            <w:r>
              <w:rPr>
                <w:rFonts w:hint="eastAsia" w:cs="仿宋" w:asciiTheme="minorEastAsia" w:hAnsiTheme="minorEastAsia" w:eastAsiaTheme="minorEastAsia"/>
                <w:bCs/>
                <w:sz w:val="24"/>
                <w:szCs w:val="24"/>
                <w:lang w:eastAsia="zh-CN"/>
              </w:rPr>
              <w:t>智能制造学院产业学院人才培养项目</w:t>
            </w:r>
          </w:p>
        </w:tc>
        <w:tc>
          <w:tcPr>
            <w:tcW w:w="1080" w:type="dxa"/>
            <w:tcBorders>
              <w:top w:val="single" w:color="auto" w:sz="4" w:space="0"/>
              <w:left w:val="single" w:color="auto" w:sz="4" w:space="0"/>
              <w:bottom w:val="single" w:color="auto" w:sz="4" w:space="0"/>
              <w:right w:val="single" w:color="auto" w:sz="4" w:space="0"/>
              <w:tl2br w:val="nil"/>
              <w:tr2bl w:val="nil"/>
            </w:tcBorders>
            <w:tcMar>
              <w:top w:w="15" w:type="dxa"/>
              <w:left w:w="15" w:type="dxa"/>
              <w:bottom w:w="0" w:type="dxa"/>
              <w:right w:w="15" w:type="dxa"/>
            </w:tcMar>
            <w:vAlign w:val="center"/>
          </w:tcPr>
          <w:p w14:paraId="1E628FF7">
            <w:pPr>
              <w:spacing w:line="360" w:lineRule="auto"/>
              <w:ind w:firstLine="240" w:firstLineChars="100"/>
              <w:rPr>
                <w:rFonts w:cs="仿宋" w:asciiTheme="minorEastAsia" w:hAnsiTheme="minorEastAsia" w:eastAsiaTheme="minorEastAsia"/>
                <w:sz w:val="24"/>
                <w:szCs w:val="24"/>
              </w:rPr>
            </w:pPr>
            <w:r>
              <w:rPr>
                <w:rFonts w:hint="eastAsia" w:cs="仿宋" w:asciiTheme="minorEastAsia" w:hAnsiTheme="minorEastAsia" w:eastAsiaTheme="minorEastAsia"/>
                <w:color w:val="auto"/>
                <w:sz w:val="24"/>
                <w:szCs w:val="24"/>
              </w:rPr>
              <w:t>254.4</w:t>
            </w:r>
          </w:p>
        </w:tc>
        <w:tc>
          <w:tcPr>
            <w:tcW w:w="5586" w:type="dxa"/>
            <w:tcBorders>
              <w:top w:val="nil"/>
              <w:left w:val="nil"/>
              <w:bottom w:val="single" w:color="auto" w:sz="4" w:space="0"/>
              <w:right w:val="single" w:color="auto" w:sz="4" w:space="0"/>
              <w:tl2br w:val="nil"/>
              <w:tr2bl w:val="nil"/>
            </w:tcBorders>
            <w:tcMar>
              <w:top w:w="15" w:type="dxa"/>
              <w:left w:w="15" w:type="dxa"/>
              <w:bottom w:w="0" w:type="dxa"/>
              <w:right w:w="15" w:type="dxa"/>
            </w:tcMar>
            <w:vAlign w:val="center"/>
          </w:tcPr>
          <w:p w14:paraId="55E89B63">
            <w:pPr>
              <w:spacing w:line="360" w:lineRule="auto"/>
              <w:rPr>
                <w:rFonts w:cs="仿宋" w:asciiTheme="minorEastAsia" w:hAnsiTheme="minorEastAsia" w:eastAsiaTheme="minorEastAsia"/>
                <w:b/>
                <w:bCs/>
                <w:sz w:val="24"/>
                <w:szCs w:val="24"/>
                <w:lang w:eastAsia="zh-CN"/>
              </w:rPr>
            </w:pPr>
            <w:r>
              <w:rPr>
                <w:rFonts w:hint="eastAsia" w:cs="仿宋" w:asciiTheme="minorEastAsia" w:hAnsiTheme="minorEastAsia" w:eastAsiaTheme="minorEastAsia"/>
                <w:b/>
                <w:bCs/>
                <w:color w:val="auto"/>
                <w:sz w:val="24"/>
                <w:szCs w:val="24"/>
                <w:lang w:eastAsia="zh-CN"/>
              </w:rPr>
              <w:t>（一）主体服务</w:t>
            </w:r>
          </w:p>
          <w:p w14:paraId="6645645B">
            <w:pPr>
              <w:pStyle w:val="4"/>
              <w:shd w:val="clear" w:color="auto" w:fill="FFFFFF"/>
              <w:spacing w:beforeAutospacing="0" w:afterAutospacing="0" w:line="360" w:lineRule="auto"/>
              <w:ind w:firstLine="480" w:firstLineChars="200"/>
              <w:rPr>
                <w:rFonts w:cs="仿宋" w:asciiTheme="minorEastAsia" w:hAnsiTheme="minorEastAsia" w:eastAsiaTheme="minorEastAsia"/>
                <w:szCs w:val="24"/>
                <w:lang w:eastAsia="zh-CN"/>
              </w:rPr>
            </w:pPr>
            <w:r>
              <w:rPr>
                <w:rFonts w:hint="eastAsia" w:cs="仿宋" w:asciiTheme="minorEastAsia" w:hAnsiTheme="minorEastAsia" w:eastAsiaTheme="minorEastAsia"/>
                <w:szCs w:val="24"/>
                <w:lang w:eastAsia="zh-CN"/>
              </w:rPr>
              <w:t>1.共建人才培养方案：联合制定工业机器人技术、机电一体化技术、电气自动化技术、机械制造及自动化、汽车检测与维修技术、新能源汽车技术共6个专业的人才培养方案。要求参与制定的企业专家不少于5人</w:t>
            </w:r>
            <w:r>
              <w:rPr>
                <w:rFonts w:hint="eastAsia" w:cs="仿宋" w:asciiTheme="minorEastAsia" w:hAnsiTheme="minorEastAsia" w:eastAsiaTheme="minorEastAsia"/>
                <w:color w:val="EE0000"/>
                <w:szCs w:val="24"/>
                <w:lang w:eastAsia="zh-CN"/>
              </w:rPr>
              <w:t>每</w:t>
            </w:r>
            <w:r>
              <w:rPr>
                <w:rFonts w:hint="eastAsia" w:cs="仿宋" w:asciiTheme="minorEastAsia" w:hAnsiTheme="minorEastAsia" w:eastAsiaTheme="minorEastAsia"/>
                <w:szCs w:val="24"/>
                <w:lang w:eastAsia="zh-CN"/>
              </w:rPr>
              <w:t>专业，内容中要融入企业的新技术、新工艺、新岗位新要求；</w:t>
            </w:r>
          </w:p>
          <w:p w14:paraId="7180B891">
            <w:pPr>
              <w:pStyle w:val="4"/>
              <w:shd w:val="clear" w:color="auto" w:fill="FFFFFF"/>
              <w:spacing w:beforeAutospacing="0" w:afterAutospacing="0" w:line="360" w:lineRule="auto"/>
              <w:ind w:firstLine="480" w:firstLineChars="200"/>
              <w:rPr>
                <w:rFonts w:cs="仿宋" w:asciiTheme="minorEastAsia" w:hAnsiTheme="minorEastAsia" w:eastAsiaTheme="minorEastAsia"/>
                <w:szCs w:val="24"/>
                <w:lang w:eastAsia="zh-CN"/>
              </w:rPr>
            </w:pPr>
            <w:r>
              <w:rPr>
                <w:rFonts w:hint="eastAsia" w:cs="仿宋" w:asciiTheme="minorEastAsia" w:hAnsiTheme="minorEastAsia" w:eastAsiaTheme="minorEastAsia"/>
                <w:szCs w:val="24"/>
                <w:lang w:eastAsia="zh-CN"/>
              </w:rPr>
              <w:t>2.共建课程体系：校企共同制定上述6个专业第五学期</w:t>
            </w:r>
            <w:r>
              <w:rPr>
                <w:rFonts w:hint="eastAsia" w:cs="仿宋" w:asciiTheme="minorEastAsia" w:hAnsiTheme="minorEastAsia" w:eastAsiaTheme="minorEastAsia"/>
                <w:color w:val="EE0000"/>
                <w:szCs w:val="24"/>
                <w:lang w:eastAsia="zh-CN"/>
              </w:rPr>
              <w:t>每个专业各4门</w:t>
            </w:r>
            <w:r>
              <w:rPr>
                <w:rFonts w:hint="eastAsia" w:cs="仿宋" w:asciiTheme="minorEastAsia" w:hAnsiTheme="minorEastAsia" w:eastAsiaTheme="minorEastAsia"/>
                <w:szCs w:val="24"/>
                <w:lang w:eastAsia="zh-CN"/>
              </w:rPr>
              <w:t>以上专业核心课程；</w:t>
            </w:r>
          </w:p>
          <w:p w14:paraId="61596F87">
            <w:pPr>
              <w:pStyle w:val="4"/>
              <w:shd w:val="clear" w:color="auto" w:fill="FFFFFF"/>
              <w:spacing w:beforeAutospacing="0" w:afterAutospacing="0" w:line="360" w:lineRule="auto"/>
              <w:ind w:firstLine="480" w:firstLineChars="200"/>
              <w:rPr>
                <w:rFonts w:cs="仿宋" w:asciiTheme="minorEastAsia" w:hAnsiTheme="minorEastAsia" w:eastAsiaTheme="minorEastAsia"/>
                <w:szCs w:val="24"/>
                <w:lang w:eastAsia="zh-CN"/>
              </w:rPr>
            </w:pPr>
            <w:r>
              <w:rPr>
                <w:rFonts w:hint="eastAsia" w:cs="仿宋" w:asciiTheme="minorEastAsia" w:hAnsiTheme="minorEastAsia" w:eastAsiaTheme="minorEastAsia"/>
                <w:szCs w:val="24"/>
                <w:lang w:eastAsia="zh-CN"/>
              </w:rPr>
              <w:t>3.共建教材：校企共同编写上述6个专业的教材，合计不少于1本；</w:t>
            </w:r>
          </w:p>
          <w:p w14:paraId="27115E2A">
            <w:pPr>
              <w:pStyle w:val="4"/>
              <w:shd w:val="clear" w:color="auto" w:fill="FFFFFF"/>
              <w:spacing w:beforeAutospacing="0" w:afterAutospacing="0" w:line="360" w:lineRule="auto"/>
              <w:ind w:firstLine="480" w:firstLineChars="200"/>
              <w:rPr>
                <w:rFonts w:cs="仿宋" w:asciiTheme="minorEastAsia" w:hAnsiTheme="minorEastAsia" w:eastAsiaTheme="minorEastAsia"/>
                <w:szCs w:val="24"/>
                <w:lang w:eastAsia="zh-CN"/>
              </w:rPr>
            </w:pPr>
            <w:r>
              <w:rPr>
                <w:rFonts w:hint="eastAsia" w:cs="仿宋" w:asciiTheme="minorEastAsia" w:hAnsiTheme="minorEastAsia" w:eastAsiaTheme="minorEastAsia"/>
                <w:szCs w:val="24"/>
                <w:lang w:eastAsia="zh-CN"/>
              </w:rPr>
              <w:t>4.共组师资团队：校内专职教师+企业导师协同授课，其中企业导师</w:t>
            </w:r>
            <w:r>
              <w:rPr>
                <w:rFonts w:hint="eastAsia" w:cs="仿宋" w:asciiTheme="minorEastAsia" w:hAnsiTheme="minorEastAsia" w:eastAsiaTheme="minorEastAsia"/>
                <w:color w:val="EE0000"/>
                <w:szCs w:val="24"/>
                <w:lang w:eastAsia="zh-CN"/>
              </w:rPr>
              <w:t>应具有中级及以上职称（工程师或技师）或岗位工作经验5年以上的企业师资</w:t>
            </w:r>
            <w:r>
              <w:rPr>
                <w:rFonts w:hint="eastAsia" w:cs="仿宋" w:asciiTheme="minorEastAsia" w:hAnsiTheme="minorEastAsia" w:eastAsiaTheme="minorEastAsia"/>
                <w:szCs w:val="24"/>
                <w:lang w:eastAsia="zh-CN"/>
              </w:rPr>
              <w:t>，且数量不少于25名，同时建立校内教师赴企业挂职锻炼机制。</w:t>
            </w:r>
          </w:p>
          <w:p w14:paraId="3C3B4819">
            <w:pPr>
              <w:spacing w:line="360" w:lineRule="auto"/>
              <w:rPr>
                <w:rFonts w:cs="仿宋" w:asciiTheme="minorEastAsia" w:hAnsiTheme="minorEastAsia" w:eastAsiaTheme="minorEastAsia"/>
                <w:b/>
                <w:bCs/>
                <w:sz w:val="24"/>
                <w:szCs w:val="24"/>
                <w:lang w:eastAsia="zh-CN"/>
              </w:rPr>
            </w:pPr>
            <w:r>
              <w:rPr>
                <w:rFonts w:hint="eastAsia" w:cs="仿宋" w:asciiTheme="minorEastAsia" w:hAnsiTheme="minorEastAsia" w:eastAsiaTheme="minorEastAsia"/>
                <w:b/>
                <w:bCs/>
                <w:color w:val="auto"/>
                <w:sz w:val="24"/>
                <w:szCs w:val="24"/>
                <w:lang w:eastAsia="zh-CN"/>
              </w:rPr>
              <w:t>（二）配套服务</w:t>
            </w:r>
          </w:p>
          <w:p w14:paraId="7789D491">
            <w:pPr>
              <w:pStyle w:val="4"/>
              <w:shd w:val="clear" w:color="auto" w:fill="FFFFFF"/>
              <w:spacing w:beforeAutospacing="0" w:afterAutospacing="0" w:line="360" w:lineRule="auto"/>
              <w:ind w:firstLine="480" w:firstLineChars="200"/>
              <w:rPr>
                <w:rFonts w:cs="仿宋" w:asciiTheme="minorEastAsia" w:hAnsiTheme="minorEastAsia" w:eastAsiaTheme="minorEastAsia"/>
                <w:szCs w:val="24"/>
                <w:lang w:eastAsia="zh-CN"/>
              </w:rPr>
            </w:pPr>
            <w:r>
              <w:rPr>
                <w:rFonts w:hint="eastAsia" w:cs="仿宋" w:asciiTheme="minorEastAsia" w:hAnsiTheme="minorEastAsia" w:eastAsiaTheme="minorEastAsia"/>
                <w:szCs w:val="24"/>
                <w:lang w:eastAsia="zh-CN"/>
              </w:rPr>
              <w:t>1.住宿场地要求：要求在南昌市区域范围距学院40公里内；占地面积不小于35000㎡；住宿标准为6人间不少于110间。按校方标准提供床铺、独立的卫生间、空调、洗衣机/洗衣房及热水等，以满足校方学生的合理住宿需求；</w:t>
            </w:r>
          </w:p>
          <w:p w14:paraId="1E132172">
            <w:pPr>
              <w:pStyle w:val="4"/>
              <w:shd w:val="clear" w:color="auto" w:fill="FFFFFF"/>
              <w:spacing w:beforeAutospacing="0" w:afterAutospacing="0" w:line="360" w:lineRule="auto"/>
              <w:ind w:firstLine="480" w:firstLineChars="200"/>
              <w:rPr>
                <w:rFonts w:cs="仿宋" w:asciiTheme="minorEastAsia" w:hAnsiTheme="minorEastAsia" w:eastAsiaTheme="minorEastAsia"/>
                <w:szCs w:val="24"/>
                <w:lang w:eastAsia="zh-CN"/>
              </w:rPr>
            </w:pPr>
            <w:r>
              <w:rPr>
                <w:rFonts w:hint="eastAsia" w:cs="仿宋" w:asciiTheme="minorEastAsia" w:hAnsiTheme="minorEastAsia" w:eastAsiaTheme="minorEastAsia"/>
                <w:szCs w:val="24"/>
                <w:lang w:eastAsia="zh-CN"/>
              </w:rPr>
              <w:t>2.教学场地要求：教室同时容纳不得少于650人上课，其中多媒体教室不得少于11间（每间多媒体教室工位数不少于60个），实训机房不得少于3间（每间实训机房工位数不少于60个）；教师办公室不少于1间（总共能同时容纳不少于10人办公）；</w:t>
            </w:r>
          </w:p>
          <w:p w14:paraId="470F0733">
            <w:pPr>
              <w:pStyle w:val="4"/>
              <w:shd w:val="clear" w:color="auto" w:fill="FFFFFF"/>
              <w:spacing w:beforeAutospacing="0" w:afterAutospacing="0" w:line="360" w:lineRule="auto"/>
              <w:ind w:firstLine="480" w:firstLineChars="200"/>
              <w:rPr>
                <w:rFonts w:cs="仿宋" w:asciiTheme="minorEastAsia" w:hAnsiTheme="minorEastAsia" w:eastAsiaTheme="minorEastAsia"/>
                <w:szCs w:val="24"/>
                <w:lang w:eastAsia="zh-CN"/>
              </w:rPr>
            </w:pPr>
            <w:r>
              <w:rPr>
                <w:rFonts w:hint="eastAsia" w:cs="仿宋" w:asciiTheme="minorEastAsia" w:hAnsiTheme="minorEastAsia" w:eastAsiaTheme="minorEastAsia"/>
                <w:szCs w:val="24"/>
                <w:lang w:eastAsia="zh-CN"/>
              </w:rPr>
              <w:t>3.生活场地要求：有食堂、超市、操场、医务室、快递站等场所且能满足644名以上学生正常日常生活、学习，其中食堂菜价、水电单价等不高于学院标准；区域内需实现无线网络覆盖；</w:t>
            </w:r>
          </w:p>
          <w:p w14:paraId="17D996BE">
            <w:pPr>
              <w:pStyle w:val="4"/>
              <w:shd w:val="clear" w:color="auto" w:fill="FFFFFF"/>
              <w:spacing w:beforeAutospacing="0" w:afterAutospacing="0" w:line="360" w:lineRule="auto"/>
              <w:ind w:firstLine="480" w:firstLineChars="200"/>
              <w:rPr>
                <w:rFonts w:cs="仿宋" w:asciiTheme="minorEastAsia" w:hAnsiTheme="minorEastAsia" w:eastAsiaTheme="minorEastAsia"/>
                <w:szCs w:val="24"/>
                <w:lang w:eastAsia="zh-CN"/>
              </w:rPr>
            </w:pPr>
            <w:r>
              <w:rPr>
                <w:rFonts w:hint="eastAsia" w:cs="仿宋" w:asciiTheme="minorEastAsia" w:hAnsiTheme="minorEastAsia" w:eastAsiaTheme="minorEastAsia"/>
                <w:szCs w:val="24"/>
                <w:lang w:eastAsia="zh-CN"/>
              </w:rPr>
              <w:t>4.软硬件服务：配套</w:t>
            </w:r>
            <w:r>
              <w:rPr>
                <w:rFonts w:hint="eastAsia" w:cs="仿宋" w:asciiTheme="minorEastAsia" w:hAnsiTheme="minorEastAsia" w:eastAsiaTheme="minorEastAsia"/>
                <w:bCs/>
                <w:szCs w:val="24"/>
                <w:lang w:eastAsia="zh-CN"/>
              </w:rPr>
              <w:t>智能制造学院产业学院</w:t>
            </w:r>
            <w:r>
              <w:rPr>
                <w:rFonts w:hint="eastAsia" w:cs="仿宋" w:asciiTheme="minorEastAsia" w:hAnsiTheme="minorEastAsia" w:eastAsiaTheme="minorEastAsia"/>
                <w:szCs w:val="24"/>
                <w:lang w:eastAsia="zh-CN"/>
              </w:rPr>
              <w:t>相关专业实训教学软硬件设备。</w:t>
            </w:r>
          </w:p>
          <w:p w14:paraId="7752F92A">
            <w:pPr>
              <w:pStyle w:val="4"/>
              <w:shd w:val="clear" w:color="auto" w:fill="FFFFFF"/>
              <w:spacing w:beforeAutospacing="0" w:afterAutospacing="0" w:line="360" w:lineRule="auto"/>
              <w:ind w:firstLine="480" w:firstLineChars="200"/>
              <w:rPr>
                <w:rFonts w:cs="仿宋" w:asciiTheme="minorEastAsia" w:hAnsiTheme="minorEastAsia" w:eastAsiaTheme="minorEastAsia"/>
                <w:szCs w:val="24"/>
                <w:lang w:eastAsia="zh-CN"/>
              </w:rPr>
            </w:pPr>
            <w:r>
              <w:rPr>
                <w:rFonts w:hint="eastAsia" w:cs="仿宋" w:asciiTheme="minorEastAsia" w:hAnsiTheme="minorEastAsia" w:eastAsiaTheme="minorEastAsia"/>
                <w:szCs w:val="24"/>
                <w:lang w:eastAsia="zh-CN"/>
              </w:rPr>
              <w:t>5.其他条件：提供招聘会、企业岗位推荐等优质就业服务。招聘岗位数：就业学生人数&gt;1:1，以便更好地协助本项目学生就业。</w:t>
            </w:r>
          </w:p>
        </w:tc>
        <w:tc>
          <w:tcPr>
            <w:tcW w:w="755" w:type="dxa"/>
            <w:tcBorders>
              <w:top w:val="nil"/>
              <w:left w:val="nil"/>
              <w:bottom w:val="single" w:color="auto" w:sz="4" w:space="0"/>
              <w:right w:val="single" w:color="auto" w:sz="4" w:space="0"/>
              <w:tl2br w:val="nil"/>
              <w:tr2bl w:val="nil"/>
            </w:tcBorders>
            <w:tcMar>
              <w:top w:w="15" w:type="dxa"/>
              <w:left w:w="15" w:type="dxa"/>
              <w:bottom w:w="0" w:type="dxa"/>
              <w:right w:w="15" w:type="dxa"/>
            </w:tcMar>
            <w:vAlign w:val="center"/>
          </w:tcPr>
          <w:p w14:paraId="2D0D0AB1">
            <w:pPr>
              <w:spacing w:line="360" w:lineRule="auto"/>
              <w:jc w:val="center"/>
              <w:rPr>
                <w:rFonts w:cs="仿宋" w:asciiTheme="minorEastAsia" w:hAnsiTheme="minorEastAsia" w:eastAsiaTheme="minorEastAsia"/>
                <w:sz w:val="24"/>
                <w:szCs w:val="24"/>
                <w:lang w:eastAsia="zh-CN"/>
              </w:rPr>
            </w:pPr>
          </w:p>
        </w:tc>
      </w:tr>
    </w:tbl>
    <w:p w14:paraId="5CC7D792">
      <w:pPr>
        <w:spacing w:line="360" w:lineRule="auto"/>
        <w:ind w:firstLine="482" w:firstLineChars="200"/>
        <w:rPr>
          <w:rFonts w:cs="仿宋" w:asciiTheme="minorEastAsia" w:hAnsiTheme="minorEastAsia" w:eastAsiaTheme="minorEastAsia"/>
          <w:b/>
          <w:bCs/>
          <w:sz w:val="24"/>
          <w:szCs w:val="24"/>
          <w:lang w:eastAsia="zh-CN"/>
        </w:rPr>
      </w:pPr>
    </w:p>
    <w:p w14:paraId="60271002">
      <w:pPr>
        <w:spacing w:line="360" w:lineRule="auto"/>
        <w:ind w:firstLine="482" w:firstLineChars="200"/>
        <w:rPr>
          <w:rFonts w:cs="仿宋" w:asciiTheme="minorEastAsia" w:hAnsiTheme="minorEastAsia" w:eastAsiaTheme="minorEastAsia"/>
          <w:b/>
          <w:bCs/>
          <w:sz w:val="24"/>
          <w:szCs w:val="24"/>
          <w:lang w:eastAsia="zh-CN"/>
        </w:rPr>
      </w:pPr>
      <w:r>
        <w:rPr>
          <w:rFonts w:hint="eastAsia" w:cs="仿宋" w:asciiTheme="minorEastAsia" w:hAnsiTheme="minorEastAsia" w:eastAsiaTheme="minorEastAsia"/>
          <w:b/>
          <w:bCs/>
          <w:color w:val="auto"/>
          <w:sz w:val="24"/>
          <w:szCs w:val="24"/>
          <w:lang w:eastAsia="zh-CN"/>
        </w:rPr>
        <w:t>主体服务要求</w:t>
      </w:r>
    </w:p>
    <w:p w14:paraId="007596A8">
      <w:pPr>
        <w:pStyle w:val="2"/>
        <w:spacing w:line="360" w:lineRule="auto"/>
        <w:ind w:firstLine="482"/>
        <w:rPr>
          <w:rFonts w:cs="仿宋" w:asciiTheme="minorEastAsia" w:hAnsiTheme="minorEastAsia" w:eastAsiaTheme="minorEastAsia"/>
          <w:b/>
          <w:bCs/>
          <w:sz w:val="24"/>
        </w:rPr>
      </w:pPr>
      <w:r>
        <w:rPr>
          <w:rFonts w:hint="eastAsia" w:cs="仿宋" w:asciiTheme="minorEastAsia" w:hAnsiTheme="minorEastAsia" w:eastAsiaTheme="minorEastAsia"/>
          <w:b/>
          <w:bCs/>
          <w:sz w:val="24"/>
        </w:rPr>
        <w:t>1.人才培养</w:t>
      </w:r>
    </w:p>
    <w:p w14:paraId="4A75AD84">
      <w:pPr>
        <w:pStyle w:val="2"/>
        <w:spacing w:line="360" w:lineRule="auto"/>
        <w:ind w:firstLine="480"/>
        <w:rPr>
          <w:rFonts w:cs="仿宋" w:asciiTheme="minorEastAsia" w:hAnsiTheme="minorEastAsia" w:eastAsiaTheme="minorEastAsia"/>
          <w:sz w:val="24"/>
        </w:rPr>
      </w:pPr>
      <w:r>
        <w:rPr>
          <w:rFonts w:hint="eastAsia" w:cs="仿宋" w:asciiTheme="minorEastAsia" w:hAnsiTheme="minorEastAsia" w:eastAsiaTheme="minorEastAsia"/>
          <w:sz w:val="24"/>
        </w:rPr>
        <w:t>为全面提升人才培养质量，现对人才培养提出总体要求：需紧密结合行业需求与发展趋势，共同构建科学规范的人才培养方案，明确培养目标、内容与标准；同步推进课程体系共建，优化课程结构与教学内容，强化理论与实践融合；人才培养计划3.5个月，授课时间计划14周。</w:t>
      </w:r>
    </w:p>
    <w:p w14:paraId="277F2AA3">
      <w:pPr>
        <w:pStyle w:val="2"/>
        <w:spacing w:line="360" w:lineRule="auto"/>
        <w:ind w:firstLine="480"/>
        <w:rPr>
          <w:rFonts w:cs="仿宋" w:asciiTheme="minorEastAsia" w:hAnsiTheme="minorEastAsia" w:eastAsiaTheme="minorEastAsia"/>
          <w:sz w:val="24"/>
        </w:rPr>
      </w:pPr>
      <w:r>
        <w:rPr>
          <w:rFonts w:hint="eastAsia" w:cs="仿宋" w:asciiTheme="minorEastAsia" w:hAnsiTheme="minorEastAsia" w:eastAsiaTheme="minorEastAsia"/>
          <w:sz w:val="24"/>
        </w:rPr>
        <w:t>1.1共建人才培养方案</w:t>
      </w:r>
    </w:p>
    <w:p w14:paraId="47957BE6">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校企联合制定工业机器人技术、机电一体化技术、电气自动化技术、机械制造及自动化、汽车检测与维修技术、新能源汽车技术共6个专业的人才培养方案。要求参与制定的企业专家不少于5人/专业，内容中要融入企业的新技术、新工艺、新岗位新要求。6个专业的人才培养方案需通过采购人审核。</w:t>
      </w:r>
    </w:p>
    <w:p w14:paraId="66B87CB3">
      <w:pPr>
        <w:pStyle w:val="2"/>
        <w:spacing w:line="360" w:lineRule="auto"/>
        <w:ind w:firstLine="480"/>
        <w:rPr>
          <w:rFonts w:cs="仿宋" w:asciiTheme="minorEastAsia" w:hAnsiTheme="minorEastAsia" w:eastAsiaTheme="minorEastAsia"/>
          <w:sz w:val="24"/>
        </w:rPr>
      </w:pPr>
      <w:r>
        <w:rPr>
          <w:rFonts w:hint="eastAsia" w:cs="仿宋" w:asciiTheme="minorEastAsia" w:hAnsiTheme="minorEastAsia" w:eastAsiaTheme="minorEastAsia"/>
          <w:sz w:val="24"/>
        </w:rPr>
        <w:t>人才培养方案需做到以下几个核心要素：</w:t>
      </w:r>
    </w:p>
    <w:p w14:paraId="5503098B">
      <w:pPr>
        <w:pStyle w:val="2"/>
        <w:spacing w:line="360" w:lineRule="auto"/>
        <w:ind w:firstLine="480"/>
        <w:rPr>
          <w:rFonts w:cs="仿宋" w:asciiTheme="minorEastAsia" w:hAnsiTheme="minorEastAsia" w:eastAsiaTheme="minorEastAsia"/>
          <w:sz w:val="24"/>
        </w:rPr>
      </w:pPr>
      <w:r>
        <w:rPr>
          <w:rFonts w:hint="eastAsia" w:cs="仿宋" w:asciiTheme="minorEastAsia" w:hAnsiTheme="minorEastAsia" w:eastAsiaTheme="minorEastAsia"/>
          <w:sz w:val="24"/>
        </w:rPr>
        <w:t>（1）学校与企业应围绕地方产业发展需求，结合企业用人标准和岗位能力要求，共同确定培养目标、细化毕业要求、确定课程体系和教学方法等。</w:t>
      </w:r>
    </w:p>
    <w:p w14:paraId="3D3F67FF">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2）课程设置需紧密围绕专业培养目标，涵盖基础理论、专业技能、实践操作等多个方面，确保学生全面掌握专业知识与技能。同时，应设置一定比例的实践课程和实习实训环节，提升学生的实践能力和职业素养。</w:t>
      </w:r>
    </w:p>
    <w:p w14:paraId="086FECF5">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3）教学方法与手段需灵活多样，注重理论与实践相结合，采用案例教学、项目驱动、情境教学等多种教学模式，激发学生的学习兴趣和积极性。同时，应充分利用现代信息技术手段，如在线教学平台、虚拟仿真实验室等，丰富教学资源，提高教学效果。</w:t>
      </w:r>
    </w:p>
    <w:p w14:paraId="4CF3906D">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（4）方案还需包括教学质量监控与评估机制，定期对教学效果、学生满意度、毕业生就业情况等进行跟踪调查和分析，以便及时调整和优化人才培养方案，确保人才培养质量持续提升。</w:t>
      </w:r>
    </w:p>
    <w:p w14:paraId="5DD80538">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（5）成立专业指导委员会，委员会由行业、企业领导和专家组成，参与人才培养方案的制定与修订，确保课程内容与实际工作需求相衔接。</w:t>
      </w:r>
    </w:p>
    <w:p w14:paraId="5061695A">
      <w:pPr>
        <w:pStyle w:val="2"/>
        <w:spacing w:line="360" w:lineRule="auto"/>
        <w:ind w:firstLine="480"/>
        <w:rPr>
          <w:rFonts w:cs="仿宋" w:asciiTheme="minorEastAsia" w:hAnsiTheme="minorEastAsia" w:eastAsiaTheme="minorEastAsia"/>
          <w:sz w:val="24"/>
        </w:rPr>
      </w:pPr>
      <w:r>
        <w:rPr>
          <w:rFonts w:hint="eastAsia" w:cs="仿宋" w:asciiTheme="minorEastAsia" w:hAnsiTheme="minorEastAsia" w:eastAsiaTheme="minorEastAsia"/>
          <w:sz w:val="24"/>
        </w:rPr>
        <w:t>1.2共建课程体系</w:t>
      </w:r>
    </w:p>
    <w:p w14:paraId="1FC0CF8E">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投标人与采购人联合制定上述机电一体化技术、机械制造及自动化、工业机器人技术、电气自动化技术，汽车检测与维修技术，新能源汽车技术专业的第五学期课程体系，各专业含4门以上专业课程，专业课程中的实践教学内容应占总课时不少于50%，每门专业课程应融入企业项目案例不少于5个，实践课时由投标人安排的企业导师授课，课程安排投标人应与学院方共同协商，制定出科学的双师排课制度。</w:t>
      </w:r>
    </w:p>
    <w:p w14:paraId="3D0DA2AE">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1）确保课程内容与企业实际需求紧密对接，提升学生的实践能力和职业素养。同时，加强课程思政建设，将思想政治教育融入专业课程，培养学生的职业道德和社会责任感。在课程资源开发方面，充分利用企业的实际案例和工作经验，结合学校的教学资源和师资力量，共同开发优质的教学资源和教材，为学生提供更加丰富、实用的学习材料和岗位实训。使学生在能够学到与未来职业发展紧密相关的知识和技能，为顺利就业打下坚实基础。</w:t>
      </w:r>
    </w:p>
    <w:p w14:paraId="5A5933FB">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（2）在课程体系实施过程中，注重学生的参与和反馈，定期组织学生进行课程评价和满意度调查，及时调整和优化课程内容和教学方法。</w:t>
      </w:r>
    </w:p>
    <w:p w14:paraId="79B7142A">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3）在课程设置中，增加创新创业相关的内容和案例，提升学生的创新思维和创业能力。可以举办如创新创业大赛、创业训练营等活动，为学生提供展示自我、锻炼能力的平台。同时，邀请成功创业者、企业家等为学生提供创业指导和咨询服务，帮助学生了解创业过程和市场需求，激发学生的创业热情和信心。</w:t>
      </w:r>
    </w:p>
    <w:p w14:paraId="246C51C2">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相关6个专业课程安排如下：</w:t>
      </w:r>
    </w:p>
    <w:tbl>
      <w:tblPr>
        <w:tblStyle w:val="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8"/>
        <w:gridCol w:w="2935"/>
        <w:gridCol w:w="1002"/>
        <w:gridCol w:w="1550"/>
        <w:gridCol w:w="1480"/>
        <w:gridCol w:w="1495"/>
        <w:gridCol w:w="707"/>
      </w:tblGrid>
      <w:tr w14:paraId="689ED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5" w:type="pct"/>
            <w:vAlign w:val="center"/>
          </w:tcPr>
          <w:p w14:paraId="206F74B8">
            <w:pPr>
              <w:pStyle w:val="2"/>
              <w:spacing w:line="360" w:lineRule="auto"/>
              <w:ind w:firstLine="0" w:firstLineChars="0"/>
              <w:jc w:val="center"/>
              <w:rPr>
                <w:rFonts w:cs="仿宋" w:asciiTheme="minorEastAsia" w:hAnsiTheme="minorEastAsia" w:eastAsiaTheme="minorEastAsia"/>
                <w:b/>
                <w:bCs/>
                <w:sz w:val="24"/>
              </w:rPr>
            </w:pPr>
            <w:r>
              <w:rPr>
                <w:rFonts w:hint="eastAsia" w:cs="仿宋" w:asciiTheme="minorEastAsia" w:hAnsiTheme="minorEastAsia" w:eastAsiaTheme="minorEastAsia"/>
                <w:b/>
                <w:bCs/>
                <w:sz w:val="24"/>
              </w:rPr>
              <w:t>序号</w:t>
            </w:r>
          </w:p>
        </w:tc>
        <w:tc>
          <w:tcPr>
            <w:tcW w:w="1474" w:type="pct"/>
            <w:vAlign w:val="center"/>
          </w:tcPr>
          <w:p w14:paraId="76F5B275">
            <w:pPr>
              <w:pStyle w:val="2"/>
              <w:spacing w:line="360" w:lineRule="auto"/>
              <w:ind w:firstLine="0" w:firstLineChars="0"/>
              <w:jc w:val="center"/>
              <w:rPr>
                <w:rFonts w:cs="仿宋" w:asciiTheme="minorEastAsia" w:hAnsiTheme="minorEastAsia" w:eastAsiaTheme="minorEastAsia"/>
                <w:b/>
                <w:bCs/>
                <w:sz w:val="24"/>
              </w:rPr>
            </w:pPr>
            <w:r>
              <w:rPr>
                <w:rFonts w:hint="eastAsia" w:cs="仿宋" w:asciiTheme="minorEastAsia" w:hAnsiTheme="minorEastAsia" w:eastAsiaTheme="minorEastAsia"/>
                <w:b/>
                <w:bCs/>
                <w:sz w:val="24"/>
              </w:rPr>
              <w:t>专业</w:t>
            </w:r>
          </w:p>
        </w:tc>
        <w:tc>
          <w:tcPr>
            <w:tcW w:w="503" w:type="pct"/>
            <w:vAlign w:val="center"/>
          </w:tcPr>
          <w:p w14:paraId="6D0FDB7B">
            <w:pPr>
              <w:pStyle w:val="2"/>
              <w:spacing w:line="360" w:lineRule="auto"/>
              <w:ind w:firstLine="0" w:firstLineChars="0"/>
              <w:jc w:val="center"/>
              <w:rPr>
                <w:rFonts w:cs="仿宋" w:asciiTheme="minorEastAsia" w:hAnsiTheme="minorEastAsia" w:eastAsiaTheme="minorEastAsia"/>
                <w:b/>
                <w:bCs/>
                <w:sz w:val="24"/>
              </w:rPr>
            </w:pPr>
            <w:r>
              <w:rPr>
                <w:rFonts w:hint="eastAsia" w:cs="仿宋" w:asciiTheme="minorEastAsia" w:hAnsiTheme="minorEastAsia" w:eastAsiaTheme="minorEastAsia"/>
                <w:b/>
                <w:bCs/>
                <w:sz w:val="24"/>
              </w:rPr>
              <w:t>班级数</w:t>
            </w:r>
          </w:p>
        </w:tc>
        <w:tc>
          <w:tcPr>
            <w:tcW w:w="778" w:type="pct"/>
            <w:vAlign w:val="center"/>
          </w:tcPr>
          <w:p w14:paraId="0FE8DDBD">
            <w:pPr>
              <w:pStyle w:val="2"/>
              <w:spacing w:line="360" w:lineRule="auto"/>
              <w:ind w:firstLine="0" w:firstLineChars="0"/>
              <w:jc w:val="center"/>
              <w:rPr>
                <w:rFonts w:cs="仿宋" w:asciiTheme="minorEastAsia" w:hAnsiTheme="minorEastAsia" w:eastAsiaTheme="minorEastAsia"/>
                <w:b/>
                <w:bCs/>
                <w:sz w:val="24"/>
              </w:rPr>
            </w:pPr>
            <w:r>
              <w:rPr>
                <w:rFonts w:hint="eastAsia" w:cs="仿宋" w:asciiTheme="minorEastAsia" w:hAnsiTheme="minorEastAsia" w:eastAsiaTheme="minorEastAsia"/>
                <w:b/>
                <w:bCs/>
                <w:sz w:val="24"/>
              </w:rPr>
              <w:t>课程门数</w:t>
            </w:r>
          </w:p>
        </w:tc>
        <w:tc>
          <w:tcPr>
            <w:tcW w:w="741" w:type="pct"/>
            <w:vAlign w:val="center"/>
          </w:tcPr>
          <w:p w14:paraId="419C9406">
            <w:pPr>
              <w:pStyle w:val="2"/>
              <w:spacing w:line="360" w:lineRule="auto"/>
              <w:ind w:firstLine="0" w:firstLineChars="0"/>
              <w:jc w:val="center"/>
              <w:rPr>
                <w:rFonts w:cs="仿宋" w:asciiTheme="minorEastAsia" w:hAnsiTheme="minorEastAsia" w:eastAsiaTheme="minorEastAsia"/>
                <w:b/>
                <w:bCs/>
                <w:sz w:val="24"/>
              </w:rPr>
            </w:pPr>
            <w:r>
              <w:rPr>
                <w:rFonts w:hint="eastAsia" w:cs="仿宋" w:asciiTheme="minorEastAsia" w:hAnsiTheme="minorEastAsia" w:eastAsiaTheme="minorEastAsia"/>
                <w:b/>
                <w:bCs/>
                <w:sz w:val="24"/>
              </w:rPr>
              <w:t>周课时</w:t>
            </w:r>
          </w:p>
        </w:tc>
        <w:tc>
          <w:tcPr>
            <w:tcW w:w="751" w:type="pct"/>
            <w:vAlign w:val="center"/>
          </w:tcPr>
          <w:p w14:paraId="2D8D5B64">
            <w:pPr>
              <w:pStyle w:val="2"/>
              <w:spacing w:line="360" w:lineRule="auto"/>
              <w:ind w:firstLine="0" w:firstLineChars="0"/>
              <w:jc w:val="center"/>
              <w:rPr>
                <w:rFonts w:cs="仿宋" w:asciiTheme="minorEastAsia" w:hAnsiTheme="minorEastAsia" w:eastAsiaTheme="minorEastAsia"/>
                <w:b/>
                <w:bCs/>
                <w:sz w:val="24"/>
              </w:rPr>
            </w:pPr>
            <w:r>
              <w:rPr>
                <w:rFonts w:hint="eastAsia" w:cs="仿宋" w:asciiTheme="minorEastAsia" w:hAnsiTheme="minorEastAsia" w:eastAsiaTheme="minorEastAsia"/>
                <w:b/>
                <w:bCs/>
                <w:sz w:val="24"/>
              </w:rPr>
              <w:t>合计课时</w:t>
            </w:r>
          </w:p>
        </w:tc>
        <w:tc>
          <w:tcPr>
            <w:tcW w:w="355" w:type="pct"/>
            <w:vAlign w:val="center"/>
          </w:tcPr>
          <w:p w14:paraId="405114E4">
            <w:pPr>
              <w:pStyle w:val="2"/>
              <w:spacing w:line="360" w:lineRule="auto"/>
              <w:ind w:firstLine="0" w:firstLineChars="0"/>
              <w:jc w:val="center"/>
              <w:rPr>
                <w:rFonts w:cs="仿宋" w:asciiTheme="minorEastAsia" w:hAnsiTheme="minorEastAsia" w:eastAsiaTheme="minorEastAsia"/>
                <w:b/>
                <w:bCs/>
                <w:sz w:val="24"/>
              </w:rPr>
            </w:pPr>
            <w:r>
              <w:rPr>
                <w:rFonts w:hint="eastAsia" w:cs="仿宋" w:asciiTheme="minorEastAsia" w:hAnsiTheme="minorEastAsia" w:eastAsiaTheme="minorEastAsia"/>
                <w:b/>
                <w:bCs/>
                <w:sz w:val="24"/>
              </w:rPr>
              <w:t>备注</w:t>
            </w:r>
          </w:p>
        </w:tc>
      </w:tr>
      <w:tr w14:paraId="10ECD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5" w:type="pct"/>
            <w:vAlign w:val="center"/>
          </w:tcPr>
          <w:p w14:paraId="78CC0857">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1</w:t>
            </w:r>
          </w:p>
        </w:tc>
        <w:tc>
          <w:tcPr>
            <w:tcW w:w="1474" w:type="pct"/>
            <w:vAlign w:val="center"/>
          </w:tcPr>
          <w:p w14:paraId="5E0F4477">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工业机器人技术</w:t>
            </w:r>
          </w:p>
        </w:tc>
        <w:tc>
          <w:tcPr>
            <w:tcW w:w="503" w:type="pct"/>
            <w:vAlign w:val="center"/>
          </w:tcPr>
          <w:p w14:paraId="712108CB">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3</w:t>
            </w:r>
          </w:p>
        </w:tc>
        <w:tc>
          <w:tcPr>
            <w:tcW w:w="778" w:type="pct"/>
            <w:vAlign w:val="center"/>
          </w:tcPr>
          <w:p w14:paraId="39B2249A">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12</w:t>
            </w:r>
          </w:p>
        </w:tc>
        <w:tc>
          <w:tcPr>
            <w:tcW w:w="741" w:type="pct"/>
            <w:vAlign w:val="center"/>
          </w:tcPr>
          <w:p w14:paraId="5A8502A5">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4/6</w:t>
            </w:r>
          </w:p>
        </w:tc>
        <w:tc>
          <w:tcPr>
            <w:tcW w:w="751" w:type="pct"/>
            <w:vAlign w:val="center"/>
          </w:tcPr>
          <w:p w14:paraId="46ADCAC2">
            <w:pPr>
              <w:widowControl/>
              <w:spacing w:line="360" w:lineRule="auto"/>
              <w:jc w:val="center"/>
              <w:textAlignment w:val="center"/>
              <w:rPr>
                <w:rFonts w:cs="仿宋" w:asciiTheme="minorEastAsia" w:hAnsiTheme="minorEastAsia" w:eastAsiaTheme="minorEastAsia"/>
                <w:sz w:val="24"/>
                <w:szCs w:val="24"/>
              </w:rPr>
            </w:pPr>
            <w:r>
              <w:rPr>
                <w:rFonts w:hint="eastAsia" w:cs="仿宋" w:asciiTheme="minorEastAsia" w:hAnsiTheme="minorEastAsia" w:eastAsiaTheme="minorEastAsia"/>
                <w:spacing w:val="14"/>
                <w:sz w:val="24"/>
                <w:szCs w:val="24"/>
              </w:rPr>
              <w:t>1104</w:t>
            </w:r>
          </w:p>
        </w:tc>
        <w:tc>
          <w:tcPr>
            <w:tcW w:w="355" w:type="pct"/>
            <w:vAlign w:val="center"/>
          </w:tcPr>
          <w:p w14:paraId="30F15F7D">
            <w:pPr>
              <w:pStyle w:val="2"/>
              <w:spacing w:line="360" w:lineRule="auto"/>
              <w:ind w:firstLine="480"/>
              <w:jc w:val="center"/>
              <w:rPr>
                <w:rFonts w:cs="仿宋" w:asciiTheme="minorEastAsia" w:hAnsiTheme="minorEastAsia" w:eastAsiaTheme="minorEastAsia"/>
                <w:sz w:val="24"/>
              </w:rPr>
            </w:pPr>
          </w:p>
        </w:tc>
      </w:tr>
      <w:tr w14:paraId="3F82D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5" w:type="pct"/>
            <w:vAlign w:val="center"/>
          </w:tcPr>
          <w:p w14:paraId="5AE64196">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2</w:t>
            </w:r>
          </w:p>
        </w:tc>
        <w:tc>
          <w:tcPr>
            <w:tcW w:w="1474" w:type="pct"/>
            <w:vAlign w:val="center"/>
          </w:tcPr>
          <w:p w14:paraId="7984A57F">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电气自动化技术</w:t>
            </w:r>
          </w:p>
        </w:tc>
        <w:tc>
          <w:tcPr>
            <w:tcW w:w="503" w:type="pct"/>
            <w:vAlign w:val="center"/>
          </w:tcPr>
          <w:p w14:paraId="22D77244">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1</w:t>
            </w:r>
          </w:p>
        </w:tc>
        <w:tc>
          <w:tcPr>
            <w:tcW w:w="778" w:type="pct"/>
            <w:vAlign w:val="center"/>
          </w:tcPr>
          <w:p w14:paraId="2FCA0FA9">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7</w:t>
            </w:r>
          </w:p>
        </w:tc>
        <w:tc>
          <w:tcPr>
            <w:tcW w:w="741" w:type="pct"/>
            <w:vAlign w:val="center"/>
          </w:tcPr>
          <w:p w14:paraId="5FD37D98">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4</w:t>
            </w:r>
          </w:p>
        </w:tc>
        <w:tc>
          <w:tcPr>
            <w:tcW w:w="751" w:type="pct"/>
            <w:vAlign w:val="center"/>
          </w:tcPr>
          <w:p w14:paraId="14F296A7">
            <w:pPr>
              <w:widowControl/>
              <w:spacing w:line="360" w:lineRule="auto"/>
              <w:jc w:val="center"/>
              <w:textAlignment w:val="center"/>
              <w:rPr>
                <w:rFonts w:cs="仿宋" w:asciiTheme="minorEastAsia" w:hAnsiTheme="minorEastAsia" w:eastAsiaTheme="minorEastAsia"/>
                <w:sz w:val="24"/>
                <w:szCs w:val="24"/>
              </w:rPr>
            </w:pPr>
            <w:r>
              <w:rPr>
                <w:rFonts w:hint="eastAsia" w:cs="仿宋" w:asciiTheme="minorEastAsia" w:hAnsiTheme="minorEastAsia" w:eastAsiaTheme="minorEastAsia"/>
                <w:spacing w:val="14"/>
                <w:sz w:val="24"/>
                <w:szCs w:val="24"/>
              </w:rPr>
              <w:t>336</w:t>
            </w:r>
          </w:p>
        </w:tc>
        <w:tc>
          <w:tcPr>
            <w:tcW w:w="355" w:type="pct"/>
            <w:vAlign w:val="center"/>
          </w:tcPr>
          <w:p w14:paraId="42CAA376">
            <w:pPr>
              <w:pStyle w:val="2"/>
              <w:spacing w:line="360" w:lineRule="auto"/>
              <w:ind w:firstLine="480"/>
              <w:jc w:val="center"/>
              <w:rPr>
                <w:rFonts w:cs="仿宋" w:asciiTheme="minorEastAsia" w:hAnsiTheme="minorEastAsia" w:eastAsiaTheme="minorEastAsia"/>
                <w:sz w:val="24"/>
              </w:rPr>
            </w:pPr>
          </w:p>
        </w:tc>
      </w:tr>
      <w:tr w14:paraId="428B0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5" w:type="pct"/>
            <w:vAlign w:val="center"/>
          </w:tcPr>
          <w:p w14:paraId="41A6C13E">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3</w:t>
            </w:r>
          </w:p>
        </w:tc>
        <w:tc>
          <w:tcPr>
            <w:tcW w:w="1474" w:type="pct"/>
            <w:vAlign w:val="center"/>
          </w:tcPr>
          <w:p w14:paraId="4C219E8C">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机电一体化技术</w:t>
            </w:r>
          </w:p>
        </w:tc>
        <w:tc>
          <w:tcPr>
            <w:tcW w:w="503" w:type="pct"/>
            <w:vAlign w:val="center"/>
          </w:tcPr>
          <w:p w14:paraId="5C4153D3">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4</w:t>
            </w:r>
          </w:p>
        </w:tc>
        <w:tc>
          <w:tcPr>
            <w:tcW w:w="778" w:type="pct"/>
            <w:vAlign w:val="center"/>
          </w:tcPr>
          <w:p w14:paraId="493BF0CF">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9</w:t>
            </w:r>
          </w:p>
        </w:tc>
        <w:tc>
          <w:tcPr>
            <w:tcW w:w="741" w:type="pct"/>
            <w:vAlign w:val="center"/>
          </w:tcPr>
          <w:p w14:paraId="6DEB7286">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4/6</w:t>
            </w:r>
          </w:p>
        </w:tc>
        <w:tc>
          <w:tcPr>
            <w:tcW w:w="751" w:type="pct"/>
            <w:vAlign w:val="center"/>
          </w:tcPr>
          <w:p w14:paraId="6883A2E3">
            <w:pPr>
              <w:widowControl/>
              <w:spacing w:line="360" w:lineRule="auto"/>
              <w:jc w:val="center"/>
              <w:textAlignment w:val="center"/>
              <w:rPr>
                <w:rFonts w:cs="仿宋" w:asciiTheme="minorEastAsia" w:hAnsiTheme="minorEastAsia" w:eastAsiaTheme="minorEastAsia"/>
                <w:sz w:val="24"/>
                <w:szCs w:val="24"/>
              </w:rPr>
            </w:pPr>
            <w:r>
              <w:rPr>
                <w:rFonts w:hint="eastAsia" w:cs="仿宋" w:asciiTheme="minorEastAsia" w:hAnsiTheme="minorEastAsia" w:eastAsiaTheme="minorEastAsia"/>
                <w:spacing w:val="14"/>
                <w:sz w:val="24"/>
                <w:szCs w:val="24"/>
              </w:rPr>
              <w:t>1296</w:t>
            </w:r>
          </w:p>
        </w:tc>
        <w:tc>
          <w:tcPr>
            <w:tcW w:w="355" w:type="pct"/>
            <w:vAlign w:val="center"/>
          </w:tcPr>
          <w:p w14:paraId="515A9C29">
            <w:pPr>
              <w:pStyle w:val="2"/>
              <w:spacing w:line="360" w:lineRule="auto"/>
              <w:ind w:firstLine="480"/>
              <w:jc w:val="center"/>
              <w:rPr>
                <w:rFonts w:cs="仿宋" w:asciiTheme="minorEastAsia" w:hAnsiTheme="minorEastAsia" w:eastAsiaTheme="minorEastAsia"/>
                <w:sz w:val="24"/>
              </w:rPr>
            </w:pPr>
          </w:p>
        </w:tc>
      </w:tr>
      <w:tr w14:paraId="3E544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5" w:type="pct"/>
            <w:vAlign w:val="center"/>
          </w:tcPr>
          <w:p w14:paraId="6E843F69">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4</w:t>
            </w:r>
          </w:p>
        </w:tc>
        <w:tc>
          <w:tcPr>
            <w:tcW w:w="1474" w:type="pct"/>
            <w:vAlign w:val="center"/>
          </w:tcPr>
          <w:p w14:paraId="76EA72C9">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机械制造及自动化</w:t>
            </w:r>
          </w:p>
        </w:tc>
        <w:tc>
          <w:tcPr>
            <w:tcW w:w="503" w:type="pct"/>
            <w:vAlign w:val="center"/>
          </w:tcPr>
          <w:p w14:paraId="1740C8E9">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2</w:t>
            </w:r>
          </w:p>
        </w:tc>
        <w:tc>
          <w:tcPr>
            <w:tcW w:w="778" w:type="pct"/>
            <w:vAlign w:val="center"/>
          </w:tcPr>
          <w:p w14:paraId="0581ABB6">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6</w:t>
            </w:r>
          </w:p>
        </w:tc>
        <w:tc>
          <w:tcPr>
            <w:tcW w:w="741" w:type="pct"/>
            <w:vAlign w:val="center"/>
          </w:tcPr>
          <w:p w14:paraId="61FB82DB">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4</w:t>
            </w:r>
          </w:p>
        </w:tc>
        <w:tc>
          <w:tcPr>
            <w:tcW w:w="751" w:type="pct"/>
            <w:vAlign w:val="center"/>
          </w:tcPr>
          <w:p w14:paraId="10701D08">
            <w:pPr>
              <w:widowControl/>
              <w:spacing w:line="360" w:lineRule="auto"/>
              <w:jc w:val="center"/>
              <w:textAlignment w:val="center"/>
              <w:rPr>
                <w:rFonts w:cs="仿宋" w:asciiTheme="minorEastAsia" w:hAnsiTheme="minorEastAsia" w:eastAsiaTheme="minorEastAsia"/>
                <w:sz w:val="24"/>
                <w:szCs w:val="24"/>
              </w:rPr>
            </w:pPr>
            <w:r>
              <w:rPr>
                <w:rFonts w:hint="eastAsia" w:cs="仿宋" w:asciiTheme="minorEastAsia" w:hAnsiTheme="minorEastAsia" w:eastAsiaTheme="minorEastAsia"/>
                <w:spacing w:val="14"/>
                <w:sz w:val="24"/>
                <w:szCs w:val="24"/>
              </w:rPr>
              <w:t>656</w:t>
            </w:r>
          </w:p>
        </w:tc>
        <w:tc>
          <w:tcPr>
            <w:tcW w:w="355" w:type="pct"/>
            <w:vAlign w:val="center"/>
          </w:tcPr>
          <w:p w14:paraId="0A5284BB">
            <w:pPr>
              <w:pStyle w:val="2"/>
              <w:spacing w:line="360" w:lineRule="auto"/>
              <w:ind w:firstLine="480"/>
              <w:jc w:val="center"/>
              <w:rPr>
                <w:rFonts w:cs="仿宋" w:asciiTheme="minorEastAsia" w:hAnsiTheme="minorEastAsia" w:eastAsiaTheme="minorEastAsia"/>
                <w:sz w:val="24"/>
              </w:rPr>
            </w:pPr>
          </w:p>
        </w:tc>
      </w:tr>
      <w:tr w14:paraId="37DD6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395" w:type="pct"/>
            <w:vAlign w:val="center"/>
          </w:tcPr>
          <w:p w14:paraId="46520B3D">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5</w:t>
            </w:r>
          </w:p>
        </w:tc>
        <w:tc>
          <w:tcPr>
            <w:tcW w:w="1474" w:type="pct"/>
            <w:vAlign w:val="center"/>
          </w:tcPr>
          <w:p w14:paraId="713E537F">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汽车检测与维修技术</w:t>
            </w:r>
          </w:p>
        </w:tc>
        <w:tc>
          <w:tcPr>
            <w:tcW w:w="503" w:type="pct"/>
            <w:vAlign w:val="center"/>
          </w:tcPr>
          <w:p w14:paraId="29448D62">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1</w:t>
            </w:r>
          </w:p>
        </w:tc>
        <w:tc>
          <w:tcPr>
            <w:tcW w:w="778" w:type="pct"/>
            <w:vAlign w:val="center"/>
          </w:tcPr>
          <w:p w14:paraId="08006847">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6</w:t>
            </w:r>
          </w:p>
        </w:tc>
        <w:tc>
          <w:tcPr>
            <w:tcW w:w="741" w:type="pct"/>
            <w:vAlign w:val="center"/>
          </w:tcPr>
          <w:p w14:paraId="35ED1936">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4</w:t>
            </w:r>
          </w:p>
        </w:tc>
        <w:tc>
          <w:tcPr>
            <w:tcW w:w="751" w:type="pct"/>
            <w:vAlign w:val="center"/>
          </w:tcPr>
          <w:p w14:paraId="5F5916DB">
            <w:pPr>
              <w:widowControl/>
              <w:spacing w:line="360" w:lineRule="auto"/>
              <w:jc w:val="center"/>
              <w:textAlignment w:val="center"/>
              <w:rPr>
                <w:rFonts w:cs="仿宋" w:asciiTheme="minorEastAsia" w:hAnsiTheme="minorEastAsia" w:eastAsiaTheme="minorEastAsia"/>
                <w:sz w:val="24"/>
                <w:szCs w:val="24"/>
              </w:rPr>
            </w:pPr>
            <w:r>
              <w:rPr>
                <w:rFonts w:hint="eastAsia" w:cs="仿宋" w:asciiTheme="minorEastAsia" w:hAnsiTheme="minorEastAsia" w:eastAsiaTheme="minorEastAsia"/>
                <w:spacing w:val="14"/>
                <w:sz w:val="24"/>
                <w:szCs w:val="24"/>
              </w:rPr>
              <w:t>320</w:t>
            </w:r>
          </w:p>
        </w:tc>
        <w:tc>
          <w:tcPr>
            <w:tcW w:w="355" w:type="pct"/>
            <w:vAlign w:val="center"/>
          </w:tcPr>
          <w:p w14:paraId="751E1366">
            <w:pPr>
              <w:pStyle w:val="2"/>
              <w:spacing w:line="360" w:lineRule="auto"/>
              <w:ind w:firstLine="480"/>
              <w:jc w:val="center"/>
              <w:rPr>
                <w:rFonts w:cs="仿宋" w:asciiTheme="minorEastAsia" w:hAnsiTheme="minorEastAsia" w:eastAsiaTheme="minorEastAsia"/>
                <w:sz w:val="24"/>
              </w:rPr>
            </w:pPr>
          </w:p>
        </w:tc>
      </w:tr>
      <w:tr w14:paraId="062AE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5" w:type="pct"/>
            <w:vAlign w:val="center"/>
          </w:tcPr>
          <w:p w14:paraId="5B41B537">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6</w:t>
            </w:r>
          </w:p>
        </w:tc>
        <w:tc>
          <w:tcPr>
            <w:tcW w:w="1474" w:type="pct"/>
            <w:vAlign w:val="center"/>
          </w:tcPr>
          <w:p w14:paraId="1A707128">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新能源汽车技术</w:t>
            </w:r>
          </w:p>
        </w:tc>
        <w:tc>
          <w:tcPr>
            <w:tcW w:w="503" w:type="pct"/>
            <w:vAlign w:val="center"/>
          </w:tcPr>
          <w:p w14:paraId="33F8732A">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1</w:t>
            </w:r>
          </w:p>
        </w:tc>
        <w:tc>
          <w:tcPr>
            <w:tcW w:w="778" w:type="pct"/>
            <w:vAlign w:val="center"/>
          </w:tcPr>
          <w:p w14:paraId="7C045F6E">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6</w:t>
            </w:r>
          </w:p>
        </w:tc>
        <w:tc>
          <w:tcPr>
            <w:tcW w:w="741" w:type="pct"/>
            <w:vAlign w:val="center"/>
          </w:tcPr>
          <w:p w14:paraId="3041AB4E">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pacing w:val="14"/>
                <w:sz w:val="24"/>
              </w:rPr>
              <w:t>4</w:t>
            </w:r>
          </w:p>
        </w:tc>
        <w:tc>
          <w:tcPr>
            <w:tcW w:w="751" w:type="pct"/>
            <w:vAlign w:val="center"/>
          </w:tcPr>
          <w:p w14:paraId="35EAAD4D">
            <w:pPr>
              <w:widowControl/>
              <w:spacing w:line="360" w:lineRule="auto"/>
              <w:jc w:val="center"/>
              <w:textAlignment w:val="center"/>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320</w:t>
            </w:r>
          </w:p>
        </w:tc>
        <w:tc>
          <w:tcPr>
            <w:tcW w:w="355" w:type="pct"/>
            <w:vAlign w:val="center"/>
          </w:tcPr>
          <w:p w14:paraId="6250D2DF">
            <w:pPr>
              <w:pStyle w:val="2"/>
              <w:spacing w:line="360" w:lineRule="auto"/>
              <w:ind w:firstLine="480"/>
              <w:jc w:val="center"/>
              <w:rPr>
                <w:rFonts w:cs="仿宋" w:asciiTheme="minorEastAsia" w:hAnsiTheme="minorEastAsia" w:eastAsiaTheme="minorEastAsia"/>
                <w:sz w:val="24"/>
              </w:rPr>
            </w:pPr>
          </w:p>
        </w:tc>
      </w:tr>
      <w:tr w14:paraId="10D39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93" w:type="pct"/>
            <w:gridSpan w:val="5"/>
            <w:vAlign w:val="center"/>
          </w:tcPr>
          <w:p w14:paraId="097D37CC">
            <w:pPr>
              <w:pStyle w:val="2"/>
              <w:spacing w:line="360" w:lineRule="auto"/>
              <w:ind w:firstLine="0" w:firstLineChars="0"/>
              <w:jc w:val="center"/>
              <w:rPr>
                <w:rFonts w:cs="仿宋" w:asciiTheme="minorEastAsia" w:hAnsiTheme="minorEastAsia" w:eastAsiaTheme="minorEastAsia"/>
                <w:spacing w:val="14"/>
                <w:sz w:val="24"/>
              </w:rPr>
            </w:pPr>
            <w:r>
              <w:rPr>
                <w:rFonts w:hint="eastAsia" w:cs="仿宋" w:asciiTheme="minorEastAsia" w:hAnsiTheme="minorEastAsia" w:eastAsiaTheme="minorEastAsia"/>
                <w:spacing w:val="14"/>
                <w:sz w:val="24"/>
              </w:rPr>
              <w:t>总课时</w:t>
            </w:r>
          </w:p>
        </w:tc>
        <w:tc>
          <w:tcPr>
            <w:tcW w:w="751" w:type="pct"/>
            <w:vAlign w:val="center"/>
          </w:tcPr>
          <w:p w14:paraId="764877FD">
            <w:pPr>
              <w:pStyle w:val="2"/>
              <w:spacing w:line="360" w:lineRule="auto"/>
              <w:ind w:firstLine="0" w:firstLineChars="0"/>
              <w:jc w:val="center"/>
              <w:rPr>
                <w:rFonts w:cs="仿宋" w:asciiTheme="minorEastAsia" w:hAnsiTheme="minorEastAsia" w:eastAsiaTheme="minorEastAsia"/>
                <w:spacing w:val="14"/>
                <w:sz w:val="24"/>
              </w:rPr>
            </w:pPr>
            <w:r>
              <w:rPr>
                <w:rFonts w:hint="eastAsia" w:cs="仿宋" w:asciiTheme="minorEastAsia" w:hAnsiTheme="minorEastAsia" w:eastAsiaTheme="minorEastAsia"/>
                <w:spacing w:val="14"/>
                <w:sz w:val="24"/>
              </w:rPr>
              <w:t>4032</w:t>
            </w:r>
          </w:p>
        </w:tc>
        <w:tc>
          <w:tcPr>
            <w:tcW w:w="355" w:type="pct"/>
            <w:vAlign w:val="center"/>
          </w:tcPr>
          <w:p w14:paraId="227D7B13">
            <w:pPr>
              <w:pStyle w:val="2"/>
              <w:spacing w:line="360" w:lineRule="auto"/>
              <w:ind w:firstLine="480"/>
              <w:jc w:val="center"/>
              <w:rPr>
                <w:rFonts w:cs="仿宋" w:asciiTheme="minorEastAsia" w:hAnsiTheme="minorEastAsia" w:eastAsiaTheme="minorEastAsia"/>
                <w:sz w:val="24"/>
              </w:rPr>
            </w:pPr>
          </w:p>
        </w:tc>
      </w:tr>
    </w:tbl>
    <w:p w14:paraId="7A44652F">
      <w:pPr>
        <w:spacing w:line="360" w:lineRule="auto"/>
        <w:rPr>
          <w:rFonts w:cs="仿宋" w:asciiTheme="minorEastAsia" w:hAnsiTheme="minorEastAsia" w:eastAsiaTheme="minorEastAsia"/>
          <w:b/>
          <w:bCs/>
          <w:sz w:val="24"/>
          <w:szCs w:val="24"/>
        </w:rPr>
      </w:pPr>
    </w:p>
    <w:p w14:paraId="42475A66">
      <w:pPr>
        <w:numPr>
          <w:ilvl w:val="0"/>
          <w:numId w:val="1"/>
        </w:numPr>
        <w:kinsoku/>
        <w:spacing w:line="360" w:lineRule="auto"/>
        <w:ind w:firstLine="482" w:firstLineChars="200"/>
        <w:jc w:val="both"/>
        <w:rPr>
          <w:rFonts w:cs="仿宋" w:asciiTheme="minorEastAsia" w:hAnsiTheme="minorEastAsia" w:eastAsiaTheme="minorEastAsia"/>
          <w:b/>
          <w:bCs/>
          <w:sz w:val="24"/>
          <w:szCs w:val="24"/>
        </w:rPr>
      </w:pPr>
      <w:r>
        <w:rPr>
          <w:rFonts w:hint="eastAsia" w:cs="仿宋" w:asciiTheme="minorEastAsia" w:hAnsiTheme="minorEastAsia" w:eastAsiaTheme="minorEastAsia"/>
          <w:b/>
          <w:bCs/>
          <w:sz w:val="24"/>
          <w:szCs w:val="24"/>
        </w:rPr>
        <w:t>共建教材</w:t>
      </w:r>
    </w:p>
    <w:p w14:paraId="6A4B9A08">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投标人须与采购人共同编写上述6个专业相关教材不少于1本，具体课程由双方协商。</w:t>
      </w:r>
    </w:p>
    <w:p w14:paraId="38ED8087">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（1）学校与企业共同参与教材的编写、修订与审核，编写团队应包含学院专职教师（第一主编）及企业专家（2名校内专职教师+1名企业专家），确保教材内容既符合教学要求，又贴近企业岗位需求。</w:t>
      </w:r>
    </w:p>
    <w:p w14:paraId="56540A0E">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（2）教材内容应围绕学生的职业能力发展设计，注重理论与实践的结合，提升学生的综合素养，教材字数不少于15万字。</w:t>
      </w:r>
    </w:p>
    <w:p w14:paraId="7CFDE69F">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（3）企业应提供真实案例（不少于4个）、项目素材和技术支持，学校则提供教学资源与平台，实现资源共享与优势互补。打造具有示范性的校企合作教材，推动专业建设与课程改革。</w:t>
      </w:r>
    </w:p>
    <w:p w14:paraId="06E2D7FF">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（4）教材应根据行业发展和技术进步进行定期修订，编写团队定期召开线上+线下研讨会（每月≥1次），确保内容的时效性与先进性。</w:t>
      </w:r>
    </w:p>
    <w:p w14:paraId="3728C810">
      <w:pPr>
        <w:spacing w:line="360" w:lineRule="auto"/>
        <w:ind w:firstLine="480" w:firstLineChars="200"/>
        <w:rPr>
          <w:rStyle w:val="8"/>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（5）教材初稿应在服务期结束前完成，经分院审核通过后提交至学校。</w:t>
      </w:r>
    </w:p>
    <w:p w14:paraId="30986C32">
      <w:pPr>
        <w:spacing w:line="360" w:lineRule="auto"/>
        <w:ind w:firstLine="482" w:firstLineChars="200"/>
        <w:rPr>
          <w:rFonts w:cs="仿宋" w:asciiTheme="minorEastAsia" w:hAnsiTheme="minorEastAsia" w:eastAsiaTheme="minorEastAsia"/>
          <w:b/>
          <w:bCs/>
          <w:sz w:val="24"/>
          <w:szCs w:val="24"/>
          <w:lang w:eastAsia="zh-CN"/>
        </w:rPr>
      </w:pPr>
      <w:r>
        <w:rPr>
          <w:rFonts w:hint="eastAsia" w:cs="仿宋" w:asciiTheme="minorEastAsia" w:hAnsiTheme="minorEastAsia" w:eastAsiaTheme="minorEastAsia"/>
          <w:b/>
          <w:bCs/>
          <w:sz w:val="24"/>
          <w:szCs w:val="24"/>
          <w:lang w:eastAsia="zh-CN"/>
        </w:rPr>
        <w:t>3.共组师资团队</w:t>
      </w:r>
    </w:p>
    <w:p w14:paraId="46C7D7EF">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 xml:space="preserve">（1）学校教师定期到企业挂职锻炼，参与企业生产、技术研发、管理等工作，提升实践能力。企业技术人员到学校担任兼职教师，参与教学、实训指导、课程开发等工作，将最新技术成果引入课堂。   </w:t>
      </w:r>
    </w:p>
    <w:p w14:paraId="5BAC703A">
      <w:pPr>
        <w:pStyle w:val="4"/>
        <w:shd w:val="clear" w:color="auto" w:fill="FFFFFF"/>
        <w:spacing w:beforeAutospacing="0" w:afterAutospacing="0" w:line="360" w:lineRule="auto"/>
        <w:ind w:firstLine="480" w:firstLineChars="200"/>
        <w:rPr>
          <w:rFonts w:cs="仿宋" w:asciiTheme="minorEastAsia" w:hAnsiTheme="minorEastAsia" w:eastAsiaTheme="minorEastAsia"/>
          <w:b/>
          <w:bCs/>
          <w:color w:val="EE0000"/>
          <w:kern w:val="2"/>
          <w:szCs w:val="24"/>
          <w:lang w:eastAsia="zh-CN"/>
        </w:rPr>
      </w:pPr>
      <w:r>
        <w:rPr>
          <w:rFonts w:hint="eastAsia" w:cs="仿宋" w:asciiTheme="minorEastAsia" w:hAnsiTheme="minorEastAsia" w:eastAsiaTheme="minorEastAsia"/>
          <w:szCs w:val="24"/>
          <w:lang w:eastAsia="zh-CN"/>
        </w:rPr>
        <w:t>（2）校内专职教师+企业导师协同授课，其中配备企业导师需为工业机器人技术、数控技术、机电一体化技术、机械制造及自动化、电气自动化技术、新能源汽车技术等专业，</w:t>
      </w:r>
      <w:r>
        <w:rPr>
          <w:rFonts w:hint="eastAsia" w:cs="仿宋" w:asciiTheme="minorEastAsia" w:hAnsiTheme="minorEastAsia" w:eastAsiaTheme="minorEastAsia"/>
          <w:color w:val="auto"/>
          <w:szCs w:val="24"/>
          <w:lang w:eastAsia="zh-CN"/>
        </w:rPr>
        <w:t>师资人员应具有中级及以上职称（工程师或技师）或岗位工作经验5年以上的企业师资，</w:t>
      </w:r>
      <w:r>
        <w:rPr>
          <w:rFonts w:hint="eastAsia" w:cs="仿宋" w:asciiTheme="minorEastAsia" w:hAnsiTheme="minorEastAsia" w:eastAsiaTheme="minorEastAsia"/>
          <w:szCs w:val="24"/>
          <w:lang w:eastAsia="zh-CN"/>
        </w:rPr>
        <w:t>总人数不低于25人。★</w:t>
      </w:r>
      <w:r>
        <w:rPr>
          <w:rFonts w:hint="eastAsia" w:cs="仿宋" w:asciiTheme="minorEastAsia" w:hAnsiTheme="minorEastAsia" w:eastAsiaTheme="minorEastAsia"/>
          <w:b/>
          <w:bCs/>
          <w:color w:val="auto"/>
          <w:szCs w:val="24"/>
          <w:lang w:eastAsia="zh-CN"/>
        </w:rPr>
        <w:t>投标文件中提供相应职称扫描件或5年及以上相关工作经验证明材料加盖投标人公章，否则视为无效投标。</w:t>
      </w:r>
    </w:p>
    <w:p w14:paraId="66733C8B">
      <w:pPr>
        <w:pStyle w:val="4"/>
        <w:shd w:val="clear" w:color="auto" w:fill="FFFFFF"/>
        <w:spacing w:beforeAutospacing="0" w:afterAutospacing="0" w:line="360" w:lineRule="auto"/>
        <w:ind w:firstLine="480" w:firstLineChars="200"/>
        <w:rPr>
          <w:rFonts w:cs="仿宋" w:asciiTheme="minorEastAsia" w:hAnsiTheme="minorEastAsia" w:eastAsiaTheme="minorEastAsia"/>
          <w:kern w:val="2"/>
          <w:szCs w:val="24"/>
          <w:lang w:eastAsia="zh-CN"/>
        </w:rPr>
      </w:pPr>
      <w:r>
        <w:rPr>
          <w:rFonts w:hint="eastAsia" w:cs="仿宋" w:asciiTheme="minorEastAsia" w:hAnsiTheme="minorEastAsia" w:eastAsiaTheme="minorEastAsia"/>
          <w:kern w:val="2"/>
          <w:szCs w:val="24"/>
          <w:lang w:eastAsia="zh-CN"/>
        </w:rPr>
        <w:t>投标人提供的授课企业导师，其用工合同及社保由投标人或企业负责签订及承担，与学校无关。</w:t>
      </w:r>
    </w:p>
    <w:tbl>
      <w:tblPr>
        <w:tblStyle w:val="6"/>
        <w:tblW w:w="91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95"/>
        <w:gridCol w:w="2275"/>
        <w:gridCol w:w="1853"/>
        <w:gridCol w:w="3638"/>
      </w:tblGrid>
      <w:tr w14:paraId="7CAA5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jc w:val="center"/>
        </w:trPr>
        <w:tc>
          <w:tcPr>
            <w:tcW w:w="1395" w:type="dxa"/>
            <w:vAlign w:val="center"/>
          </w:tcPr>
          <w:p w14:paraId="5AFB0D25">
            <w:pPr>
              <w:pStyle w:val="2"/>
              <w:spacing w:line="360" w:lineRule="auto"/>
              <w:ind w:firstLine="0" w:firstLineChars="0"/>
              <w:jc w:val="center"/>
              <w:rPr>
                <w:rFonts w:cs="仿宋" w:asciiTheme="minorEastAsia" w:hAnsiTheme="minorEastAsia" w:eastAsiaTheme="minorEastAsia"/>
                <w:b/>
                <w:bCs/>
                <w:sz w:val="24"/>
              </w:rPr>
            </w:pPr>
            <w:r>
              <w:rPr>
                <w:rFonts w:hint="eastAsia" w:cs="仿宋" w:asciiTheme="minorEastAsia" w:hAnsiTheme="minorEastAsia" w:eastAsiaTheme="minorEastAsia"/>
                <w:b/>
                <w:bCs/>
                <w:sz w:val="24"/>
              </w:rPr>
              <w:t>专业名称</w:t>
            </w:r>
          </w:p>
        </w:tc>
        <w:tc>
          <w:tcPr>
            <w:tcW w:w="2275" w:type="dxa"/>
            <w:vAlign w:val="center"/>
          </w:tcPr>
          <w:p w14:paraId="4E5F22F6">
            <w:pPr>
              <w:pStyle w:val="2"/>
              <w:spacing w:line="360" w:lineRule="auto"/>
              <w:ind w:firstLine="0" w:firstLineChars="0"/>
              <w:jc w:val="center"/>
              <w:rPr>
                <w:rFonts w:cs="仿宋" w:asciiTheme="minorEastAsia" w:hAnsiTheme="minorEastAsia" w:eastAsiaTheme="minorEastAsia"/>
                <w:b/>
                <w:bCs/>
                <w:sz w:val="24"/>
              </w:rPr>
            </w:pPr>
            <w:r>
              <w:rPr>
                <w:rFonts w:hint="eastAsia" w:cs="仿宋" w:asciiTheme="minorEastAsia" w:hAnsiTheme="minorEastAsia" w:eastAsiaTheme="minorEastAsia"/>
                <w:b/>
                <w:bCs/>
                <w:sz w:val="24"/>
              </w:rPr>
              <w:t>师资专业要求</w:t>
            </w:r>
          </w:p>
        </w:tc>
        <w:tc>
          <w:tcPr>
            <w:tcW w:w="1853" w:type="dxa"/>
            <w:vAlign w:val="center"/>
          </w:tcPr>
          <w:p w14:paraId="5DC3766E">
            <w:pPr>
              <w:pStyle w:val="2"/>
              <w:spacing w:line="360" w:lineRule="auto"/>
              <w:ind w:firstLine="0" w:firstLineChars="0"/>
              <w:jc w:val="center"/>
              <w:rPr>
                <w:rFonts w:cs="仿宋" w:asciiTheme="minorEastAsia" w:hAnsiTheme="minorEastAsia" w:eastAsiaTheme="minorEastAsia"/>
                <w:b/>
                <w:bCs/>
                <w:sz w:val="24"/>
              </w:rPr>
            </w:pPr>
            <w:r>
              <w:rPr>
                <w:rFonts w:hint="eastAsia" w:cs="仿宋" w:asciiTheme="minorEastAsia" w:hAnsiTheme="minorEastAsia" w:eastAsiaTheme="minorEastAsia"/>
                <w:b/>
                <w:bCs/>
                <w:sz w:val="24"/>
              </w:rPr>
              <w:t>从业工龄时间</w:t>
            </w:r>
          </w:p>
        </w:tc>
        <w:tc>
          <w:tcPr>
            <w:tcW w:w="3638" w:type="dxa"/>
            <w:vAlign w:val="center"/>
          </w:tcPr>
          <w:p w14:paraId="1C297494">
            <w:pPr>
              <w:pStyle w:val="2"/>
              <w:spacing w:line="360" w:lineRule="auto"/>
              <w:ind w:firstLine="0" w:firstLineChars="0"/>
              <w:jc w:val="center"/>
              <w:rPr>
                <w:rFonts w:cs="仿宋" w:asciiTheme="minorEastAsia" w:hAnsiTheme="minorEastAsia" w:eastAsiaTheme="minorEastAsia"/>
                <w:b/>
                <w:bCs/>
                <w:sz w:val="24"/>
              </w:rPr>
            </w:pPr>
            <w:r>
              <w:rPr>
                <w:rFonts w:hint="eastAsia" w:cs="仿宋" w:asciiTheme="minorEastAsia" w:hAnsiTheme="minorEastAsia" w:eastAsiaTheme="minorEastAsia"/>
                <w:b/>
                <w:bCs/>
                <w:sz w:val="24"/>
              </w:rPr>
              <w:t>专业能力要求</w:t>
            </w:r>
          </w:p>
        </w:tc>
      </w:tr>
      <w:tr w14:paraId="4CB97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jc w:val="center"/>
        </w:trPr>
        <w:tc>
          <w:tcPr>
            <w:tcW w:w="1395" w:type="dxa"/>
            <w:vAlign w:val="center"/>
          </w:tcPr>
          <w:p w14:paraId="1D51ED4C">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工业机器人技术</w:t>
            </w:r>
          </w:p>
        </w:tc>
        <w:tc>
          <w:tcPr>
            <w:tcW w:w="2275" w:type="dxa"/>
            <w:vAlign w:val="center"/>
          </w:tcPr>
          <w:p w14:paraId="6375C86F">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电气、机械工程或自动化专业</w:t>
            </w:r>
          </w:p>
        </w:tc>
        <w:tc>
          <w:tcPr>
            <w:tcW w:w="1853" w:type="dxa"/>
          </w:tcPr>
          <w:p w14:paraId="12714B75">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中级及以上职称（工程师或技师）或岗位工作经验5年以上</w:t>
            </w:r>
          </w:p>
        </w:tc>
        <w:tc>
          <w:tcPr>
            <w:tcW w:w="3638" w:type="dxa"/>
            <w:vAlign w:val="center"/>
          </w:tcPr>
          <w:p w14:paraId="3B0492D6">
            <w:pPr>
              <w:pStyle w:val="2"/>
              <w:spacing w:line="360" w:lineRule="auto"/>
              <w:ind w:firstLine="0" w:firstLineChars="0"/>
              <w:rPr>
                <w:rFonts w:cs="仿宋" w:asciiTheme="minorEastAsia" w:hAnsiTheme="minorEastAsia" w:eastAsiaTheme="minorEastAsia"/>
                <w:sz w:val="24"/>
              </w:rPr>
            </w:pPr>
            <w:r>
              <w:rPr>
                <w:rFonts w:hint="eastAsia" w:cs="仿宋" w:asciiTheme="minorEastAsia" w:hAnsiTheme="minorEastAsia" w:eastAsiaTheme="minorEastAsia"/>
                <w:sz w:val="24"/>
              </w:rPr>
              <w:t>曾主导或参与过工业机器人系统集成项目、机器人自动化生产线调试等工作；熟悉发那科、ABB 等主流工业机器人品牌的操作与编程，能够熟练运用机器人仿真软件进行项目设计；具备良好的语言表达和教学能力，能将企业实际项目转化为教学案例。</w:t>
            </w:r>
          </w:p>
        </w:tc>
      </w:tr>
      <w:tr w14:paraId="61F0E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95" w:type="dxa"/>
            <w:vAlign w:val="center"/>
          </w:tcPr>
          <w:p w14:paraId="7333E0E5">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机电一体化技术</w:t>
            </w:r>
          </w:p>
          <w:p w14:paraId="7580C808">
            <w:pPr>
              <w:pStyle w:val="2"/>
              <w:spacing w:line="360" w:lineRule="auto"/>
              <w:ind w:firstLine="480"/>
              <w:jc w:val="center"/>
              <w:rPr>
                <w:rFonts w:cs="仿宋" w:asciiTheme="minorEastAsia" w:hAnsiTheme="minorEastAsia" w:eastAsiaTheme="minorEastAsia"/>
                <w:sz w:val="24"/>
              </w:rPr>
            </w:pPr>
          </w:p>
        </w:tc>
        <w:tc>
          <w:tcPr>
            <w:tcW w:w="2275" w:type="dxa"/>
            <w:vAlign w:val="center"/>
          </w:tcPr>
          <w:p w14:paraId="16D64636">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电气、机械工程或自动化专业</w:t>
            </w:r>
          </w:p>
        </w:tc>
        <w:tc>
          <w:tcPr>
            <w:tcW w:w="1853" w:type="dxa"/>
          </w:tcPr>
          <w:p w14:paraId="16036962">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中级及以上职称（工程师或技师）或岗位工作经验5年以上</w:t>
            </w:r>
          </w:p>
        </w:tc>
        <w:tc>
          <w:tcPr>
            <w:tcW w:w="3638" w:type="dxa"/>
            <w:vAlign w:val="center"/>
          </w:tcPr>
          <w:p w14:paraId="728FA5CE">
            <w:pPr>
              <w:widowControl/>
              <w:spacing w:line="360" w:lineRule="auto"/>
              <w:jc w:val="both"/>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熟悉智能机电设备远程监控系统搭建与运维、自动化生产线调试等工作；精通西门子、三菱等主流 PLC 编程软件，具备机电一体化产品设计与开发经验；能够将企业实际项目案例融入教学，指导学生开展机电一体化系统设计与实践。</w:t>
            </w:r>
          </w:p>
        </w:tc>
      </w:tr>
      <w:tr w14:paraId="7BDA2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95" w:type="dxa"/>
            <w:vAlign w:val="center"/>
          </w:tcPr>
          <w:p w14:paraId="72C8FE20">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数控技术</w:t>
            </w:r>
          </w:p>
        </w:tc>
        <w:tc>
          <w:tcPr>
            <w:tcW w:w="2275" w:type="dxa"/>
            <w:vAlign w:val="center"/>
          </w:tcPr>
          <w:p w14:paraId="2674DA2F">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机械工程或自动化专业</w:t>
            </w:r>
          </w:p>
        </w:tc>
        <w:tc>
          <w:tcPr>
            <w:tcW w:w="1853" w:type="dxa"/>
          </w:tcPr>
          <w:p w14:paraId="4EB93FCB">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中级及以上职称（工程师或技师）或岗位工作经验5年以上</w:t>
            </w:r>
          </w:p>
        </w:tc>
        <w:tc>
          <w:tcPr>
            <w:tcW w:w="3638" w:type="dxa"/>
            <w:vAlign w:val="center"/>
          </w:tcPr>
          <w:p w14:paraId="3A30C509">
            <w:pPr>
              <w:pStyle w:val="2"/>
              <w:spacing w:line="360" w:lineRule="auto"/>
              <w:ind w:firstLine="0" w:firstLineChars="0"/>
              <w:rPr>
                <w:rFonts w:cs="仿宋" w:asciiTheme="minorEastAsia" w:hAnsiTheme="minorEastAsia" w:eastAsiaTheme="minorEastAsia"/>
                <w:sz w:val="24"/>
              </w:rPr>
            </w:pPr>
            <w:r>
              <w:rPr>
                <w:rFonts w:hint="eastAsia" w:cs="仿宋" w:asciiTheme="minorEastAsia" w:hAnsiTheme="minorEastAsia" w:eastAsiaTheme="minorEastAsia"/>
                <w:sz w:val="24"/>
              </w:rPr>
              <w:t>熟练掌握五轴联动加工中心等先进数控设备的操作与编程；参与过企业数控设备智能化升级改造项目，熟悉数控加工工艺优化和质量控制流程；能熟练运用 UG、MasterCAM 等数控编程软件，具备指导学生进行数控加工实践教学的能力。</w:t>
            </w:r>
          </w:p>
        </w:tc>
      </w:tr>
      <w:tr w14:paraId="3EE98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95" w:type="dxa"/>
            <w:vAlign w:val="center"/>
          </w:tcPr>
          <w:p w14:paraId="71D3584C">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电气自动化技术专业</w:t>
            </w:r>
          </w:p>
          <w:p w14:paraId="16629759">
            <w:pPr>
              <w:pStyle w:val="2"/>
              <w:spacing w:line="360" w:lineRule="auto"/>
              <w:ind w:firstLine="480"/>
              <w:jc w:val="center"/>
              <w:rPr>
                <w:rFonts w:cs="仿宋" w:asciiTheme="minorEastAsia" w:hAnsiTheme="minorEastAsia" w:eastAsiaTheme="minorEastAsia"/>
                <w:sz w:val="24"/>
              </w:rPr>
            </w:pPr>
          </w:p>
        </w:tc>
        <w:tc>
          <w:tcPr>
            <w:tcW w:w="2275" w:type="dxa"/>
            <w:vAlign w:val="center"/>
          </w:tcPr>
          <w:p w14:paraId="5BDBE0B9">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电气工程或自动化专业</w:t>
            </w:r>
          </w:p>
        </w:tc>
        <w:tc>
          <w:tcPr>
            <w:tcW w:w="1853" w:type="dxa"/>
          </w:tcPr>
          <w:p w14:paraId="024B432B">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中级及以上职称（工程师或技师）或岗位工作经验5年以上</w:t>
            </w:r>
          </w:p>
        </w:tc>
        <w:tc>
          <w:tcPr>
            <w:tcW w:w="3638" w:type="dxa"/>
            <w:vAlign w:val="center"/>
          </w:tcPr>
          <w:p w14:paraId="7A19EBA4">
            <w:pPr>
              <w:pStyle w:val="2"/>
              <w:spacing w:line="360" w:lineRule="auto"/>
              <w:ind w:firstLine="0" w:firstLineChars="0"/>
              <w:rPr>
                <w:rFonts w:cs="仿宋" w:asciiTheme="minorEastAsia" w:hAnsiTheme="minorEastAsia" w:eastAsiaTheme="minorEastAsia"/>
                <w:sz w:val="24"/>
              </w:rPr>
            </w:pPr>
            <w:r>
              <w:rPr>
                <w:rFonts w:hint="eastAsia" w:cs="仿宋" w:asciiTheme="minorEastAsia" w:hAnsiTheme="minorEastAsia" w:eastAsiaTheme="minorEastAsia"/>
                <w:sz w:val="24"/>
              </w:rPr>
              <w:t>熟悉智能电网继电保护装置原理与配置、新能源电气系统设计与调试等工作；掌握常用电气控制软件和工具，如 EPLAN、WinCC 等；具备指导学生进行电气控制系统集成、智能电网故障分析与处理等实践教学的能力。</w:t>
            </w:r>
          </w:p>
        </w:tc>
      </w:tr>
      <w:tr w14:paraId="03F29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95" w:type="dxa"/>
            <w:vAlign w:val="center"/>
          </w:tcPr>
          <w:p w14:paraId="3F396E6B">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机械制造及自动化专业</w:t>
            </w:r>
          </w:p>
          <w:p w14:paraId="53F2628C">
            <w:pPr>
              <w:pStyle w:val="2"/>
              <w:spacing w:line="360" w:lineRule="auto"/>
              <w:ind w:firstLine="480"/>
              <w:jc w:val="center"/>
              <w:rPr>
                <w:rFonts w:cs="仿宋" w:asciiTheme="minorEastAsia" w:hAnsiTheme="minorEastAsia" w:eastAsiaTheme="minorEastAsia"/>
                <w:sz w:val="24"/>
              </w:rPr>
            </w:pPr>
          </w:p>
        </w:tc>
        <w:tc>
          <w:tcPr>
            <w:tcW w:w="2275" w:type="dxa"/>
            <w:vAlign w:val="center"/>
          </w:tcPr>
          <w:p w14:paraId="5588907C">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机械工程或自动化专业</w:t>
            </w:r>
          </w:p>
        </w:tc>
        <w:tc>
          <w:tcPr>
            <w:tcW w:w="1853" w:type="dxa"/>
          </w:tcPr>
          <w:p w14:paraId="1369AE8C">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中级及以上职称（工程师或技师）或岗位工作经验5年以上</w:t>
            </w:r>
          </w:p>
        </w:tc>
        <w:tc>
          <w:tcPr>
            <w:tcW w:w="3638" w:type="dxa"/>
            <w:vAlign w:val="center"/>
          </w:tcPr>
          <w:p w14:paraId="65B56768">
            <w:pPr>
              <w:pStyle w:val="2"/>
              <w:spacing w:line="360" w:lineRule="auto"/>
              <w:ind w:firstLine="0" w:firstLineChars="0"/>
              <w:rPr>
                <w:rFonts w:cs="仿宋" w:asciiTheme="minorEastAsia" w:hAnsiTheme="minorEastAsia" w:eastAsiaTheme="minorEastAsia"/>
                <w:sz w:val="24"/>
              </w:rPr>
            </w:pPr>
            <w:r>
              <w:rPr>
                <w:rFonts w:hint="eastAsia" w:cs="仿宋" w:asciiTheme="minorEastAsia" w:hAnsiTheme="minorEastAsia" w:eastAsiaTheme="minorEastAsia"/>
                <w:sz w:val="24"/>
              </w:rPr>
              <w:t>参与过精密零件加工、机械产品逆向工程等项目；掌握智能制造车间生产管理与调度方法，熟悉精益生产、数字化管理等模式；能够指导学生进行机械产品设计、制造工艺规划及生产管理实践教学。</w:t>
            </w:r>
          </w:p>
          <w:p w14:paraId="17CF79B3">
            <w:pPr>
              <w:pStyle w:val="2"/>
              <w:spacing w:line="360" w:lineRule="auto"/>
              <w:ind w:firstLine="0" w:firstLineChars="0"/>
              <w:rPr>
                <w:rFonts w:cs="仿宋" w:asciiTheme="minorEastAsia" w:hAnsiTheme="minorEastAsia" w:eastAsiaTheme="minorEastAsia"/>
                <w:sz w:val="24"/>
              </w:rPr>
            </w:pPr>
          </w:p>
        </w:tc>
      </w:tr>
      <w:tr w14:paraId="5291C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95" w:type="dxa"/>
            <w:vAlign w:val="center"/>
          </w:tcPr>
          <w:p w14:paraId="31D19F68">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新能源汽车技术专业</w:t>
            </w:r>
          </w:p>
          <w:p w14:paraId="3FD9AD6B">
            <w:pPr>
              <w:pStyle w:val="2"/>
              <w:spacing w:line="360" w:lineRule="auto"/>
              <w:ind w:firstLine="480"/>
              <w:jc w:val="center"/>
              <w:rPr>
                <w:rFonts w:cs="仿宋" w:asciiTheme="minorEastAsia" w:hAnsiTheme="minorEastAsia" w:eastAsiaTheme="minorEastAsia"/>
                <w:sz w:val="24"/>
              </w:rPr>
            </w:pPr>
          </w:p>
        </w:tc>
        <w:tc>
          <w:tcPr>
            <w:tcW w:w="2275" w:type="dxa"/>
            <w:vAlign w:val="center"/>
          </w:tcPr>
          <w:p w14:paraId="67563447">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电气工程、自动化、能源与动力工程等专业</w:t>
            </w:r>
          </w:p>
        </w:tc>
        <w:tc>
          <w:tcPr>
            <w:tcW w:w="1853" w:type="dxa"/>
          </w:tcPr>
          <w:p w14:paraId="546A3D37">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中级及以上职称（工程师或技师）或岗位工作经验5年以上</w:t>
            </w:r>
          </w:p>
        </w:tc>
        <w:tc>
          <w:tcPr>
            <w:tcW w:w="3638" w:type="dxa"/>
            <w:vAlign w:val="center"/>
          </w:tcPr>
          <w:p w14:paraId="444214AA">
            <w:pPr>
              <w:pStyle w:val="2"/>
              <w:spacing w:line="360" w:lineRule="auto"/>
              <w:ind w:firstLine="0" w:firstLineChars="0"/>
              <w:rPr>
                <w:rFonts w:cs="仿宋" w:asciiTheme="minorEastAsia" w:hAnsiTheme="minorEastAsia" w:eastAsiaTheme="minorEastAsia"/>
                <w:sz w:val="24"/>
              </w:rPr>
            </w:pPr>
            <w:r>
              <w:rPr>
                <w:rFonts w:hint="eastAsia" w:cs="仿宋" w:asciiTheme="minorEastAsia" w:hAnsiTheme="minorEastAsia" w:eastAsiaTheme="minorEastAsia"/>
                <w:sz w:val="24"/>
              </w:rPr>
              <w:t>曾参与新能源汽车动力电池研发、充电设施规划与运营等项目；熟悉新能源汽车行业标准和规范，掌握新能源汽车核心部件检测、维护与故障诊断技术；能够将企业实际工作流程和技术要点融入教学，指导学生开展新能源汽车技术实践。</w:t>
            </w:r>
          </w:p>
        </w:tc>
      </w:tr>
    </w:tbl>
    <w:p w14:paraId="1B121F58">
      <w:pPr>
        <w:spacing w:line="360" w:lineRule="auto"/>
        <w:ind w:firstLine="482" w:firstLineChars="200"/>
        <w:rPr>
          <w:rFonts w:cs="仿宋" w:asciiTheme="minorEastAsia" w:hAnsiTheme="minorEastAsia" w:eastAsiaTheme="minorEastAsia"/>
          <w:b/>
          <w:bCs/>
          <w:sz w:val="24"/>
          <w:szCs w:val="24"/>
          <w:lang w:eastAsia="zh-CN"/>
        </w:rPr>
      </w:pPr>
    </w:p>
    <w:p w14:paraId="05F7F8FB">
      <w:pPr>
        <w:spacing w:line="360" w:lineRule="auto"/>
        <w:ind w:firstLine="482"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b/>
          <w:bCs/>
          <w:sz w:val="24"/>
          <w:szCs w:val="24"/>
          <w:lang w:eastAsia="zh-CN"/>
        </w:rPr>
        <w:t>4.特色教学：</w:t>
      </w:r>
      <w:r>
        <w:rPr>
          <w:rFonts w:hint="eastAsia" w:cs="仿宋" w:asciiTheme="minorEastAsia" w:hAnsiTheme="minorEastAsia" w:eastAsiaTheme="minorEastAsia"/>
          <w:kern w:val="2"/>
          <w:sz w:val="24"/>
          <w:szCs w:val="24"/>
          <w:lang w:eastAsia="zh-CN"/>
        </w:rPr>
        <w:t>中标人须为每个专业开设不少于1门专业特色课程,且专业特色课程独立于上述要求的4门专业课程之外，每门课程不少于16课时。每门专业特色课程须以企业真实项目为教学载体，采用“项目驱动+虚拟仿真+进厂实践”相结合的教学模式.</w:t>
      </w:r>
    </w:p>
    <w:p w14:paraId="1FF2498C">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1）工业机器人技术：课程可引入真实产线机器人应用案例。在企业工程师指导下，学生将在模拟或真实的工业场景中进行机器人工作站搭建、程序编写、调试与维护的虚拟实操，并通过进厂实习，参与实际产线的机器人操作与故障排除，强化其机器人系统集成、编程调试和运维保障的实战能力。</w:t>
      </w:r>
    </w:p>
    <w:p w14:paraId="11EB1D03">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2）机电一体化技术：投标人可引入典型自动化生产线案例。学生将在企业导师带领下，在虚拟环境中进行机械部件装配、电气线路连接、气动/液压回路搭建、PLC编程及整机联调联试，并通过参与企业设备维护或产线升级项目，进行真实机电系统的安装、调试与故障诊断，提升其机电系统综合应用与工程实施能力。</w:t>
      </w:r>
    </w:p>
    <w:p w14:paraId="1878572F">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（3）电气自动化：</w:t>
      </w:r>
      <w:r>
        <w:rPr>
          <w:rFonts w:hint="eastAsia" w:cs="仿宋" w:asciiTheme="minorEastAsia" w:hAnsiTheme="minorEastAsia" w:eastAsiaTheme="minorEastAsia"/>
          <w:color w:val="auto"/>
          <w:sz w:val="24"/>
          <w:szCs w:val="24"/>
          <w:lang w:eastAsia="zh-CN"/>
        </w:rPr>
        <w:t>投标人</w:t>
      </w:r>
      <w:r>
        <w:rPr>
          <w:rFonts w:hint="eastAsia" w:cs="仿宋" w:asciiTheme="minorEastAsia" w:hAnsiTheme="minorEastAsia" w:eastAsiaTheme="minorEastAsia"/>
          <w:sz w:val="24"/>
          <w:szCs w:val="24"/>
          <w:lang w:eastAsia="zh-CN"/>
        </w:rPr>
        <w:t>可引入工业物联网及智能楼宇控制案例。学生将在企业工程师指导下，于虚拟环境中设计电气原理图、选型元器件、进行PLC及HMI组态编程、网络通信配置与系统调试，并通过参与企业自动化设备改造或生产线控制系统集成项目，强化其电气自动化系统设计、安装、调试及维护的工程实践能力。</w:t>
      </w:r>
    </w:p>
    <w:p w14:paraId="5E8EA1EC">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4）机械制造及自动化：投标人可引入产品全生命周期管理案例。在企业导师带领下，学生将运用虚拟环境进行机械产品三维设计（CAD）、工程分析（CAE）、制造工艺规划（CAPP）及数控编程（CAM），并通过进入合作企业车间，参与从设计到加工、装配、检测的全流程实践，掌握现代机械设计与智能制造的核心技术及项目管理能力。</w:t>
      </w:r>
    </w:p>
    <w:p w14:paraId="7DAB69C2">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5）新能源汽车技术：提供新能源汽车三电系统（电池、电机、电控）检测与维修实训平台，投标人可引入主流新能源车型维修案例。在企业技术专家指导下，学生将在虚拟环境中学习高压系统安全操作规范、动力电池包检测与诊断、驱动电机及控制器故障排查、整车控制系统原理与标定，并通过在品牌授权服务站或主机厂实习，参与真实新能源汽车的保养、故障诊断与维修作业，精通新能源汽车核心系统的维护、检修及技术服务技能</w:t>
      </w:r>
    </w:p>
    <w:p w14:paraId="690E03DF">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6）汽车检测与维修技术：提供新能源汽车或普通油车三电系统（电池、电机、电控）检测与维修实训平台，投标人可引入主流车型维修案例。在企业技术专家指导下，学生将在虚拟环境中学习高压系统安全操作规范、动力电池包检测与诊断、驱动电机及控制器故障排查、整车控制系统原理与标定，并通过在品牌授权服务站或主机厂实习，参与真实汽车的保养、故障诊断与维修作业，精通汽车核心系统的维护、检修及技术服务技能</w:t>
      </w:r>
    </w:p>
    <w:p w14:paraId="0143EEA2">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7）企业文化课程：组织学生深入企业生产一线，实地参观企业的生产车间、研发中心、产品展示厅等场所，让学生直观了解企业的生产流程、生产设备、产品工艺等，将课堂所学知识与企业实际生产相结合，拓宽学生的视野。邀请企业技术专家、行业领军人物、优秀校友等举办特色讲座，分享行业前沿技术、企业创新实践、职业发展经验等内容，激发学生的学习兴趣和创新思维，提升学生的综合素质和职业竞争力。</w:t>
      </w:r>
    </w:p>
    <w:p w14:paraId="6A157358">
      <w:pPr>
        <w:spacing w:line="360" w:lineRule="auto"/>
        <w:ind w:firstLine="480" w:firstLineChars="200"/>
        <w:rPr>
          <w:rFonts w:cs="仿宋" w:asciiTheme="minorEastAsia" w:hAnsiTheme="minorEastAsia" w:eastAsiaTheme="minorEastAsia"/>
          <w:b/>
          <w:bCs/>
          <w:sz w:val="24"/>
          <w:szCs w:val="24"/>
          <w:lang w:eastAsia="zh-CN"/>
        </w:rPr>
      </w:pPr>
      <w:r>
        <w:rPr>
          <w:rFonts w:hint="eastAsia" w:cs="仿宋" w:asciiTheme="minorEastAsia" w:hAnsiTheme="minorEastAsia" w:eastAsiaTheme="minorEastAsia"/>
          <w:sz w:val="24"/>
          <w:szCs w:val="24"/>
          <w:lang w:eastAsia="zh-CN"/>
        </w:rPr>
        <w:t>（8）岗位体验课程：根据学生的专业方向和兴趣，安排学生到企业相关岗位进行短期实习体验，让学生亲身体验企业工作环境和岗位工作内容，了解岗位技能要求和职业发展路径，为未来的职业选择和发展做好准备。</w:t>
      </w:r>
    </w:p>
    <w:p w14:paraId="44630EE8">
      <w:pPr>
        <w:spacing w:line="360" w:lineRule="auto"/>
        <w:ind w:firstLine="482" w:firstLineChars="200"/>
        <w:rPr>
          <w:rFonts w:cs="仿宋" w:asciiTheme="minorEastAsia" w:hAnsiTheme="minorEastAsia" w:eastAsiaTheme="minorEastAsia"/>
          <w:b/>
          <w:bCs/>
          <w:sz w:val="24"/>
          <w:szCs w:val="24"/>
          <w:lang w:eastAsia="zh-CN"/>
        </w:rPr>
      </w:pPr>
    </w:p>
    <w:p w14:paraId="2AF4FA14">
      <w:pPr>
        <w:spacing w:line="360" w:lineRule="auto"/>
        <w:ind w:firstLine="482" w:firstLineChars="200"/>
        <w:rPr>
          <w:rFonts w:cs="仿宋" w:asciiTheme="minorEastAsia" w:hAnsiTheme="minorEastAsia" w:eastAsiaTheme="minorEastAsia"/>
          <w:b/>
          <w:bCs/>
          <w:sz w:val="24"/>
          <w:szCs w:val="24"/>
          <w:lang w:eastAsia="zh-CN"/>
        </w:rPr>
      </w:pPr>
      <w:r>
        <w:rPr>
          <w:rFonts w:hint="eastAsia" w:cs="仿宋" w:asciiTheme="minorEastAsia" w:hAnsiTheme="minorEastAsia" w:eastAsiaTheme="minorEastAsia"/>
          <w:b/>
          <w:bCs/>
          <w:color w:val="auto"/>
          <w:sz w:val="24"/>
          <w:szCs w:val="24"/>
          <w:lang w:eastAsia="zh-CN"/>
        </w:rPr>
        <w:t>场地整体要求</w:t>
      </w:r>
    </w:p>
    <w:p w14:paraId="437FC987">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1.建筑及面积要求</w:t>
      </w:r>
    </w:p>
    <w:p w14:paraId="1BD727D4">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1）为该项目实施提供合法的场地:场地须具备学生学习、生活的成熟校园，场地有食堂、超市、操场等设备设施，占地面积不小于35000㎡，宿舍面积不小于4300㎡，体育场地设施面积小于3500㎡，行政用房面积（包括教学科研及辅助用房面积）不小于11000㎡。</w:t>
      </w:r>
    </w:p>
    <w:p w14:paraId="74DADC03">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napToGrid/>
          <w:kern w:val="2"/>
          <w:sz w:val="24"/>
          <w:szCs w:val="24"/>
          <w:lang w:eastAsia="zh-CN"/>
        </w:rPr>
        <w:t>（2）正常生活用水、正常生活电力（非临水临电）供应，正常的网络服务功能。</w:t>
      </w:r>
    </w:p>
    <w:p w14:paraId="3E1E53A5">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napToGrid/>
          <w:kern w:val="2"/>
          <w:sz w:val="24"/>
          <w:szCs w:val="24"/>
          <w:lang w:eastAsia="zh-CN"/>
        </w:rPr>
        <w:t>（3）楼宇房屋间隔适合宿舍使用，无需再重新拆或修整房屋间隔。</w:t>
      </w:r>
    </w:p>
    <w:p w14:paraId="11C056CC">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napToGrid/>
          <w:kern w:val="2"/>
          <w:sz w:val="24"/>
          <w:szCs w:val="24"/>
          <w:lang w:eastAsia="zh-CN"/>
        </w:rPr>
        <w:t>（4）楼宇有独立的出口，保证宿舍楼和教学楼区分明确。</w:t>
      </w:r>
    </w:p>
    <w:p w14:paraId="438FDC3A">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napToGrid/>
          <w:kern w:val="2"/>
          <w:sz w:val="24"/>
          <w:szCs w:val="24"/>
          <w:lang w:eastAsia="zh-CN"/>
        </w:rPr>
        <w:t>（5）教学楼须两个或以上安全出口，符合消防标准。</w:t>
      </w:r>
    </w:p>
    <w:p w14:paraId="2E399733">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napToGrid/>
          <w:kern w:val="2"/>
          <w:sz w:val="24"/>
          <w:szCs w:val="24"/>
          <w:lang w:eastAsia="zh-CN"/>
        </w:rPr>
        <w:t>（6）室内交付使用标准：能够满足学生上课和入住要求。</w:t>
      </w:r>
    </w:p>
    <w:p w14:paraId="377FE87C">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2.位置要求</w:t>
      </w:r>
    </w:p>
    <w:p w14:paraId="69AD5D3C">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为方便教学和管理，楼宇应位于江西省南昌市市区范围内，距离工贸学院驾车车程不超过40公里。★</w:t>
      </w:r>
      <w:r>
        <w:rPr>
          <w:rFonts w:hint="eastAsia" w:cs="仿宋" w:asciiTheme="minorEastAsia" w:hAnsiTheme="minorEastAsia" w:eastAsiaTheme="minorEastAsia"/>
          <w:b/>
          <w:bCs/>
          <w:sz w:val="24"/>
          <w:szCs w:val="24"/>
          <w:lang w:eastAsia="zh-CN"/>
        </w:rPr>
        <w:t>投标文件中提供投标人租用场地到采购人地址南昌市红角洲高校园区嘉言路699号的百度或高德地图最短驾车路程公里数截图进行佐证，不提供或不符合要求的视为无效投标。</w:t>
      </w:r>
    </w:p>
    <w:p w14:paraId="2FE68EEE">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3.投标人场地土地使用权剩余年限</w:t>
      </w:r>
    </w:p>
    <w:p w14:paraId="161856C8">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场地剩余使用年限大于6个月</w:t>
      </w:r>
    </w:p>
    <w:p w14:paraId="74699875">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4.权属要求</w:t>
      </w:r>
    </w:p>
    <w:p w14:paraId="5CDB6C29">
      <w:pPr>
        <w:spacing w:line="360" w:lineRule="auto"/>
        <w:ind w:firstLine="480" w:firstLineChars="200"/>
        <w:rPr>
          <w:rFonts w:cs="仿宋" w:asciiTheme="minorEastAsia" w:hAnsiTheme="minorEastAsia" w:eastAsiaTheme="minorEastAsia"/>
          <w:b/>
          <w:bCs/>
          <w:sz w:val="24"/>
          <w:szCs w:val="24"/>
          <w:lang w:eastAsia="zh-CN"/>
        </w:rPr>
      </w:pPr>
      <w:r>
        <w:rPr>
          <w:rFonts w:hint="eastAsia" w:cs="仿宋" w:asciiTheme="minorEastAsia" w:hAnsiTheme="minorEastAsia" w:eastAsiaTheme="minorEastAsia"/>
          <w:sz w:val="24"/>
          <w:szCs w:val="24"/>
          <w:lang w:eastAsia="zh-CN"/>
        </w:rPr>
        <w:t>投标人为项目实施提供的场地须为已建成并取得不动产权证书（或房产证）的现有建筑，且在交接时无出让、查封、抵押、担保、租赁纠纷、违建认定及其他法律纠纷</w:t>
      </w:r>
      <w:r>
        <w:rPr>
          <w:rFonts w:hint="eastAsia" w:cs="仿宋" w:asciiTheme="minorEastAsia" w:hAnsiTheme="minorEastAsia" w:eastAsiaTheme="minorEastAsia"/>
          <w:b/>
          <w:bCs/>
          <w:sz w:val="24"/>
          <w:szCs w:val="24"/>
          <w:lang w:eastAsia="zh-CN"/>
        </w:rPr>
        <w:t>。</w:t>
      </w:r>
      <w:r>
        <w:rPr>
          <w:rFonts w:hint="eastAsia" w:cs="仿宋" w:asciiTheme="minorEastAsia" w:hAnsiTheme="minorEastAsia" w:eastAsiaTheme="minorEastAsia"/>
          <w:sz w:val="24"/>
          <w:szCs w:val="24"/>
          <w:lang w:eastAsia="zh-CN"/>
        </w:rPr>
        <w:t>★</w:t>
      </w:r>
      <w:r>
        <w:rPr>
          <w:rFonts w:hint="eastAsia" w:cs="仿宋" w:asciiTheme="minorEastAsia" w:hAnsiTheme="minorEastAsia" w:eastAsiaTheme="minorEastAsia"/>
          <w:b/>
          <w:bCs/>
          <w:sz w:val="24"/>
          <w:szCs w:val="24"/>
          <w:lang w:eastAsia="zh-CN"/>
        </w:rPr>
        <w:t>投标文件中提供使用权属清晰、无任何法律纠纷的承诺函，未提供视为无效响应。</w:t>
      </w:r>
    </w:p>
    <w:p w14:paraId="616EA0B8">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5.多媒体教室要求</w:t>
      </w:r>
    </w:p>
    <w:p w14:paraId="4F5E6118">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（1）多媒体教室不少于11间，总面积不少于900㎡，每间多媒体教室配备教师电脑、投影或一体机可正常使用，满足教学要求。</w:t>
      </w:r>
    </w:p>
    <w:p w14:paraId="151270A3">
      <w:pPr>
        <w:pStyle w:val="4"/>
        <w:spacing w:beforeAutospacing="0" w:afterAutospacing="0" w:line="360" w:lineRule="auto"/>
        <w:ind w:firstLine="516"/>
        <w:rPr>
          <w:rFonts w:cs="仿宋" w:asciiTheme="minorEastAsia" w:hAnsiTheme="minorEastAsia" w:eastAsiaTheme="minorEastAsia"/>
          <w:szCs w:val="24"/>
          <w:lang w:eastAsia="zh-CN"/>
        </w:rPr>
      </w:pPr>
      <w:r>
        <w:rPr>
          <w:rFonts w:hint="eastAsia" w:cs="仿宋" w:asciiTheme="minorEastAsia" w:hAnsiTheme="minorEastAsia" w:eastAsiaTheme="minorEastAsia"/>
          <w:szCs w:val="24"/>
          <w:lang w:eastAsia="zh-CN"/>
        </w:rPr>
        <w:t>（2）多媒体教室须配备教室课桌椅不少于60张（课桌椅须达到大学生上课所需），可供60名学生正常使用，教室有相应的照明和空调（可制冷制热）等设施。</w:t>
      </w:r>
    </w:p>
    <w:p w14:paraId="40974514">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6.实训场所要求</w:t>
      </w:r>
    </w:p>
    <w:p w14:paraId="1023765A">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（1）实训场所不少于6间，总面积不少于9500㎡，每间实训教室配备教室照明、空调（可制热制冷）及其他满足教学实训要求的设备并可正常使用。</w:t>
      </w:r>
    </w:p>
    <w:p w14:paraId="1ED0F962">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（2）每间实训机房须配备教室课桌椅不少于60张（课桌椅须达到大学生上课所需），可供不少于60名学生同时正常使用，实训机房电脑不少于180台。</w:t>
      </w:r>
    </w:p>
    <w:p w14:paraId="648B5B55">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（3）实训设备要求，配备工业机器人技术、数控加工机床、机电一体化技术、机械制造及自动化、电气自动化技术、新能源汽车技术等专业相关实训设备且能够同时满足不少于300名学生进行实操教学。</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9"/>
        <w:gridCol w:w="1054"/>
        <w:gridCol w:w="5374"/>
        <w:gridCol w:w="785"/>
        <w:gridCol w:w="1009"/>
      </w:tblGrid>
      <w:tr w14:paraId="74C32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320CB5EA">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序号</w:t>
            </w:r>
          </w:p>
        </w:tc>
        <w:tc>
          <w:tcPr>
            <w:tcW w:w="1054" w:type="dxa"/>
            <w:vAlign w:val="center"/>
          </w:tcPr>
          <w:p w14:paraId="673A3EFA">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名称</w:t>
            </w:r>
          </w:p>
        </w:tc>
        <w:tc>
          <w:tcPr>
            <w:tcW w:w="5374" w:type="dxa"/>
            <w:vAlign w:val="center"/>
          </w:tcPr>
          <w:p w14:paraId="17FC5A58">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主要技术参数</w:t>
            </w:r>
          </w:p>
        </w:tc>
        <w:tc>
          <w:tcPr>
            <w:tcW w:w="785" w:type="dxa"/>
            <w:vAlign w:val="center"/>
          </w:tcPr>
          <w:p w14:paraId="5F30C3CB">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单位</w:t>
            </w:r>
          </w:p>
        </w:tc>
        <w:tc>
          <w:tcPr>
            <w:tcW w:w="1009" w:type="dxa"/>
            <w:vAlign w:val="center"/>
          </w:tcPr>
          <w:p w14:paraId="1A618ADC">
            <w:pPr>
              <w:pStyle w:val="2"/>
              <w:spacing w:line="360" w:lineRule="auto"/>
              <w:ind w:firstLine="0" w:firstLineChars="0"/>
              <w:jc w:val="center"/>
              <w:rPr>
                <w:rFonts w:cs="仿宋" w:asciiTheme="minorEastAsia" w:hAnsiTheme="minorEastAsia" w:eastAsiaTheme="minorEastAsia"/>
                <w:sz w:val="24"/>
              </w:rPr>
            </w:pPr>
            <w:r>
              <w:rPr>
                <w:rFonts w:hint="eastAsia" w:cs="仿宋" w:asciiTheme="minorEastAsia" w:hAnsiTheme="minorEastAsia" w:eastAsiaTheme="minorEastAsia"/>
                <w:sz w:val="24"/>
              </w:rPr>
              <w:t>数量</w:t>
            </w:r>
          </w:p>
        </w:tc>
      </w:tr>
      <w:tr w14:paraId="2DF95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tcPr>
          <w:p w14:paraId="5AC1B035">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1</w:t>
            </w:r>
          </w:p>
        </w:tc>
        <w:tc>
          <w:tcPr>
            <w:tcW w:w="1054" w:type="dxa"/>
          </w:tcPr>
          <w:p w14:paraId="03596BC7">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计算机</w:t>
            </w:r>
          </w:p>
        </w:tc>
        <w:tc>
          <w:tcPr>
            <w:tcW w:w="5374" w:type="dxa"/>
          </w:tcPr>
          <w:p w14:paraId="14393D0B">
            <w:pPr>
              <w:widowControl w:val="0"/>
              <w:spacing w:line="360" w:lineRule="auto"/>
              <w:jc w:val="both"/>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 xml:space="preserve"> CPU:须符合安全可靠测评要求，主频不低于2.5GHz，物理核心数不少于8核；内存：不低于32GB DDR4；硬盘：不低于1TBSSD(固态硬盘)；独立显卡，显存不低于6GB；显示器：尺寸不低于23.8英寸，分辨率不低于1920x1080；操作系统：须预装符合安全可靠测评要求的国产操作系统；网络接口：千兆以太网接口。</w:t>
            </w:r>
          </w:p>
        </w:tc>
        <w:tc>
          <w:tcPr>
            <w:tcW w:w="785" w:type="dxa"/>
          </w:tcPr>
          <w:p w14:paraId="5DEE758F">
            <w:pPr>
              <w:widowControl w:val="0"/>
              <w:spacing w:line="360" w:lineRule="auto"/>
              <w:jc w:val="center"/>
              <w:rPr>
                <w:rFonts w:cs="仿宋" w:asciiTheme="minorEastAsia" w:hAnsiTheme="minorEastAsia" w:eastAsiaTheme="minorEastAsia"/>
                <w:sz w:val="24"/>
                <w:szCs w:val="24"/>
                <w:lang w:eastAsia="zh-CN"/>
              </w:rPr>
            </w:pPr>
          </w:p>
          <w:p w14:paraId="1D143FB4">
            <w:pPr>
              <w:widowControl w:val="0"/>
              <w:spacing w:line="360" w:lineRule="auto"/>
              <w:jc w:val="center"/>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台</w:t>
            </w:r>
          </w:p>
        </w:tc>
        <w:tc>
          <w:tcPr>
            <w:tcW w:w="1009" w:type="dxa"/>
          </w:tcPr>
          <w:p w14:paraId="6C807747">
            <w:pPr>
              <w:widowControl w:val="0"/>
              <w:spacing w:line="360" w:lineRule="auto"/>
              <w:jc w:val="center"/>
              <w:rPr>
                <w:rFonts w:cs="仿宋" w:asciiTheme="minorEastAsia" w:hAnsiTheme="minorEastAsia" w:eastAsiaTheme="minorEastAsia"/>
                <w:sz w:val="24"/>
                <w:szCs w:val="24"/>
              </w:rPr>
            </w:pPr>
          </w:p>
          <w:p w14:paraId="1C571D58">
            <w:pPr>
              <w:widowControl w:val="0"/>
              <w:spacing w:line="360" w:lineRule="auto"/>
              <w:jc w:val="center"/>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180</w:t>
            </w:r>
          </w:p>
        </w:tc>
      </w:tr>
      <w:tr w14:paraId="5BFC9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tcPr>
          <w:p w14:paraId="517010D2">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2</w:t>
            </w:r>
          </w:p>
        </w:tc>
        <w:tc>
          <w:tcPr>
            <w:tcW w:w="1054" w:type="dxa"/>
          </w:tcPr>
          <w:p w14:paraId="6445A733">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工业机器人</w:t>
            </w:r>
          </w:p>
        </w:tc>
        <w:tc>
          <w:tcPr>
            <w:tcW w:w="5374" w:type="dxa"/>
          </w:tcPr>
          <w:p w14:paraId="049DB641">
            <w:pPr>
              <w:widowControl w:val="0"/>
              <w:spacing w:line="360" w:lineRule="auto"/>
              <w:jc w:val="both"/>
              <w:rPr>
                <w:rFonts w:cs="仿宋" w:asciiTheme="minorEastAsia" w:hAnsiTheme="minorEastAsia" w:eastAsiaTheme="minorEastAsia"/>
                <w:sz w:val="24"/>
                <w:szCs w:val="24"/>
                <w:lang w:eastAsia="zh-CN"/>
              </w:rPr>
            </w:pPr>
            <w:r>
              <w:rPr>
                <w:rFonts w:hint="eastAsia" w:cs="仿宋" w:asciiTheme="minorEastAsia" w:hAnsiTheme="minorEastAsia" w:eastAsiaTheme="minorEastAsia"/>
                <w:spacing w:val="-7"/>
                <w:sz w:val="24"/>
                <w:szCs w:val="24"/>
                <w:lang w:eastAsia="zh-CN"/>
              </w:rPr>
              <w:t>功能适用实训课程：基础操作、基础编程、高级编程、专家编程、电气维护；机器人机械 维护，机器人故障诊断，机器人电气维护等。</w:t>
            </w:r>
          </w:p>
        </w:tc>
        <w:tc>
          <w:tcPr>
            <w:tcW w:w="785" w:type="dxa"/>
          </w:tcPr>
          <w:p w14:paraId="3CB8A167">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台</w:t>
            </w:r>
          </w:p>
        </w:tc>
        <w:tc>
          <w:tcPr>
            <w:tcW w:w="1009" w:type="dxa"/>
          </w:tcPr>
          <w:p w14:paraId="75B3EDEF">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4</w:t>
            </w:r>
          </w:p>
        </w:tc>
      </w:tr>
      <w:tr w14:paraId="2F8F4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tcPr>
          <w:p w14:paraId="5287B0E3">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3</w:t>
            </w:r>
          </w:p>
        </w:tc>
        <w:tc>
          <w:tcPr>
            <w:tcW w:w="1054" w:type="dxa"/>
          </w:tcPr>
          <w:p w14:paraId="024B5266">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数控机床</w:t>
            </w:r>
          </w:p>
        </w:tc>
        <w:tc>
          <w:tcPr>
            <w:tcW w:w="5374" w:type="dxa"/>
          </w:tcPr>
          <w:p w14:paraId="042492A4">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pacing w:val="-7"/>
                <w:sz w:val="24"/>
                <w:szCs w:val="24"/>
                <w:lang w:eastAsia="zh-CN"/>
              </w:rPr>
              <w:t>‌能够实现轴类、‌盘类的内外表面、‌锥面、‌圆弧、‌螺纹、‌镗孔、‌铰孔加工，‌以及非圆曲线加工，‌满足多样化的加工需求。</w:t>
            </w:r>
            <w:r>
              <w:rPr>
                <w:rFonts w:hint="eastAsia" w:cs="仿宋" w:asciiTheme="minorEastAsia" w:hAnsiTheme="minorEastAsia" w:eastAsiaTheme="minorEastAsia"/>
                <w:spacing w:val="-7"/>
                <w:sz w:val="24"/>
                <w:szCs w:val="24"/>
              </w:rPr>
              <w:t>‌</w:t>
            </w:r>
          </w:p>
        </w:tc>
        <w:tc>
          <w:tcPr>
            <w:tcW w:w="785" w:type="dxa"/>
          </w:tcPr>
          <w:p w14:paraId="578B1D52">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台</w:t>
            </w:r>
          </w:p>
        </w:tc>
        <w:tc>
          <w:tcPr>
            <w:tcW w:w="1009" w:type="dxa"/>
          </w:tcPr>
          <w:p w14:paraId="10481608">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2</w:t>
            </w:r>
          </w:p>
        </w:tc>
      </w:tr>
      <w:tr w14:paraId="269A2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tcPr>
          <w:p w14:paraId="25242FD1">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4</w:t>
            </w:r>
          </w:p>
        </w:tc>
        <w:tc>
          <w:tcPr>
            <w:tcW w:w="1054" w:type="dxa"/>
          </w:tcPr>
          <w:p w14:paraId="522F96FF">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实训车辆</w:t>
            </w:r>
          </w:p>
        </w:tc>
        <w:tc>
          <w:tcPr>
            <w:tcW w:w="5374" w:type="dxa"/>
          </w:tcPr>
          <w:p w14:paraId="11458FA7">
            <w:pPr>
              <w:widowControl w:val="0"/>
              <w:numPr>
                <w:ilvl w:val="0"/>
                <w:numId w:val="2"/>
              </w:numPr>
              <w:kinsoku/>
              <w:autoSpaceDE/>
              <w:autoSpaceDN/>
              <w:adjustRightInd/>
              <w:snapToGrid/>
              <w:spacing w:line="360" w:lineRule="auto"/>
              <w:jc w:val="both"/>
              <w:textAlignment w:val="auto"/>
              <w:rPr>
                <w:rFonts w:cs="仿宋" w:asciiTheme="minorEastAsia" w:hAnsiTheme="minorEastAsia" w:eastAsiaTheme="minorEastAsia"/>
                <w:sz w:val="24"/>
                <w:szCs w:val="24"/>
              </w:rPr>
            </w:pPr>
            <w:r>
              <w:rPr>
                <w:rFonts w:hint="eastAsia" w:cs="仿宋" w:asciiTheme="minorEastAsia" w:hAnsiTheme="minorEastAsia" w:eastAsiaTheme="minorEastAsia"/>
                <w:color w:val="auto"/>
                <w:sz w:val="24"/>
                <w:szCs w:val="24"/>
              </w:rPr>
              <w:t>能源类型：汽油</w:t>
            </w:r>
          </w:p>
          <w:p w14:paraId="58F25294">
            <w:pPr>
              <w:widowControl w:val="0"/>
              <w:numPr>
                <w:ilvl w:val="0"/>
                <w:numId w:val="2"/>
              </w:numPr>
              <w:kinsoku/>
              <w:autoSpaceDE/>
              <w:autoSpaceDN/>
              <w:adjustRightInd/>
              <w:snapToGrid/>
              <w:spacing w:line="360" w:lineRule="auto"/>
              <w:jc w:val="both"/>
              <w:textAlignment w:val="auto"/>
              <w:rPr>
                <w:rFonts w:cs="仿宋" w:asciiTheme="minorEastAsia" w:hAnsiTheme="minorEastAsia" w:eastAsiaTheme="minorEastAsia"/>
                <w:sz w:val="24"/>
                <w:szCs w:val="24"/>
              </w:rPr>
            </w:pPr>
            <w:r>
              <w:rPr>
                <w:rFonts w:hint="eastAsia" w:cs="仿宋" w:asciiTheme="minorEastAsia" w:hAnsiTheme="minorEastAsia" w:eastAsiaTheme="minorEastAsia"/>
                <w:color w:val="auto"/>
                <w:sz w:val="24"/>
                <w:szCs w:val="24"/>
              </w:rPr>
              <w:t>环保标准：国VI</w:t>
            </w:r>
          </w:p>
          <w:p w14:paraId="604B1EE4">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color w:val="auto"/>
                <w:sz w:val="24"/>
                <w:szCs w:val="24"/>
              </w:rPr>
              <w:t>3、最大功率：≥103kW</w:t>
            </w:r>
          </w:p>
          <w:p w14:paraId="7B5511D9">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color w:val="auto"/>
                <w:sz w:val="24"/>
                <w:szCs w:val="24"/>
              </w:rPr>
              <w:t>4、最大扭矩：≥225Nm</w:t>
            </w:r>
          </w:p>
          <w:p w14:paraId="3C056515">
            <w:pPr>
              <w:widowControl w:val="0"/>
              <w:spacing w:line="360" w:lineRule="auto"/>
              <w:jc w:val="both"/>
              <w:rPr>
                <w:rFonts w:cs="仿宋" w:asciiTheme="minorEastAsia" w:hAnsiTheme="minorEastAsia" w:eastAsiaTheme="minorEastAsia"/>
                <w:sz w:val="24"/>
                <w:szCs w:val="24"/>
                <w:lang w:eastAsia="zh-CN"/>
              </w:rPr>
            </w:pPr>
            <w:r>
              <w:rPr>
                <w:rFonts w:hint="eastAsia" w:cs="仿宋" w:asciiTheme="minorEastAsia" w:hAnsiTheme="minorEastAsia" w:eastAsiaTheme="minorEastAsia"/>
                <w:color w:val="auto"/>
                <w:sz w:val="24"/>
                <w:szCs w:val="24"/>
                <w:lang w:eastAsia="zh-CN"/>
              </w:rPr>
              <w:t>5、发动机：≥1.5T 140马力 L4</w:t>
            </w:r>
          </w:p>
          <w:p w14:paraId="5583C9B2">
            <w:pPr>
              <w:widowControl w:val="0"/>
              <w:numPr>
                <w:ilvl w:val="0"/>
                <w:numId w:val="3"/>
              </w:numPr>
              <w:kinsoku/>
              <w:autoSpaceDE/>
              <w:autoSpaceDN/>
              <w:adjustRightInd/>
              <w:snapToGrid/>
              <w:spacing w:line="360" w:lineRule="auto"/>
              <w:jc w:val="both"/>
              <w:textAlignment w:val="auto"/>
              <w:rPr>
                <w:rFonts w:cs="仿宋" w:asciiTheme="minorEastAsia" w:hAnsiTheme="minorEastAsia" w:eastAsiaTheme="minorEastAsia"/>
                <w:sz w:val="24"/>
                <w:szCs w:val="24"/>
                <w:lang w:eastAsia="zh-CN"/>
              </w:rPr>
            </w:pPr>
            <w:r>
              <w:rPr>
                <w:rFonts w:hint="eastAsia" w:cs="仿宋" w:asciiTheme="minorEastAsia" w:hAnsiTheme="minorEastAsia" w:eastAsiaTheme="minorEastAsia"/>
                <w:color w:val="auto"/>
                <w:sz w:val="24"/>
                <w:szCs w:val="24"/>
                <w:lang w:eastAsia="zh-CN"/>
              </w:rPr>
              <w:t>变速箱：CVT无级变速</w:t>
            </w:r>
          </w:p>
          <w:p w14:paraId="3F576102">
            <w:pPr>
              <w:widowControl w:val="0"/>
              <w:numPr>
                <w:ilvl w:val="0"/>
                <w:numId w:val="3"/>
              </w:numPr>
              <w:kinsoku/>
              <w:autoSpaceDE/>
              <w:autoSpaceDN/>
              <w:adjustRightInd/>
              <w:snapToGrid/>
              <w:spacing w:line="360" w:lineRule="auto"/>
              <w:jc w:val="both"/>
              <w:textAlignment w:val="auto"/>
              <w:rPr>
                <w:rFonts w:cs="仿宋" w:asciiTheme="minorEastAsia" w:hAnsiTheme="minorEastAsia" w:eastAsiaTheme="minorEastAsia"/>
                <w:sz w:val="24"/>
                <w:szCs w:val="24"/>
              </w:rPr>
            </w:pPr>
            <w:r>
              <w:rPr>
                <w:rFonts w:hint="eastAsia" w:cs="仿宋" w:asciiTheme="minorEastAsia" w:hAnsiTheme="minorEastAsia" w:eastAsiaTheme="minorEastAsia"/>
                <w:color w:val="auto"/>
                <w:sz w:val="24"/>
                <w:szCs w:val="24"/>
              </w:rPr>
              <w:t>长宽高：≥4580mm*1936mm*1674</w:t>
            </w:r>
          </w:p>
          <w:p w14:paraId="1B105DB2">
            <w:pPr>
              <w:widowControl w:val="0"/>
              <w:numPr>
                <w:ilvl w:val="0"/>
                <w:numId w:val="3"/>
              </w:numPr>
              <w:kinsoku/>
              <w:autoSpaceDE/>
              <w:autoSpaceDN/>
              <w:adjustRightInd/>
              <w:snapToGrid/>
              <w:spacing w:line="360" w:lineRule="auto"/>
              <w:jc w:val="both"/>
              <w:textAlignment w:val="auto"/>
              <w:rPr>
                <w:rFonts w:cs="仿宋" w:asciiTheme="minorEastAsia" w:hAnsiTheme="minorEastAsia" w:eastAsiaTheme="minorEastAsia"/>
                <w:sz w:val="24"/>
                <w:szCs w:val="24"/>
              </w:rPr>
            </w:pPr>
            <w:r>
              <w:rPr>
                <w:rFonts w:hint="eastAsia" w:cs="仿宋" w:asciiTheme="minorEastAsia" w:hAnsiTheme="minorEastAsia" w:eastAsiaTheme="minorEastAsia"/>
                <w:color w:val="auto"/>
                <w:sz w:val="24"/>
                <w:szCs w:val="24"/>
              </w:rPr>
              <w:t>车身结构：5门5座两厢车</w:t>
            </w:r>
          </w:p>
          <w:p w14:paraId="2CEA312E">
            <w:pPr>
              <w:widowControl w:val="0"/>
              <w:numPr>
                <w:ilvl w:val="0"/>
                <w:numId w:val="3"/>
              </w:numPr>
              <w:kinsoku/>
              <w:autoSpaceDE/>
              <w:autoSpaceDN/>
              <w:adjustRightInd/>
              <w:snapToGrid/>
              <w:spacing w:line="360" w:lineRule="auto"/>
              <w:jc w:val="both"/>
              <w:textAlignment w:val="auto"/>
              <w:rPr>
                <w:rFonts w:cs="仿宋" w:asciiTheme="minorEastAsia" w:hAnsiTheme="minorEastAsia" w:eastAsiaTheme="minorEastAsia"/>
                <w:sz w:val="24"/>
                <w:szCs w:val="24"/>
              </w:rPr>
            </w:pPr>
            <w:r>
              <w:rPr>
                <w:rFonts w:hint="eastAsia" w:cs="仿宋" w:asciiTheme="minorEastAsia" w:hAnsiTheme="minorEastAsia" w:eastAsiaTheme="minorEastAsia"/>
                <w:color w:val="auto"/>
                <w:sz w:val="24"/>
                <w:szCs w:val="24"/>
              </w:rPr>
              <w:t>最高车速：≥178km/h</w:t>
            </w:r>
          </w:p>
          <w:p w14:paraId="1702460B">
            <w:pPr>
              <w:widowControl w:val="0"/>
              <w:numPr>
                <w:ilvl w:val="0"/>
                <w:numId w:val="3"/>
              </w:numPr>
              <w:kinsoku/>
              <w:autoSpaceDE/>
              <w:autoSpaceDN/>
              <w:adjustRightInd/>
              <w:snapToGrid/>
              <w:spacing w:line="360" w:lineRule="auto"/>
              <w:jc w:val="both"/>
              <w:textAlignment w:val="auto"/>
              <w:rPr>
                <w:rFonts w:cs="仿宋" w:asciiTheme="minorEastAsia" w:hAnsiTheme="minorEastAsia" w:eastAsiaTheme="minorEastAsia"/>
                <w:sz w:val="24"/>
                <w:szCs w:val="24"/>
              </w:rPr>
            </w:pPr>
            <w:r>
              <w:rPr>
                <w:rFonts w:hint="eastAsia" w:cs="仿宋" w:asciiTheme="minorEastAsia" w:hAnsiTheme="minorEastAsia" w:eastAsiaTheme="minorEastAsia"/>
                <w:color w:val="auto"/>
                <w:sz w:val="24"/>
                <w:szCs w:val="24"/>
              </w:rPr>
              <w:t>发动机布局：横置</w:t>
            </w:r>
          </w:p>
          <w:p w14:paraId="7D40707A">
            <w:pPr>
              <w:widowControl w:val="0"/>
              <w:spacing w:line="360" w:lineRule="auto"/>
              <w:jc w:val="both"/>
              <w:rPr>
                <w:rFonts w:cs="仿宋" w:asciiTheme="minorEastAsia" w:hAnsiTheme="minorEastAsia" w:eastAsiaTheme="minorEastAsia"/>
                <w:sz w:val="24"/>
                <w:szCs w:val="24"/>
                <w:shd w:val="clear" w:color="auto" w:fill="FFFFFF"/>
              </w:rPr>
            </w:pPr>
            <w:r>
              <w:rPr>
                <w:rFonts w:hint="eastAsia" w:cs="仿宋" w:asciiTheme="minorEastAsia" w:hAnsiTheme="minorEastAsia" w:eastAsiaTheme="minorEastAsia"/>
                <w:color w:val="auto"/>
                <w:sz w:val="24"/>
                <w:szCs w:val="24"/>
                <w:shd w:val="clear" w:color="auto" w:fill="FFFFFF"/>
              </w:rPr>
              <w:t>11、排量：</w:t>
            </w:r>
            <w:r>
              <w:rPr>
                <w:rFonts w:hint="eastAsia" w:cs="仿宋" w:asciiTheme="minorEastAsia" w:hAnsiTheme="minorEastAsia" w:eastAsiaTheme="minorEastAsia"/>
                <w:color w:val="auto"/>
                <w:sz w:val="24"/>
                <w:szCs w:val="24"/>
              </w:rPr>
              <w:t>≥</w:t>
            </w:r>
            <w:r>
              <w:rPr>
                <w:rFonts w:hint="eastAsia" w:cs="仿宋" w:asciiTheme="minorEastAsia" w:hAnsiTheme="minorEastAsia" w:eastAsiaTheme="minorEastAsia"/>
                <w:color w:val="auto"/>
                <w:sz w:val="24"/>
                <w:szCs w:val="24"/>
                <w:shd w:val="clear" w:color="auto" w:fill="FFFFFF"/>
              </w:rPr>
              <w:t>1490mL</w:t>
            </w:r>
          </w:p>
          <w:p w14:paraId="220FC5EF">
            <w:pPr>
              <w:widowControl w:val="0"/>
              <w:spacing w:line="360" w:lineRule="auto"/>
              <w:jc w:val="both"/>
              <w:rPr>
                <w:rFonts w:cs="仿宋" w:asciiTheme="minorEastAsia" w:hAnsiTheme="minorEastAsia" w:eastAsiaTheme="minorEastAsia"/>
                <w:sz w:val="24"/>
                <w:szCs w:val="24"/>
                <w:shd w:val="clear" w:color="auto" w:fill="FFFFFF"/>
              </w:rPr>
            </w:pPr>
            <w:r>
              <w:rPr>
                <w:rFonts w:hint="eastAsia" w:cs="仿宋" w:asciiTheme="minorEastAsia" w:hAnsiTheme="minorEastAsia" w:eastAsiaTheme="minorEastAsia"/>
                <w:color w:val="auto"/>
                <w:sz w:val="24"/>
                <w:szCs w:val="24"/>
                <w:shd w:val="clear" w:color="auto" w:fill="FFFFFF"/>
              </w:rPr>
              <w:t>12、进气形式：涡轮增压</w:t>
            </w:r>
          </w:p>
          <w:p w14:paraId="4103328E">
            <w:pPr>
              <w:widowControl w:val="0"/>
              <w:spacing w:line="360" w:lineRule="auto"/>
              <w:jc w:val="both"/>
              <w:rPr>
                <w:rFonts w:cs="仿宋" w:asciiTheme="minorEastAsia" w:hAnsiTheme="minorEastAsia" w:eastAsiaTheme="minorEastAsia"/>
                <w:sz w:val="24"/>
                <w:szCs w:val="24"/>
                <w:shd w:val="clear" w:color="auto" w:fill="FFFFFF"/>
              </w:rPr>
            </w:pPr>
            <w:r>
              <w:rPr>
                <w:rFonts w:hint="eastAsia" w:cs="仿宋" w:asciiTheme="minorEastAsia" w:hAnsiTheme="minorEastAsia" w:eastAsiaTheme="minorEastAsia"/>
                <w:color w:val="auto"/>
                <w:sz w:val="24"/>
                <w:szCs w:val="24"/>
                <w:shd w:val="clear" w:color="auto" w:fill="FFFFFF"/>
              </w:rPr>
              <w:t>13、气缸排列形式：L</w:t>
            </w:r>
          </w:p>
          <w:p w14:paraId="45171302">
            <w:pPr>
              <w:widowControl w:val="0"/>
              <w:spacing w:line="360" w:lineRule="auto"/>
              <w:jc w:val="both"/>
              <w:rPr>
                <w:rFonts w:cs="仿宋" w:asciiTheme="minorEastAsia" w:hAnsiTheme="minorEastAsia" w:eastAsiaTheme="minorEastAsia"/>
                <w:sz w:val="24"/>
                <w:szCs w:val="24"/>
                <w:shd w:val="clear" w:color="auto" w:fill="FFFFFF"/>
              </w:rPr>
            </w:pPr>
            <w:r>
              <w:rPr>
                <w:rFonts w:hint="eastAsia" w:cs="仿宋" w:asciiTheme="minorEastAsia" w:hAnsiTheme="minorEastAsia" w:eastAsiaTheme="minorEastAsia"/>
                <w:color w:val="auto"/>
                <w:sz w:val="24"/>
                <w:szCs w:val="24"/>
                <w:shd w:val="clear" w:color="auto" w:fill="FFFFFF"/>
              </w:rPr>
              <w:t>14、气缸数：4个</w:t>
            </w:r>
          </w:p>
          <w:p w14:paraId="42A4CA8F">
            <w:pPr>
              <w:widowControl w:val="0"/>
              <w:spacing w:line="360" w:lineRule="auto"/>
              <w:jc w:val="both"/>
              <w:rPr>
                <w:rFonts w:cs="仿宋" w:asciiTheme="minorEastAsia" w:hAnsiTheme="minorEastAsia" w:eastAsiaTheme="minorEastAsia"/>
                <w:sz w:val="24"/>
                <w:szCs w:val="24"/>
                <w:shd w:val="clear" w:color="auto" w:fill="FFFFFF"/>
              </w:rPr>
            </w:pPr>
            <w:r>
              <w:rPr>
                <w:rFonts w:hint="eastAsia" w:cs="仿宋" w:asciiTheme="minorEastAsia" w:hAnsiTheme="minorEastAsia" w:eastAsiaTheme="minorEastAsia"/>
                <w:color w:val="auto"/>
                <w:sz w:val="24"/>
                <w:szCs w:val="24"/>
                <w:shd w:val="clear" w:color="auto" w:fill="FFFFFF"/>
              </w:rPr>
              <w:t>15、每缸气门数：4个</w:t>
            </w:r>
          </w:p>
          <w:p w14:paraId="2F66E1EE">
            <w:pPr>
              <w:widowControl w:val="0"/>
              <w:spacing w:line="360" w:lineRule="auto"/>
              <w:jc w:val="both"/>
              <w:rPr>
                <w:rFonts w:cs="仿宋" w:asciiTheme="minorEastAsia" w:hAnsiTheme="minorEastAsia" w:eastAsiaTheme="minorEastAsia"/>
                <w:sz w:val="24"/>
                <w:szCs w:val="24"/>
                <w:shd w:val="clear" w:color="auto" w:fill="FFFFFF"/>
              </w:rPr>
            </w:pPr>
            <w:r>
              <w:rPr>
                <w:rFonts w:hint="eastAsia" w:cs="仿宋" w:asciiTheme="minorEastAsia" w:hAnsiTheme="minorEastAsia" w:eastAsiaTheme="minorEastAsia"/>
                <w:color w:val="auto"/>
                <w:sz w:val="24"/>
                <w:szCs w:val="24"/>
                <w:shd w:val="clear" w:color="auto" w:fill="FFFFFF"/>
              </w:rPr>
              <w:t>16、压缩比：11.42</w:t>
            </w:r>
          </w:p>
          <w:p w14:paraId="249BE6D7">
            <w:pPr>
              <w:widowControl w:val="0"/>
              <w:spacing w:line="360" w:lineRule="auto"/>
              <w:jc w:val="both"/>
              <w:rPr>
                <w:rFonts w:cs="仿宋" w:asciiTheme="minorEastAsia" w:hAnsiTheme="minorEastAsia" w:eastAsiaTheme="minorEastAsia"/>
                <w:sz w:val="24"/>
                <w:szCs w:val="24"/>
                <w:shd w:val="clear" w:color="auto" w:fill="FFFFFF"/>
              </w:rPr>
            </w:pPr>
            <w:r>
              <w:rPr>
                <w:rFonts w:hint="eastAsia" w:cs="仿宋" w:asciiTheme="minorEastAsia" w:hAnsiTheme="minorEastAsia" w:eastAsiaTheme="minorEastAsia"/>
                <w:color w:val="auto"/>
                <w:sz w:val="24"/>
                <w:szCs w:val="24"/>
                <w:shd w:val="clear" w:color="auto" w:fill="FFFFFF"/>
              </w:rPr>
              <w:t>17、配气结构：DOHC</w:t>
            </w:r>
          </w:p>
          <w:p w14:paraId="42164053">
            <w:pPr>
              <w:widowControl w:val="0"/>
              <w:spacing w:line="360" w:lineRule="auto"/>
              <w:jc w:val="both"/>
              <w:rPr>
                <w:rFonts w:cs="仿宋" w:asciiTheme="minorEastAsia" w:hAnsiTheme="minorEastAsia" w:eastAsiaTheme="minorEastAsia"/>
                <w:sz w:val="24"/>
                <w:szCs w:val="24"/>
                <w:shd w:val="clear" w:color="auto" w:fill="FFFFFF"/>
              </w:rPr>
            </w:pPr>
            <w:r>
              <w:rPr>
                <w:rFonts w:hint="eastAsia" w:cs="仿宋" w:asciiTheme="minorEastAsia" w:hAnsiTheme="minorEastAsia" w:eastAsiaTheme="minorEastAsia"/>
                <w:color w:val="auto"/>
                <w:sz w:val="24"/>
                <w:szCs w:val="24"/>
                <w:shd w:val="clear" w:color="auto" w:fill="FFFFFF"/>
              </w:rPr>
              <w:t>18、最大马力：140Ps</w:t>
            </w:r>
          </w:p>
          <w:p w14:paraId="16ABF4C4">
            <w:pPr>
              <w:widowControl w:val="0"/>
              <w:spacing w:line="360" w:lineRule="auto"/>
              <w:jc w:val="both"/>
              <w:rPr>
                <w:rFonts w:cs="仿宋" w:asciiTheme="minorEastAsia" w:hAnsiTheme="minorEastAsia" w:eastAsiaTheme="minorEastAsia"/>
                <w:sz w:val="24"/>
                <w:szCs w:val="24"/>
                <w:shd w:val="clear" w:color="auto" w:fill="FFFFFF"/>
              </w:rPr>
            </w:pPr>
            <w:r>
              <w:rPr>
                <w:rFonts w:hint="eastAsia" w:cs="仿宋" w:asciiTheme="minorEastAsia" w:hAnsiTheme="minorEastAsia" w:eastAsiaTheme="minorEastAsia"/>
                <w:color w:val="auto"/>
                <w:sz w:val="24"/>
                <w:szCs w:val="24"/>
                <w:shd w:val="clear" w:color="auto" w:fill="FFFFFF"/>
              </w:rPr>
              <w:t>19、驱动方式：前置前驱</w:t>
            </w:r>
          </w:p>
          <w:p w14:paraId="61D7EDBC">
            <w:pPr>
              <w:widowControl w:val="0"/>
              <w:spacing w:line="360" w:lineRule="auto"/>
              <w:jc w:val="both"/>
              <w:rPr>
                <w:rFonts w:cs="仿宋" w:asciiTheme="minorEastAsia" w:hAnsiTheme="minorEastAsia" w:eastAsiaTheme="minorEastAsia"/>
                <w:sz w:val="24"/>
                <w:szCs w:val="24"/>
                <w:shd w:val="clear" w:color="auto" w:fill="FFFFFF"/>
              </w:rPr>
            </w:pPr>
            <w:r>
              <w:rPr>
                <w:rFonts w:hint="eastAsia" w:cs="仿宋" w:asciiTheme="minorEastAsia" w:hAnsiTheme="minorEastAsia" w:eastAsiaTheme="minorEastAsia"/>
                <w:color w:val="auto"/>
                <w:sz w:val="24"/>
                <w:szCs w:val="24"/>
                <w:shd w:val="clear" w:color="auto" w:fill="FFFFFF"/>
              </w:rPr>
              <w:t>20、供油方式：直喷</w:t>
            </w:r>
          </w:p>
          <w:p w14:paraId="73528737">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21、前悬架类型：麦弗逊式独立悬架</w:t>
            </w:r>
          </w:p>
          <w:p w14:paraId="7E5F8633">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22、后悬架类型：多连杆式独立悬架</w:t>
            </w:r>
          </w:p>
          <w:p w14:paraId="61DBAD21">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23、车体结构：承载式</w:t>
            </w:r>
          </w:p>
          <w:p w14:paraId="4DEAE85A">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24、前制动器类型：通风盘式</w:t>
            </w:r>
          </w:p>
          <w:p w14:paraId="37096657">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25、后制动器类型：盘式</w:t>
            </w:r>
          </w:p>
          <w:p w14:paraId="58BA7134">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26、驻车制动类型：电子驻车</w:t>
            </w:r>
          </w:p>
          <w:p w14:paraId="7AF28010">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27、前轮胎规格：215/65 R16</w:t>
            </w:r>
          </w:p>
          <w:p w14:paraId="5CE3AADC">
            <w:pPr>
              <w:widowControl w:val="0"/>
              <w:spacing w:line="360" w:lineRule="auto"/>
              <w:jc w:val="both"/>
              <w:rPr>
                <w:rFonts w:cs="仿宋" w:asciiTheme="minorEastAsia" w:hAnsiTheme="minorEastAsia" w:eastAsiaTheme="minorEastAsia"/>
                <w:sz w:val="24"/>
                <w:szCs w:val="24"/>
                <w:lang w:eastAsia="zh-CN"/>
              </w:rPr>
            </w:pPr>
            <w:r>
              <w:rPr>
                <w:rFonts w:hint="eastAsia" w:cs="仿宋" w:asciiTheme="minorEastAsia" w:hAnsiTheme="minorEastAsia" w:eastAsiaTheme="minorEastAsia"/>
                <w:color w:val="auto"/>
                <w:sz w:val="24"/>
                <w:szCs w:val="24"/>
                <w:shd w:val="clear" w:color="auto" w:fill="FFFFFF"/>
                <w:lang w:eastAsia="zh-CN"/>
              </w:rPr>
              <w:t>29、后轮胎规格：215/65 R16</w:t>
            </w:r>
          </w:p>
        </w:tc>
        <w:tc>
          <w:tcPr>
            <w:tcW w:w="785" w:type="dxa"/>
          </w:tcPr>
          <w:p w14:paraId="64FE3FC7">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台</w:t>
            </w:r>
          </w:p>
        </w:tc>
        <w:tc>
          <w:tcPr>
            <w:tcW w:w="1009" w:type="dxa"/>
          </w:tcPr>
          <w:p w14:paraId="1C0D2803">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3</w:t>
            </w:r>
          </w:p>
        </w:tc>
      </w:tr>
      <w:tr w14:paraId="1D669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tcPr>
          <w:p w14:paraId="78A67E92">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5</w:t>
            </w:r>
          </w:p>
        </w:tc>
        <w:tc>
          <w:tcPr>
            <w:tcW w:w="1054" w:type="dxa"/>
          </w:tcPr>
          <w:p w14:paraId="0359D4FD">
            <w:pPr>
              <w:widowControl w:val="0"/>
              <w:spacing w:line="360" w:lineRule="auto"/>
              <w:jc w:val="both"/>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智能电气控制系统实训装置</w:t>
            </w:r>
          </w:p>
        </w:tc>
        <w:tc>
          <w:tcPr>
            <w:tcW w:w="5374" w:type="dxa"/>
          </w:tcPr>
          <w:p w14:paraId="2892D00E">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1、输入电源：三相五线 AC380V±10% / 50Hz；单相 AC220V 辅助电源</w:t>
            </w:r>
          </w:p>
          <w:p w14:paraId="78BCC597">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2、装置容量：≤1.5 kVA</w:t>
            </w:r>
          </w:p>
          <w:p w14:paraId="57A84C4B">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3、外形尺寸（长 × 宽 × 高）：1600×750×1650 mm（含网孔板 / 挂箱区）</w:t>
            </w:r>
          </w:p>
          <w:p w14:paraId="52896952">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4、工作环境：温度 −10℃～+40℃；相对湿度 ＜85%（25℃）；海拔 ＜4000 m</w:t>
            </w:r>
          </w:p>
          <w:p w14:paraId="5CEA3CFF">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5、结构形式：铝型材框架 + 钢制网孔板 + 模块化挂箱，可扩展</w:t>
            </w:r>
          </w:p>
          <w:p w14:paraId="637DD1A6">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6、安全保护：漏电、短路、过载、缺相、急停，符合 GB 7251.1</w:t>
            </w:r>
          </w:p>
        </w:tc>
        <w:tc>
          <w:tcPr>
            <w:tcW w:w="785" w:type="dxa"/>
          </w:tcPr>
          <w:p w14:paraId="3D3A3157">
            <w:pPr>
              <w:widowControl w:val="0"/>
              <w:spacing w:line="360" w:lineRule="auto"/>
              <w:jc w:val="both"/>
              <w:rPr>
                <w:rFonts w:cs="仿宋" w:asciiTheme="minorEastAsia" w:hAnsiTheme="minorEastAsia" w:eastAsiaTheme="minorEastAsia"/>
                <w:sz w:val="24"/>
                <w:szCs w:val="24"/>
                <w:lang w:eastAsia="zh-CN"/>
              </w:rPr>
            </w:pPr>
          </w:p>
        </w:tc>
        <w:tc>
          <w:tcPr>
            <w:tcW w:w="1009" w:type="dxa"/>
          </w:tcPr>
          <w:p w14:paraId="786F7546">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11</w:t>
            </w:r>
          </w:p>
        </w:tc>
      </w:tr>
      <w:tr w14:paraId="4EFB9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tcPr>
          <w:p w14:paraId="4F303D8C">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6</w:t>
            </w:r>
          </w:p>
        </w:tc>
        <w:tc>
          <w:tcPr>
            <w:tcW w:w="1054" w:type="dxa"/>
          </w:tcPr>
          <w:p w14:paraId="5D5E42B7">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电焊实训设备</w:t>
            </w:r>
          </w:p>
        </w:tc>
        <w:tc>
          <w:tcPr>
            <w:tcW w:w="5374" w:type="dxa"/>
          </w:tcPr>
          <w:p w14:paraId="6A3A77FD">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1、 输入电源：三相 AC380V ±10%，50Hz</w:t>
            </w:r>
          </w:p>
          <w:p w14:paraId="4D7B8E41">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2、额定负载持续率：≥60%（教学频繁启停必备）</w:t>
            </w:r>
          </w:p>
          <w:p w14:paraId="07F8580D">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3、绝缘等级：≥F 级（推荐 H 级）</w:t>
            </w:r>
          </w:p>
          <w:p w14:paraId="00EAB005">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4、防护等级：≥IP21（推荐 IP23S）</w:t>
            </w:r>
          </w:p>
          <w:p w14:paraId="36457506">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5、控制方式：全数字 IGBT 逆变（现代教学标配）</w:t>
            </w:r>
          </w:p>
          <w:p w14:paraId="69C141F9">
            <w:pPr>
              <w:widowControl w:val="0"/>
              <w:spacing w:line="360" w:lineRule="auto"/>
              <w:jc w:val="both"/>
              <w:rPr>
                <w:rFonts w:cs="仿宋" w:asciiTheme="minorEastAsia" w:hAnsiTheme="minorEastAsia" w:eastAsiaTheme="minorEastAsia"/>
                <w:sz w:val="24"/>
                <w:szCs w:val="24"/>
                <w:lang w:eastAsia="zh-CN"/>
              </w:rPr>
            </w:pPr>
            <w:r>
              <w:rPr>
                <w:rFonts w:hint="eastAsia" w:cs="仿宋" w:asciiTheme="minorEastAsia" w:hAnsiTheme="minorEastAsia" w:eastAsiaTheme="minorEastAsia"/>
                <w:color w:val="auto"/>
                <w:sz w:val="24"/>
                <w:szCs w:val="24"/>
                <w:shd w:val="clear" w:color="auto" w:fill="FFFFFF"/>
                <w:lang w:eastAsia="zh-CN"/>
              </w:rPr>
              <w:t>6、保护功能：缺相、过流、过热、短路、过欠压、故障代码显示</w:t>
            </w:r>
          </w:p>
        </w:tc>
        <w:tc>
          <w:tcPr>
            <w:tcW w:w="785" w:type="dxa"/>
          </w:tcPr>
          <w:p w14:paraId="3BD0E988">
            <w:pPr>
              <w:widowControl w:val="0"/>
              <w:spacing w:line="360" w:lineRule="auto"/>
              <w:jc w:val="both"/>
              <w:rPr>
                <w:rFonts w:cs="仿宋" w:asciiTheme="minorEastAsia" w:hAnsiTheme="minorEastAsia" w:eastAsiaTheme="minorEastAsia"/>
                <w:sz w:val="24"/>
                <w:szCs w:val="24"/>
                <w:lang w:eastAsia="zh-CN"/>
              </w:rPr>
            </w:pPr>
          </w:p>
        </w:tc>
        <w:tc>
          <w:tcPr>
            <w:tcW w:w="1009" w:type="dxa"/>
          </w:tcPr>
          <w:p w14:paraId="4BA781BE">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16</w:t>
            </w:r>
          </w:p>
        </w:tc>
      </w:tr>
      <w:tr w14:paraId="57970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tcPr>
          <w:p w14:paraId="7F929FE3">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7</w:t>
            </w:r>
          </w:p>
        </w:tc>
        <w:tc>
          <w:tcPr>
            <w:tcW w:w="1054" w:type="dxa"/>
          </w:tcPr>
          <w:p w14:paraId="682B47EF">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拆装用发动机</w:t>
            </w:r>
          </w:p>
        </w:tc>
        <w:tc>
          <w:tcPr>
            <w:tcW w:w="5374" w:type="dxa"/>
          </w:tcPr>
          <w:p w14:paraId="42D74740">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1、发动机：L4、1.5～1.6L、电控汽油、总成完整、可全拆装</w:t>
            </w:r>
          </w:p>
          <w:p w14:paraId="78B00C64">
            <w:pPr>
              <w:widowControl w:val="0"/>
              <w:spacing w:line="360" w:lineRule="auto"/>
              <w:jc w:val="both"/>
              <w:rPr>
                <w:rFonts w:cs="仿宋" w:asciiTheme="minorEastAsia" w:hAnsiTheme="minorEastAsia" w:eastAsiaTheme="minorEastAsia"/>
                <w:sz w:val="24"/>
                <w:szCs w:val="24"/>
                <w:shd w:val="clear" w:color="auto" w:fill="FFFFFF"/>
                <w:lang w:eastAsia="zh-CN"/>
              </w:rPr>
            </w:pPr>
            <w:r>
              <w:rPr>
                <w:rFonts w:hint="eastAsia" w:cs="仿宋" w:asciiTheme="minorEastAsia" w:hAnsiTheme="minorEastAsia" w:eastAsiaTheme="minorEastAsia"/>
                <w:color w:val="auto"/>
                <w:sz w:val="24"/>
                <w:szCs w:val="24"/>
                <w:shd w:val="clear" w:color="auto" w:fill="FFFFFF"/>
                <w:lang w:eastAsia="zh-CN"/>
              </w:rPr>
              <w:t>2、翻转架：承重≥500kg、360° 翻转 + 锁止、带接油盘、可移动</w:t>
            </w:r>
          </w:p>
          <w:p w14:paraId="136C7601">
            <w:pPr>
              <w:widowControl w:val="0"/>
              <w:spacing w:line="360" w:lineRule="auto"/>
              <w:jc w:val="both"/>
              <w:rPr>
                <w:rFonts w:cs="仿宋" w:asciiTheme="minorEastAsia" w:hAnsiTheme="minorEastAsia" w:eastAsiaTheme="minorEastAsia"/>
                <w:sz w:val="24"/>
                <w:szCs w:val="24"/>
                <w:shd w:val="clear" w:color="auto" w:fill="FFFFFF"/>
              </w:rPr>
            </w:pPr>
            <w:r>
              <w:rPr>
                <w:rFonts w:hint="eastAsia" w:cs="仿宋" w:asciiTheme="minorEastAsia" w:hAnsiTheme="minorEastAsia" w:eastAsiaTheme="minorEastAsia"/>
                <w:color w:val="auto"/>
                <w:sz w:val="24"/>
                <w:szCs w:val="24"/>
                <w:shd w:val="clear" w:color="auto" w:fill="FFFFFF"/>
              </w:rPr>
              <w:t>3、整机尺寸：≤1100×700×1200mm</w:t>
            </w:r>
          </w:p>
          <w:p w14:paraId="2A795B99">
            <w:pPr>
              <w:widowControl/>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4、含全套拆装工具</w:t>
            </w:r>
          </w:p>
        </w:tc>
        <w:tc>
          <w:tcPr>
            <w:tcW w:w="785" w:type="dxa"/>
          </w:tcPr>
          <w:p w14:paraId="03C1EF4A">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台</w:t>
            </w:r>
          </w:p>
        </w:tc>
        <w:tc>
          <w:tcPr>
            <w:tcW w:w="1009" w:type="dxa"/>
          </w:tcPr>
          <w:p w14:paraId="483710E1">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4</w:t>
            </w:r>
          </w:p>
        </w:tc>
      </w:tr>
      <w:tr w14:paraId="62C9E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tcPr>
          <w:p w14:paraId="0E953BFF">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8</w:t>
            </w:r>
          </w:p>
        </w:tc>
        <w:tc>
          <w:tcPr>
            <w:tcW w:w="1054" w:type="dxa"/>
          </w:tcPr>
          <w:p w14:paraId="4AD51E11">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升举机</w:t>
            </w:r>
          </w:p>
        </w:tc>
        <w:tc>
          <w:tcPr>
            <w:tcW w:w="5374" w:type="dxa"/>
          </w:tcPr>
          <w:p w14:paraId="01A62CE9">
            <w:pPr>
              <w:widowControl w:val="0"/>
              <w:spacing w:line="360" w:lineRule="auto"/>
              <w:jc w:val="both"/>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1、额定举升重量：≥4000kg（4T）（推荐 4.2–5T）</w:t>
            </w:r>
          </w:p>
          <w:p w14:paraId="763B20CE">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2、最大举升高度：≥1800mm（常用 1850–1900mm）</w:t>
            </w:r>
          </w:p>
          <w:p w14:paraId="254C590A">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3、最低高度（支臂离地）：≤110mm（方便低矮车）</w:t>
            </w:r>
          </w:p>
          <w:p w14:paraId="0447E0ED">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4、立柱内宽：≥2800mm（适配 SUV/MPV）</w:t>
            </w:r>
          </w:p>
          <w:p w14:paraId="40B4E9BE">
            <w:pPr>
              <w:widowControl w:val="0"/>
              <w:spacing w:line="360" w:lineRule="auto"/>
              <w:jc w:val="both"/>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5、整机高度：3500–3800mm；整机宽度：≥3400mm</w:t>
            </w:r>
          </w:p>
          <w:p w14:paraId="4D05CBE6">
            <w:pPr>
              <w:widowControl w:val="0"/>
              <w:spacing w:line="360" w:lineRule="auto"/>
              <w:jc w:val="both"/>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6、举升/下降时间：≤55s（额载）</w:t>
            </w:r>
          </w:p>
          <w:p w14:paraId="6D7DE867">
            <w:pPr>
              <w:widowControl w:val="0"/>
              <w:spacing w:line="360" w:lineRule="auto"/>
              <w:jc w:val="both"/>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7、电源：380V/50Hz（可选 220V）</w:t>
            </w:r>
          </w:p>
          <w:p w14:paraId="57D0D1BC">
            <w:pPr>
              <w:widowControl w:val="0"/>
              <w:spacing w:line="360" w:lineRule="auto"/>
              <w:jc w:val="both"/>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8、电机功率：≥2.2kW（推荐 2.2–3kW）</w:t>
            </w:r>
          </w:p>
          <w:p w14:paraId="751957B5">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9、工作压力：16–25MPa</w:t>
            </w:r>
          </w:p>
        </w:tc>
        <w:tc>
          <w:tcPr>
            <w:tcW w:w="785" w:type="dxa"/>
          </w:tcPr>
          <w:p w14:paraId="32DBF75E">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台</w:t>
            </w:r>
          </w:p>
        </w:tc>
        <w:tc>
          <w:tcPr>
            <w:tcW w:w="1009" w:type="dxa"/>
          </w:tcPr>
          <w:p w14:paraId="3E4870FC">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6</w:t>
            </w:r>
          </w:p>
        </w:tc>
      </w:tr>
      <w:tr w14:paraId="169A1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tcPr>
          <w:p w14:paraId="3B9F087B">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9</w:t>
            </w:r>
          </w:p>
        </w:tc>
        <w:tc>
          <w:tcPr>
            <w:tcW w:w="1054" w:type="dxa"/>
          </w:tcPr>
          <w:p w14:paraId="5DC51B79">
            <w:pPr>
              <w:widowControl w:val="0"/>
              <w:spacing w:line="360" w:lineRule="auto"/>
              <w:jc w:val="both"/>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新能源汽车三电系统（电池、电机、电控）检测与维修实训平台</w:t>
            </w:r>
          </w:p>
        </w:tc>
        <w:tc>
          <w:tcPr>
            <w:tcW w:w="5374" w:type="dxa"/>
          </w:tcPr>
          <w:p w14:paraId="6E0A40D1">
            <w:pPr>
              <w:widowControl w:val="0"/>
              <w:spacing w:line="360" w:lineRule="auto"/>
              <w:jc w:val="both"/>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包含纯电动汽车直流电机、交流电机增扭缓输变频控系统理实一体化实操平台、纯电动汽车双模自适应空调和暖风舒适系统理实一体化实操平台、纯电动电池管理系统等</w:t>
            </w:r>
          </w:p>
        </w:tc>
        <w:tc>
          <w:tcPr>
            <w:tcW w:w="785" w:type="dxa"/>
          </w:tcPr>
          <w:p w14:paraId="08AF67BF">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台</w:t>
            </w:r>
          </w:p>
        </w:tc>
        <w:tc>
          <w:tcPr>
            <w:tcW w:w="1009" w:type="dxa"/>
          </w:tcPr>
          <w:p w14:paraId="5CD0EFF8">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6</w:t>
            </w:r>
          </w:p>
        </w:tc>
      </w:tr>
      <w:tr w14:paraId="6C8BB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tcPr>
          <w:p w14:paraId="66F382FD">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10</w:t>
            </w:r>
          </w:p>
        </w:tc>
        <w:tc>
          <w:tcPr>
            <w:tcW w:w="1054" w:type="dxa"/>
          </w:tcPr>
          <w:p w14:paraId="5B6A7C3F">
            <w:pPr>
              <w:widowControl w:val="0"/>
              <w:spacing w:line="360" w:lineRule="auto"/>
              <w:jc w:val="both"/>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普通油车三电系统（电池、电机、电控）检测与维修实训平台</w:t>
            </w:r>
          </w:p>
        </w:tc>
        <w:tc>
          <w:tcPr>
            <w:tcW w:w="5374" w:type="dxa"/>
          </w:tcPr>
          <w:p w14:paraId="69AB6F9B">
            <w:pPr>
              <w:widowControl w:val="0"/>
              <w:spacing w:line="360" w:lineRule="auto"/>
              <w:jc w:val="both"/>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包含汽车电控系统示教板、汽车电子巡航系统示教板、汽车充电系统示教板、汽车起动系统示教板、安全气囊示教板、全车电器示教板等</w:t>
            </w:r>
          </w:p>
        </w:tc>
        <w:tc>
          <w:tcPr>
            <w:tcW w:w="785" w:type="dxa"/>
          </w:tcPr>
          <w:p w14:paraId="2C1B807D">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台</w:t>
            </w:r>
          </w:p>
        </w:tc>
        <w:tc>
          <w:tcPr>
            <w:tcW w:w="1009" w:type="dxa"/>
          </w:tcPr>
          <w:p w14:paraId="26A9AFFD">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10</w:t>
            </w:r>
          </w:p>
        </w:tc>
      </w:tr>
      <w:tr w14:paraId="511AF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tcPr>
          <w:p w14:paraId="263BD492">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11</w:t>
            </w:r>
          </w:p>
        </w:tc>
        <w:tc>
          <w:tcPr>
            <w:tcW w:w="1054" w:type="dxa"/>
          </w:tcPr>
          <w:p w14:paraId="51D54749">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钳工实训装置</w:t>
            </w:r>
          </w:p>
        </w:tc>
        <w:tc>
          <w:tcPr>
            <w:tcW w:w="5374" w:type="dxa"/>
          </w:tcPr>
          <w:p w14:paraId="4B623655">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 xml:space="preserve"> 1、长×宽×高：1500mm（±200mm）×750mm（±250mm）×800mm（±50mm）（桌面），总高（含防护网）1450～1500mm（±100mm）</w:t>
            </w:r>
          </w:p>
          <w:p w14:paraId="7A1BB299">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2、工位：2 工位（左右各 1）</w:t>
            </w:r>
          </w:p>
          <w:p w14:paraId="794D4C52">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3、整体承重：≥300kg</w:t>
            </w:r>
          </w:p>
        </w:tc>
        <w:tc>
          <w:tcPr>
            <w:tcW w:w="785" w:type="dxa"/>
          </w:tcPr>
          <w:p w14:paraId="01B7DEDC">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台</w:t>
            </w:r>
          </w:p>
        </w:tc>
        <w:tc>
          <w:tcPr>
            <w:tcW w:w="1009" w:type="dxa"/>
          </w:tcPr>
          <w:p w14:paraId="77BB07C5">
            <w:pPr>
              <w:widowControl w:val="0"/>
              <w:spacing w:line="360" w:lineRule="auto"/>
              <w:jc w:val="both"/>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15</w:t>
            </w:r>
          </w:p>
        </w:tc>
      </w:tr>
      <w:tr w14:paraId="4A779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91" w:type="dxa"/>
            <w:gridSpan w:val="5"/>
          </w:tcPr>
          <w:p w14:paraId="508B913F">
            <w:pPr>
              <w:widowControl/>
              <w:spacing w:line="360" w:lineRule="auto"/>
              <w:jc w:val="left"/>
              <w:rPr>
                <w:rFonts w:cs="仿宋" w:asciiTheme="minorEastAsia" w:hAnsiTheme="minorEastAsia" w:eastAsiaTheme="minorEastAsia"/>
                <w:sz w:val="24"/>
                <w:szCs w:val="24"/>
                <w:lang w:eastAsia="zh-CN"/>
              </w:rPr>
            </w:pPr>
            <w:r>
              <w:rPr>
                <w:rFonts w:hint="eastAsia" w:cs="仿宋" w:asciiTheme="minorEastAsia" w:hAnsiTheme="minorEastAsia" w:eastAsiaTheme="minorEastAsia"/>
                <w:color w:val="auto"/>
                <w:sz w:val="24"/>
                <w:szCs w:val="24"/>
                <w:lang w:eastAsia="zh-CN"/>
              </w:rPr>
              <w:t>以上技术参数及配置为最低基本要求，可以优于不可低于。</w:t>
            </w:r>
          </w:p>
        </w:tc>
      </w:tr>
    </w:tbl>
    <w:p w14:paraId="5C7597CB">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（4）实训及理论教学场地需配备饮水机或自动贩卖机等配套设施。</w:t>
      </w:r>
    </w:p>
    <w:p w14:paraId="3236CC63">
      <w:pPr>
        <w:spacing w:line="360" w:lineRule="auto"/>
        <w:ind w:firstLine="480" w:firstLineChars="200"/>
        <w:rPr>
          <w:rFonts w:cs="仿宋" w:asciiTheme="minorEastAsia" w:hAnsiTheme="minorEastAsia" w:eastAsiaTheme="minorEastAsia"/>
          <w:b/>
          <w:bCs/>
          <w:sz w:val="24"/>
          <w:szCs w:val="24"/>
          <w:lang w:eastAsia="zh-CN"/>
        </w:rPr>
      </w:pPr>
      <w:r>
        <w:rPr>
          <w:rFonts w:hint="eastAsia" w:cs="仿宋" w:asciiTheme="minorEastAsia" w:hAnsiTheme="minorEastAsia" w:eastAsiaTheme="minorEastAsia"/>
          <w:sz w:val="24"/>
          <w:szCs w:val="24"/>
          <w:lang w:eastAsia="zh-CN"/>
        </w:rPr>
        <w:t>7.办公室需求</w:t>
      </w:r>
    </w:p>
    <w:p w14:paraId="4145C811">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 xml:space="preserve">（1）办公室不少于1间，总面积不少于80㎡； </w:t>
      </w:r>
    </w:p>
    <w:p w14:paraId="1CAAA39E">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 xml:space="preserve">（2）办公桌椅按照实际人数给予配备，不少于10张； </w:t>
      </w:r>
    </w:p>
    <w:p w14:paraId="6CEBE89B">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 xml:space="preserve">（3）办公室设有电源插座回路、网络、空调（可制热制冷）、电源、室内照明电源； </w:t>
      </w:r>
    </w:p>
    <w:p w14:paraId="1956079D">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（4）办公室采取有效的通风措施，保证教学、行政办公用房及服务用房的室内空气清新，符合国家相关要求。</w:t>
      </w:r>
    </w:p>
    <w:p w14:paraId="5391FBB5">
      <w:pPr>
        <w:spacing w:line="360" w:lineRule="auto"/>
        <w:ind w:firstLine="480" w:firstLineChars="200"/>
        <w:rPr>
          <w:rFonts w:cs="仿宋" w:asciiTheme="minorEastAsia" w:hAnsiTheme="minorEastAsia" w:eastAsiaTheme="minorEastAsia"/>
          <w:b/>
          <w:bCs/>
          <w:sz w:val="24"/>
          <w:szCs w:val="24"/>
          <w:lang w:eastAsia="zh-CN"/>
        </w:rPr>
      </w:pPr>
      <w:r>
        <w:rPr>
          <w:rFonts w:hint="eastAsia" w:cs="仿宋" w:asciiTheme="minorEastAsia" w:hAnsiTheme="minorEastAsia" w:eastAsiaTheme="minorEastAsia"/>
          <w:sz w:val="24"/>
          <w:szCs w:val="24"/>
          <w:lang w:eastAsia="zh-CN"/>
        </w:rPr>
        <w:t>8.学生宿舍楼要求</w:t>
      </w:r>
    </w:p>
    <w:p w14:paraId="12AD7123">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 xml:space="preserve">（1）宿舍楼不少于650个床位，6人间不少于110间，总面积不少于4300㎡，用于学生住宿； </w:t>
      </w:r>
    </w:p>
    <w:p w14:paraId="6B990EF7">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 xml:space="preserve">（2）宿舍应便于封闭式管理，学生宿舍须男女分栋（区）设置，分别设置出入口，满足各自封闭式管理的要求； </w:t>
      </w:r>
    </w:p>
    <w:p w14:paraId="399C24B5">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 xml:space="preserve">（3）学生宿舍每室居住学生不得超过6人。 </w:t>
      </w:r>
    </w:p>
    <w:p w14:paraId="76136514">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 xml:space="preserve">（4）每间学生宿舍须提供不少于入住人数的床（双层床铺须方便大学生居住）、柜子、桌凳（椅）子、具备制冷制热功能的空调、24小时热水、独立卫生间等设施。 </w:t>
      </w:r>
    </w:p>
    <w:p w14:paraId="24B6A2A1">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 xml:space="preserve">（5）学生宿舍楼设有消防通道和消防安全设置（如安全指示灯、消防栓、灭火器等）。 </w:t>
      </w:r>
    </w:p>
    <w:p w14:paraId="221CEDFA">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（6）学生宿舍值班室应配置灭火器、喊话器等消防器材。每个学生宿舍内应根据入住学生数配置足够数量且在质保期内的消防面罩。</w:t>
      </w:r>
    </w:p>
    <w:p w14:paraId="6520DD93">
      <w:pPr>
        <w:spacing w:line="360" w:lineRule="auto"/>
        <w:ind w:firstLine="480" w:firstLineChars="200"/>
        <w:rPr>
          <w:rFonts w:cs="仿宋" w:asciiTheme="minorEastAsia" w:hAnsiTheme="minorEastAsia" w:eastAsiaTheme="minorEastAsia"/>
          <w:b/>
          <w:bCs/>
          <w:color w:val="FF0000"/>
          <w:sz w:val="24"/>
          <w:szCs w:val="24"/>
        </w:rPr>
      </w:pPr>
      <w:r>
        <w:rPr>
          <w:rFonts w:hint="eastAsia" w:cs="仿宋" w:asciiTheme="minorEastAsia" w:hAnsiTheme="minorEastAsia" w:eastAsiaTheme="minorEastAsia"/>
          <w:sz w:val="24"/>
          <w:szCs w:val="24"/>
        </w:rPr>
        <w:t>9.生活配套场地需求</w:t>
      </w:r>
    </w:p>
    <w:p w14:paraId="082D5BCF">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（1）配套有室外运动场不少于1个，篮球场2个以上，羽毛球场2个以上等运动场地。</w:t>
      </w:r>
    </w:p>
    <w:p w14:paraId="3CF72795">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（2）配套有室外休息场所，可供学生日常休息休闲使用。</w:t>
      </w:r>
    </w:p>
    <w:p w14:paraId="288542E0">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（3）配套有户外晾晒衣被区域不少于200㎡，并安装有监控。</w:t>
      </w:r>
    </w:p>
    <w:p w14:paraId="16366BA5">
      <w:pPr>
        <w:spacing w:line="360" w:lineRule="auto"/>
        <w:ind w:firstLine="480" w:firstLineChars="200"/>
        <w:rPr>
          <w:rFonts w:cs="仿宋" w:asciiTheme="minorEastAsia" w:hAnsiTheme="minorEastAsia" w:eastAsiaTheme="minorEastAsia"/>
          <w:sz w:val="24"/>
          <w:szCs w:val="24"/>
          <w:highlight w:val="yellow"/>
          <w:lang w:eastAsia="zh-CN"/>
        </w:rPr>
      </w:pPr>
      <w:r>
        <w:rPr>
          <w:rFonts w:hint="eastAsia" w:cs="仿宋" w:asciiTheme="minorEastAsia" w:hAnsiTheme="minorEastAsia" w:eastAsiaTheme="minorEastAsia"/>
          <w:sz w:val="24"/>
          <w:szCs w:val="24"/>
          <w:lang w:eastAsia="zh-CN"/>
        </w:rPr>
        <w:t>（5）食堂面积不低于1500㎡，配置餐位充足，可同时供至少650人用餐（应根据学生人数合理设置），证件齐全：食品卫生许可证、工作人员健康证、配送公司报备情况。</w:t>
      </w:r>
    </w:p>
    <w:p w14:paraId="24C5955F">
      <w:pPr>
        <w:spacing w:line="360" w:lineRule="auto"/>
        <w:ind w:firstLine="482" w:firstLineChars="200"/>
        <w:rPr>
          <w:rFonts w:cs="仿宋" w:asciiTheme="minorEastAsia" w:hAnsiTheme="minorEastAsia" w:eastAsiaTheme="minorEastAsia"/>
          <w:b/>
          <w:bCs/>
          <w:sz w:val="24"/>
          <w:szCs w:val="24"/>
          <w:lang w:eastAsia="zh-CN"/>
        </w:rPr>
      </w:pPr>
      <w:r>
        <w:rPr>
          <w:rFonts w:hint="eastAsia" w:cs="仿宋" w:asciiTheme="minorEastAsia" w:hAnsiTheme="minorEastAsia" w:eastAsiaTheme="minorEastAsia"/>
          <w:b/>
          <w:bCs/>
          <w:sz w:val="24"/>
          <w:szCs w:val="24"/>
          <w:lang w:eastAsia="zh-CN"/>
        </w:rPr>
        <w:t>根据教育厅相关文件要求，食堂须实行明厨亮灶并接受教育厅监测，实现食品加工关键环节可视化管理，确保师生用餐安全，如发生食品安全问题，则依据相关法律法规及学校相关管理办法进行处理。</w:t>
      </w:r>
    </w:p>
    <w:p w14:paraId="1366403B">
      <w:pPr>
        <w:spacing w:line="360" w:lineRule="auto"/>
        <w:ind w:firstLine="482" w:firstLineChars="200"/>
        <w:rPr>
          <w:rFonts w:cs="仿宋" w:asciiTheme="minorEastAsia" w:hAnsiTheme="minorEastAsia" w:eastAsiaTheme="minorEastAsia"/>
          <w:b/>
          <w:bCs/>
          <w:sz w:val="24"/>
          <w:szCs w:val="24"/>
          <w:lang w:eastAsia="zh-CN"/>
        </w:rPr>
      </w:pPr>
    </w:p>
    <w:p w14:paraId="55CD249F">
      <w:pPr>
        <w:spacing w:line="360" w:lineRule="auto"/>
        <w:ind w:firstLine="482"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b/>
          <w:bCs/>
          <w:sz w:val="24"/>
          <w:szCs w:val="24"/>
          <w:lang w:eastAsia="zh-CN"/>
        </w:rPr>
        <w:t>管理要求</w:t>
      </w:r>
    </w:p>
    <w:p w14:paraId="37E3904B">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1.学生管理</w:t>
      </w:r>
    </w:p>
    <w:p w14:paraId="4F8A7EA8">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（1）配套不少于10个专职学生管理人员，不少于1名专职心理辅导教师，均须具备一年以上相关管理经验；</w:t>
      </w:r>
    </w:p>
    <w:p w14:paraId="4068F748">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2）制定学生管理方案，并能紧密结合学生实际情况，包括但不限于学生工作管理队伍人员充实、备有相应日常管理资料记录、宿舍管理人员安排、学生日常作息计划大纲、安全教育计划、主题教育方案、班级文化建设方案、应急预案等内容。</w:t>
      </w:r>
    </w:p>
    <w:p w14:paraId="34E69BD7">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（3）项目实施期间投标人应安排专门机构和专人配合学院单位做好学生管理工作，以便及时掌握学生的心理动态，解决学生困难，做好学风建设和学生服务。</w:t>
      </w:r>
    </w:p>
    <w:p w14:paraId="01AE4A5A">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2.教学管理</w:t>
      </w:r>
    </w:p>
    <w:p w14:paraId="0EB17BA5">
      <w:pPr>
        <w:spacing w:line="360" w:lineRule="auto"/>
        <w:ind w:firstLine="480" w:firstLineChars="200"/>
        <w:rPr>
          <w:rFonts w:cs="仿宋" w:asciiTheme="minorEastAsia" w:hAnsiTheme="minorEastAsia" w:eastAsiaTheme="minorEastAsia"/>
          <w:b/>
          <w:bCs/>
          <w:sz w:val="24"/>
          <w:szCs w:val="24"/>
          <w:lang w:eastAsia="zh-CN"/>
        </w:rPr>
      </w:pPr>
      <w:r>
        <w:rPr>
          <w:rFonts w:hint="eastAsia" w:cs="仿宋" w:asciiTheme="minorEastAsia" w:hAnsiTheme="minorEastAsia" w:eastAsiaTheme="minorEastAsia"/>
          <w:sz w:val="24"/>
          <w:szCs w:val="24"/>
          <w:lang w:eastAsia="zh-CN"/>
        </w:rPr>
        <w:t>（1）制定教学管理方案，要求符合学校学生实际需求，包括但不限于教学工作管理队伍人员充实、有教学进程安排、教材教辅资料清单、人才培养方案、阶段性的学生成绩考核、各阶段教案（教学手册、电子课件）等内容。</w:t>
      </w:r>
    </w:p>
    <w:p w14:paraId="4B6113D9">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2）投标人对校方产业学院培养的学生建立学籍档案（含学习成绩考核、在校德智体美劳各项表现等），通过在校学籍档案全面准确反映产业学院学生在现场学习期间的品德和学习表现，并于合作期结束后的十五日内移交给学校存管。</w:t>
      </w:r>
    </w:p>
    <w:p w14:paraId="6FD28A97">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3.就业管理</w:t>
      </w:r>
    </w:p>
    <w:p w14:paraId="7EA101D7">
      <w:pPr>
        <w:spacing w:line="360" w:lineRule="auto"/>
        <w:ind w:firstLine="480" w:firstLineChars="200"/>
        <w:rPr>
          <w:rFonts w:cs="仿宋" w:asciiTheme="minorEastAsia" w:hAnsiTheme="minorEastAsia" w:eastAsiaTheme="minorEastAsia"/>
          <w:b/>
          <w:bCs/>
          <w:sz w:val="24"/>
          <w:szCs w:val="24"/>
          <w:lang w:eastAsia="zh-CN"/>
        </w:rPr>
      </w:pPr>
      <w:r>
        <w:rPr>
          <w:rFonts w:hint="eastAsia" w:cs="仿宋" w:asciiTheme="minorEastAsia" w:hAnsiTheme="minorEastAsia" w:eastAsiaTheme="minorEastAsia"/>
          <w:sz w:val="24"/>
          <w:szCs w:val="24"/>
          <w:lang w:eastAsia="zh-CN"/>
        </w:rPr>
        <w:t>在本项目实施中，投标人能为全体学生提供相关就业指导课程、推荐就业岗位并有能力承办本项目学生就业招聘会，参加招聘会中，投标人推荐的企业不少于25家，提供的招聘岗位数：就业学生人数＞1:1，其中专业对口岗位比例不少于60%。</w:t>
      </w:r>
    </w:p>
    <w:p w14:paraId="62674815">
      <w:pPr>
        <w:spacing w:line="360" w:lineRule="auto"/>
        <w:ind w:firstLine="482" w:firstLineChars="200"/>
        <w:rPr>
          <w:rFonts w:cs="仿宋" w:asciiTheme="minorEastAsia" w:hAnsiTheme="minorEastAsia" w:eastAsiaTheme="minorEastAsia"/>
          <w:b/>
          <w:bCs/>
          <w:sz w:val="24"/>
          <w:szCs w:val="24"/>
          <w:lang w:eastAsia="zh-CN"/>
        </w:rPr>
      </w:pPr>
    </w:p>
    <w:p w14:paraId="76F69A23">
      <w:pPr>
        <w:spacing w:line="360" w:lineRule="auto"/>
        <w:ind w:firstLine="482" w:firstLineChars="200"/>
        <w:rPr>
          <w:rFonts w:cs="仿宋" w:asciiTheme="minorEastAsia" w:hAnsiTheme="minorEastAsia" w:eastAsiaTheme="minorEastAsia"/>
          <w:b/>
          <w:bCs/>
          <w:sz w:val="24"/>
          <w:szCs w:val="24"/>
          <w:lang w:eastAsia="zh-CN"/>
        </w:rPr>
      </w:pPr>
      <w:r>
        <w:rPr>
          <w:rFonts w:hint="eastAsia" w:cs="仿宋" w:asciiTheme="minorEastAsia" w:hAnsiTheme="minorEastAsia" w:eastAsiaTheme="minorEastAsia"/>
          <w:b/>
          <w:bCs/>
          <w:sz w:val="24"/>
          <w:szCs w:val="24"/>
          <w:lang w:eastAsia="zh-CN"/>
        </w:rPr>
        <w:t>其他要求</w:t>
      </w:r>
    </w:p>
    <w:p w14:paraId="7FEC2274">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1.安保服务</w:t>
      </w:r>
    </w:p>
    <w:p w14:paraId="5CB1F90E">
      <w:pPr>
        <w:spacing w:line="360" w:lineRule="auto"/>
        <w:ind w:firstLine="480" w:firstLineChars="200"/>
        <w:rPr>
          <w:rFonts w:cs="仿宋" w:asciiTheme="minorEastAsia" w:hAnsiTheme="minorEastAsia" w:eastAsiaTheme="minorEastAsia"/>
          <w:b/>
          <w:bCs/>
          <w:sz w:val="24"/>
          <w:szCs w:val="24"/>
          <w:lang w:eastAsia="zh-CN"/>
        </w:rPr>
      </w:pPr>
      <w:r>
        <w:rPr>
          <w:rFonts w:hint="eastAsia" w:cs="仿宋" w:asciiTheme="minorEastAsia" w:hAnsiTheme="minorEastAsia" w:eastAsiaTheme="minorEastAsia"/>
          <w:sz w:val="24"/>
          <w:szCs w:val="24"/>
          <w:lang w:eastAsia="zh-CN"/>
        </w:rPr>
        <w:t>制定学生安保管理服务方案。制定校园安全保障措施；人员配合措施；后勤保障措施等，校区需配备至少4名安保人员，2名楼栋管理员24小时维护场地及学生安全。</w:t>
      </w:r>
    </w:p>
    <w:p w14:paraId="416C0FA2">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2.消防安全要求</w:t>
      </w:r>
    </w:p>
    <w:p w14:paraId="577A9308">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（1）实训场地需要通过消</w:t>
      </w:r>
      <w:bookmarkStart w:id="2" w:name="_GoBack"/>
      <w:bookmarkEnd w:id="2"/>
      <w:r>
        <w:rPr>
          <w:rFonts w:hint="eastAsia" w:cs="仿宋" w:asciiTheme="minorEastAsia" w:hAnsiTheme="minorEastAsia" w:eastAsiaTheme="minorEastAsia"/>
          <w:sz w:val="24"/>
          <w:szCs w:val="24"/>
          <w:lang w:eastAsia="zh-CN"/>
        </w:rPr>
        <w:t>防验收合格。★</w:t>
      </w:r>
      <w:r>
        <w:rPr>
          <w:rFonts w:hint="eastAsia" w:cs="仿宋" w:asciiTheme="minorEastAsia" w:hAnsiTheme="minorEastAsia" w:eastAsiaTheme="minorEastAsia"/>
          <w:b/>
          <w:bCs/>
          <w:sz w:val="24"/>
          <w:szCs w:val="24"/>
          <w:lang w:eastAsia="zh-CN"/>
        </w:rPr>
        <w:t>(投标文件中提供相关消防验收证明材料或承诺函加盖投标人公章，未提供视为无效响应。)</w:t>
      </w:r>
    </w:p>
    <w:p w14:paraId="7B528DE5">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（2）</w:t>
      </w:r>
      <w:r>
        <w:rPr>
          <w:rFonts w:hint="eastAsia" w:cs="仿宋" w:asciiTheme="minorEastAsia" w:hAnsiTheme="minorEastAsia" w:eastAsiaTheme="minorEastAsia"/>
          <w:color w:val="auto"/>
          <w:sz w:val="24"/>
          <w:szCs w:val="24"/>
          <w:lang w:eastAsia="zh-CN"/>
        </w:rPr>
        <w:t>教学实训场所</w:t>
      </w:r>
      <w:r>
        <w:rPr>
          <w:rFonts w:hint="eastAsia" w:cs="仿宋" w:asciiTheme="minorEastAsia" w:hAnsiTheme="minorEastAsia" w:eastAsiaTheme="minorEastAsia"/>
          <w:sz w:val="24"/>
          <w:szCs w:val="24"/>
          <w:lang w:eastAsia="zh-CN"/>
        </w:rPr>
        <w:t>须具备相应消防设备，以防学习实训过程引发火灾。</w:t>
      </w:r>
    </w:p>
    <w:p w14:paraId="3706C737">
      <w:pPr>
        <w:pStyle w:val="9"/>
        <w:spacing w:line="360" w:lineRule="auto"/>
        <w:ind w:firstLine="480" w:firstLineChars="200"/>
        <w:rPr>
          <w:rFonts w:cs="仿宋" w:asciiTheme="minorEastAsia" w:hAnsiTheme="minorEastAsia" w:eastAsiaTheme="minorEastAsia"/>
          <w:color w:val="auto"/>
        </w:rPr>
      </w:pPr>
      <w:r>
        <w:rPr>
          <w:rFonts w:hint="eastAsia" w:cs="仿宋" w:asciiTheme="minorEastAsia" w:hAnsiTheme="minorEastAsia" w:eastAsiaTheme="minorEastAsia"/>
          <w:color w:val="auto"/>
        </w:rPr>
        <w:t>3.医疗管理</w:t>
      </w:r>
    </w:p>
    <w:p w14:paraId="74D5335B">
      <w:pPr>
        <w:spacing w:line="360" w:lineRule="auto"/>
        <w:ind w:firstLine="480" w:firstLineChars="200"/>
        <w:rPr>
          <w:rFonts w:cs="仿宋" w:asciiTheme="minorEastAsia" w:hAnsiTheme="minorEastAsia" w:eastAsiaTheme="minorEastAsia"/>
          <w:sz w:val="24"/>
          <w:szCs w:val="24"/>
          <w:lang w:eastAsia="zh-CN"/>
        </w:rPr>
      </w:pPr>
      <w:r>
        <w:rPr>
          <w:rFonts w:hint="eastAsia" w:cs="仿宋" w:asciiTheme="minorEastAsia" w:hAnsiTheme="minorEastAsia" w:eastAsiaTheme="minorEastAsia"/>
          <w:sz w:val="24"/>
          <w:szCs w:val="24"/>
          <w:lang w:eastAsia="zh-CN"/>
        </w:rPr>
        <w:t>供应商提供24小时医疗服务，场地内设置医务室，不少于1名医疗服务人员，并应具备相应医疗服务资格证书，且与周边医院建立急诊绿色通道（响应时间≤15分钟）。</w:t>
      </w:r>
    </w:p>
    <w:p w14:paraId="0AD67221">
      <w:pPr>
        <w:pStyle w:val="9"/>
        <w:spacing w:line="360" w:lineRule="auto"/>
        <w:ind w:firstLine="480" w:firstLineChars="200"/>
        <w:rPr>
          <w:rFonts w:cs="仿宋" w:asciiTheme="minorEastAsia" w:hAnsiTheme="minorEastAsia" w:eastAsiaTheme="minorEastAsia"/>
          <w:color w:val="auto"/>
        </w:rPr>
      </w:pPr>
      <w:r>
        <w:rPr>
          <w:rFonts w:hint="eastAsia" w:cs="仿宋" w:asciiTheme="minorEastAsia" w:hAnsiTheme="minorEastAsia" w:eastAsiaTheme="minorEastAsia"/>
          <w:color w:val="auto"/>
        </w:rPr>
        <w:t>4.教师挂职锻炼</w:t>
      </w:r>
    </w:p>
    <w:p w14:paraId="03FBEDD2">
      <w:pPr>
        <w:pStyle w:val="9"/>
        <w:spacing w:line="360" w:lineRule="auto"/>
        <w:ind w:firstLine="480" w:firstLineChars="200"/>
        <w:rPr>
          <w:rFonts w:cs="仿宋" w:asciiTheme="minorEastAsia" w:hAnsiTheme="minorEastAsia" w:eastAsiaTheme="minorEastAsia"/>
          <w:color w:val="auto"/>
        </w:rPr>
      </w:pPr>
      <w:r>
        <w:rPr>
          <w:rFonts w:hint="eastAsia" w:cs="仿宋" w:asciiTheme="minorEastAsia" w:hAnsiTheme="minorEastAsia" w:eastAsiaTheme="minorEastAsia"/>
          <w:color w:val="auto"/>
        </w:rPr>
        <w:t>在服务期内，供应商为校内教师提供不少于5人次，单次不少于1个月的挂职锻炼机会。</w:t>
      </w:r>
    </w:p>
    <w:p w14:paraId="01C37774">
      <w:pPr>
        <w:widowControl w:val="0"/>
        <w:spacing w:line="242" w:lineRule="auto"/>
        <w:rPr>
          <w:rFonts w:hint="eastAsia" w:eastAsiaTheme="minorEastAsia"/>
          <w:color w:val="auto"/>
          <w:lang w:eastAsia="zh-CN"/>
        </w:rPr>
      </w:pPr>
    </w:p>
    <w:p w14:paraId="4E0E8BD7">
      <w:pPr>
        <w:pStyle w:val="9"/>
        <w:spacing w:line="360" w:lineRule="auto"/>
        <w:ind w:firstLine="482" w:firstLineChars="200"/>
        <w:rPr>
          <w:rFonts w:cs="仿宋" w:asciiTheme="minorEastAsia" w:hAnsiTheme="minorEastAsia" w:eastAsiaTheme="minorEastAsia"/>
          <w:b/>
          <w:color w:val="auto"/>
        </w:rPr>
      </w:pPr>
      <w:r>
        <w:rPr>
          <w:rFonts w:hint="eastAsia" w:cs="仿宋" w:asciiTheme="minorEastAsia" w:hAnsiTheme="minorEastAsia" w:eastAsiaTheme="minorEastAsia"/>
          <w:b/>
          <w:color w:val="auto"/>
        </w:rPr>
        <w:t>注：以上技术参数要求为实质性条款，投标人须完全响应；否则视为无效响应。</w:t>
      </w:r>
    </w:p>
    <w:p w14:paraId="65A0BEF2"/>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929A5FA"/>
    <w:multiLevelType w:val="singleLevel"/>
    <w:tmpl w:val="A929A5FA"/>
    <w:lvl w:ilvl="0" w:tentative="0">
      <w:start w:val="6"/>
      <w:numFmt w:val="decimal"/>
      <w:suff w:val="nothing"/>
      <w:lvlText w:val="%1、"/>
      <w:lvlJc w:val="left"/>
    </w:lvl>
  </w:abstractNum>
  <w:abstractNum w:abstractNumId="1">
    <w:nsid w:val="AE2E6709"/>
    <w:multiLevelType w:val="singleLevel"/>
    <w:tmpl w:val="AE2E6709"/>
    <w:lvl w:ilvl="0" w:tentative="0">
      <w:start w:val="1"/>
      <w:numFmt w:val="decimal"/>
      <w:suff w:val="nothing"/>
      <w:lvlText w:val="%1、"/>
      <w:lvlJc w:val="left"/>
    </w:lvl>
  </w:abstractNum>
  <w:abstractNum w:abstractNumId="2">
    <w:nsid w:val="C6DC3CB4"/>
    <w:multiLevelType w:val="singleLevel"/>
    <w:tmpl w:val="C6DC3CB4"/>
    <w:lvl w:ilvl="0" w:tentative="0">
      <w:start w:val="2"/>
      <w:numFmt w:val="decimal"/>
      <w:lvlText w:val="%1."/>
      <w:lvlJc w:val="left"/>
      <w:pPr>
        <w:tabs>
          <w:tab w:val="left" w:pos="312"/>
        </w:tabs>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E6A12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Normal Indent"/>
    <w:basedOn w:val="1"/>
    <w:qFormat/>
    <w:uiPriority w:val="0"/>
    <w:pPr>
      <w:widowControl w:val="0"/>
      <w:kinsoku/>
      <w:autoSpaceDE/>
      <w:autoSpaceDN/>
      <w:adjustRightInd/>
      <w:snapToGrid/>
      <w:ind w:firstLine="420" w:firstLineChars="200"/>
      <w:jc w:val="both"/>
      <w:textAlignment w:val="auto"/>
    </w:pPr>
    <w:rPr>
      <w:rFonts w:ascii="Times New Roman" w:hAnsi="Times New Roman" w:eastAsia="宋体" w:cs="Times New Roman"/>
      <w:snapToGrid/>
      <w:color w:val="auto"/>
      <w:kern w:val="2"/>
      <w:szCs w:val="24"/>
      <w:lang w:eastAsia="zh-CN"/>
    </w:rPr>
  </w:style>
  <w:style w:type="paragraph" w:styleId="3">
    <w:name w:val="footer"/>
    <w:basedOn w:val="1"/>
    <w:qFormat/>
    <w:uiPriority w:val="0"/>
    <w:pPr>
      <w:tabs>
        <w:tab w:val="center" w:pos="4153"/>
        <w:tab w:val="right" w:pos="8306"/>
      </w:tabs>
    </w:pPr>
    <w:rPr>
      <w:sz w:val="18"/>
    </w:rPr>
  </w:style>
  <w:style w:type="paragraph" w:styleId="4">
    <w:name w:val="Normal (Web)"/>
    <w:basedOn w:val="1"/>
    <w:qFormat/>
    <w:uiPriority w:val="0"/>
    <w:pPr>
      <w:spacing w:before="100" w:beforeAutospacing="1" w:after="100" w:afterAutospacing="1"/>
    </w:pPr>
    <w:rPr>
      <w:rFonts w:ascii="宋体" w:hAnsi="宋体" w:eastAsia="宋体" w:cs="宋体"/>
      <w:sz w:val="24"/>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annotation reference"/>
    <w:unhideWhenUsed/>
    <w:qFormat/>
    <w:uiPriority w:val="0"/>
    <w:rPr>
      <w:sz w:val="21"/>
      <w:szCs w:val="21"/>
    </w:rPr>
  </w:style>
  <w:style w:type="paragraph" w:customStyle="1" w:styleId="9">
    <w:name w:val="Default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2026-06-18T03:48:24Z</dcterms:created>
  <dc:creator>AL</dc:creator>
  <cp:lastModifiedBy>AL</cp:lastModifiedBy>
  <dcterms:modified xsi:type="dcterms:W3CDTF">2026-06-18T03:48:34Z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eyJoZGlkIjoiOTNjYzk4ZTdiYzE4MDU3OGZlNzkxMjM1NjI1YzRjYzQiLCJ1c2VySWQiOiI1NDQ4NjM5MjEifQ==</vt:lpwstr>
  </property>
  <property fmtid="{D5CDD505-2E9C-101B-9397-08002B2CF9AE}" pid="4" name="ICV">
    <vt:lpwstr>9326805055924D07A5428722939AB02F_12</vt:lpwstr>
  </property>
</Properties>
</file>