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BBE6E">
      <w:pPr>
        <w:pStyle w:val="3"/>
        <w:spacing w:line="360" w:lineRule="auto"/>
        <w:rPr>
          <w:rFonts w:hint="eastAsia" w:cs="宋体"/>
          <w:color w:val="auto"/>
          <w:sz w:val="28"/>
          <w:szCs w:val="28"/>
          <w:lang w:val="en-US" w:eastAsia="zh-CN"/>
        </w:rPr>
      </w:pPr>
      <w:r>
        <w:rPr>
          <w:rFonts w:hint="eastAsia"/>
          <w:b/>
          <w:bCs/>
          <w:sz w:val="32"/>
          <w:szCs w:val="32"/>
          <w:lang w:val="en-US" w:eastAsia="zh-CN"/>
        </w:rPr>
        <w:t>二、技术要求</w:t>
      </w:r>
    </w:p>
    <w:p w14:paraId="67E6BC5F">
      <w:pPr>
        <w:widowControl/>
        <w:spacing w:line="360" w:lineRule="auto"/>
        <w:rPr>
          <w:rFonts w:hint="eastAsia"/>
          <w:b/>
          <w:bCs/>
          <w:color w:val="000000"/>
          <w:sz w:val="28"/>
          <w:szCs w:val="28"/>
          <w:lang w:val="en-US" w:eastAsia="zh-CN"/>
        </w:rPr>
      </w:pPr>
      <w:r>
        <w:rPr>
          <w:rFonts w:hint="eastAsia"/>
          <w:b/>
          <w:bCs/>
          <w:color w:val="000000"/>
          <w:sz w:val="28"/>
          <w:szCs w:val="28"/>
          <w:lang w:val="en-US" w:eastAsia="zh-CN"/>
        </w:rPr>
        <w:t>（一）骨灰盒品种及价格范围</w:t>
      </w:r>
    </w:p>
    <w:tbl>
      <w:tblPr>
        <w:tblStyle w:val="7"/>
        <w:tblpPr w:leftFromText="180" w:rightFromText="180" w:vertAnchor="text" w:horzAnchor="page" w:tblpX="905" w:tblpY="531"/>
        <w:tblW w:w="99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56"/>
        <w:gridCol w:w="889"/>
        <w:gridCol w:w="1209"/>
        <w:gridCol w:w="1572"/>
        <w:gridCol w:w="2984"/>
        <w:gridCol w:w="1286"/>
      </w:tblGrid>
      <w:tr w14:paraId="5D22E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056" w:type="dxa"/>
            <w:noWrap w:val="0"/>
            <w:vAlign w:val="center"/>
          </w:tcPr>
          <w:p w14:paraId="34306A60">
            <w:pPr>
              <w:ind w:firstLine="440" w:firstLineChars="200"/>
              <w:rPr>
                <w:rFonts w:hint="eastAsia"/>
                <w:lang w:val="en-US" w:eastAsia="zh-CN"/>
              </w:rPr>
            </w:pPr>
            <w:r>
              <w:rPr>
                <w:rFonts w:hint="eastAsia"/>
                <w:lang w:val="en-US" w:eastAsia="zh-CN"/>
              </w:rPr>
              <w:t>种类（档次）</w:t>
            </w:r>
          </w:p>
        </w:tc>
        <w:tc>
          <w:tcPr>
            <w:tcW w:w="889" w:type="dxa"/>
            <w:noWrap w:val="0"/>
            <w:vAlign w:val="center"/>
          </w:tcPr>
          <w:p w14:paraId="47D49CF3">
            <w:pPr>
              <w:rPr>
                <w:rFonts w:hint="eastAsia"/>
                <w:lang w:val="en-US" w:eastAsia="zh-CN"/>
              </w:rPr>
            </w:pPr>
            <w:r>
              <w:rPr>
                <w:rFonts w:hint="eastAsia"/>
                <w:lang w:val="en-US" w:eastAsia="zh-CN"/>
              </w:rPr>
              <w:t>类别</w:t>
            </w:r>
          </w:p>
        </w:tc>
        <w:tc>
          <w:tcPr>
            <w:tcW w:w="1209" w:type="dxa"/>
            <w:noWrap w:val="0"/>
            <w:vAlign w:val="center"/>
          </w:tcPr>
          <w:p w14:paraId="1BEE847A">
            <w:pPr>
              <w:rPr>
                <w:rFonts w:hint="eastAsia"/>
                <w:lang w:val="en-US" w:eastAsia="zh-CN"/>
              </w:rPr>
            </w:pPr>
            <w:r>
              <w:rPr>
                <w:rFonts w:hint="eastAsia"/>
                <w:lang w:val="en-US" w:eastAsia="zh-CN"/>
              </w:rPr>
              <w:t>单价（元/个）</w:t>
            </w:r>
          </w:p>
        </w:tc>
        <w:tc>
          <w:tcPr>
            <w:tcW w:w="1572" w:type="dxa"/>
            <w:noWrap w:val="0"/>
            <w:vAlign w:val="center"/>
          </w:tcPr>
          <w:p w14:paraId="17316335">
            <w:pPr>
              <w:jc w:val="center"/>
              <w:rPr>
                <w:rFonts w:hint="eastAsia"/>
                <w:lang w:val="en-US" w:eastAsia="zh-CN"/>
              </w:rPr>
            </w:pPr>
            <w:r>
              <w:rPr>
                <w:rFonts w:hint="eastAsia"/>
                <w:lang w:val="en-US" w:eastAsia="zh-CN"/>
              </w:rPr>
              <w:t>选取款式的数量（款）</w:t>
            </w:r>
          </w:p>
        </w:tc>
        <w:tc>
          <w:tcPr>
            <w:tcW w:w="2984" w:type="dxa"/>
            <w:noWrap w:val="0"/>
            <w:vAlign w:val="center"/>
          </w:tcPr>
          <w:p w14:paraId="7250301B">
            <w:pPr>
              <w:jc w:val="center"/>
              <w:rPr>
                <w:rFonts w:hint="eastAsia"/>
                <w:lang w:val="en-US" w:eastAsia="zh-CN"/>
              </w:rPr>
            </w:pPr>
            <w:r>
              <w:rPr>
                <w:rFonts w:hint="eastAsia"/>
                <w:lang w:val="en-US" w:eastAsia="zh-CN"/>
              </w:rPr>
              <w:t>材质</w:t>
            </w:r>
          </w:p>
        </w:tc>
        <w:tc>
          <w:tcPr>
            <w:tcW w:w="1286" w:type="dxa"/>
            <w:noWrap w:val="0"/>
            <w:vAlign w:val="center"/>
          </w:tcPr>
          <w:p w14:paraId="112791C5">
            <w:pPr>
              <w:jc w:val="center"/>
              <w:rPr>
                <w:rFonts w:hint="default"/>
                <w:lang w:val="en-US" w:eastAsia="zh-CN"/>
              </w:rPr>
            </w:pPr>
            <w:r>
              <w:rPr>
                <w:rFonts w:hint="eastAsia"/>
                <w:lang w:val="en-US" w:eastAsia="zh-CN"/>
              </w:rPr>
              <w:t>备注</w:t>
            </w:r>
          </w:p>
        </w:tc>
      </w:tr>
      <w:tr w14:paraId="584AE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trPr>
        <w:tc>
          <w:tcPr>
            <w:tcW w:w="2056" w:type="dxa"/>
            <w:noWrap w:val="0"/>
            <w:vAlign w:val="center"/>
          </w:tcPr>
          <w:p w14:paraId="6F0106BB">
            <w:pPr>
              <w:jc w:val="center"/>
              <w:rPr>
                <w:rFonts w:hint="eastAsia"/>
                <w:b/>
                <w:bCs/>
                <w:lang w:val="en-US" w:eastAsia="zh-CN"/>
              </w:rPr>
            </w:pPr>
            <w:r>
              <w:rPr>
                <w:rFonts w:hint="eastAsia"/>
                <w:b/>
                <w:bCs/>
                <w:lang w:val="en-US" w:eastAsia="zh-CN"/>
              </w:rPr>
              <w:t>A类惠民款骨灰盒</w:t>
            </w:r>
          </w:p>
        </w:tc>
        <w:tc>
          <w:tcPr>
            <w:tcW w:w="889" w:type="dxa"/>
            <w:noWrap w:val="0"/>
            <w:vAlign w:val="center"/>
          </w:tcPr>
          <w:p w14:paraId="4DEA3C7D">
            <w:pPr>
              <w:jc w:val="center"/>
              <w:rPr>
                <w:rFonts w:hint="eastAsia"/>
                <w:lang w:val="en-US" w:eastAsia="zh-CN"/>
              </w:rPr>
            </w:pPr>
            <w:r>
              <w:rPr>
                <w:rFonts w:hint="eastAsia"/>
                <w:lang w:val="en-US" w:eastAsia="zh-CN"/>
              </w:rPr>
              <w:t>A1</w:t>
            </w:r>
          </w:p>
        </w:tc>
        <w:tc>
          <w:tcPr>
            <w:tcW w:w="1209" w:type="dxa"/>
            <w:noWrap w:val="0"/>
            <w:vAlign w:val="center"/>
          </w:tcPr>
          <w:p w14:paraId="184CFB21">
            <w:pPr>
              <w:jc w:val="center"/>
              <w:rPr>
                <w:rFonts w:hint="default"/>
                <w:lang w:val="en-US" w:eastAsia="zh-CN"/>
              </w:rPr>
            </w:pPr>
            <w:r>
              <w:rPr>
                <w:rFonts w:hint="eastAsia"/>
                <w:lang w:val="en-US" w:eastAsia="zh-CN"/>
              </w:rPr>
              <w:t>320</w:t>
            </w:r>
          </w:p>
        </w:tc>
        <w:tc>
          <w:tcPr>
            <w:tcW w:w="1572" w:type="dxa"/>
            <w:noWrap w:val="0"/>
            <w:vAlign w:val="center"/>
          </w:tcPr>
          <w:p w14:paraId="065583D4">
            <w:pPr>
              <w:jc w:val="center"/>
              <w:rPr>
                <w:rFonts w:hint="eastAsia"/>
                <w:lang w:val="en-US" w:eastAsia="zh-CN"/>
              </w:rPr>
            </w:pPr>
            <w:r>
              <w:rPr>
                <w:rFonts w:hint="eastAsia"/>
                <w:lang w:val="en-US" w:eastAsia="zh-CN"/>
              </w:rPr>
              <w:t>4</w:t>
            </w:r>
          </w:p>
        </w:tc>
        <w:tc>
          <w:tcPr>
            <w:tcW w:w="2984" w:type="dxa"/>
            <w:noWrap w:val="0"/>
            <w:vAlign w:val="center"/>
          </w:tcPr>
          <w:p w14:paraId="517C2D14">
            <w:pPr>
              <w:spacing w:line="360" w:lineRule="auto"/>
              <w:jc w:val="left"/>
              <w:rPr>
                <w:rFonts w:hint="default"/>
                <w:lang w:val="en-US" w:eastAsia="zh-CN"/>
              </w:rPr>
            </w:pPr>
            <w:r>
              <w:rPr>
                <w:rFonts w:hint="eastAsia"/>
                <w:lang w:val="en-US" w:eastAsia="zh-CN"/>
              </w:rPr>
              <w:t>陶瓷：吸水率(执行GB/T3299-2011检验标准)；外观量符合或优于符合 GB/T13524.2-2018《陈设艺术瓷器：器皿瓷》标准。</w:t>
            </w:r>
          </w:p>
        </w:tc>
        <w:tc>
          <w:tcPr>
            <w:tcW w:w="1286" w:type="dxa"/>
            <w:noWrap w:val="0"/>
            <w:vAlign w:val="center"/>
          </w:tcPr>
          <w:p w14:paraId="08D5127C">
            <w:pPr>
              <w:jc w:val="center"/>
              <w:rPr>
                <w:rFonts w:hint="default"/>
                <w:lang w:val="en-US" w:eastAsia="zh-CN"/>
              </w:rPr>
            </w:pPr>
            <w:r>
              <w:rPr>
                <w:rFonts w:hint="eastAsia"/>
                <w:lang w:val="en-US" w:eastAsia="zh-CN"/>
              </w:rPr>
              <w:t>固定报价</w:t>
            </w:r>
          </w:p>
        </w:tc>
      </w:tr>
      <w:tr w14:paraId="5A21E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2056" w:type="dxa"/>
            <w:vMerge w:val="restart"/>
            <w:noWrap w:val="0"/>
            <w:vAlign w:val="center"/>
          </w:tcPr>
          <w:p w14:paraId="7381CD2E">
            <w:pPr>
              <w:jc w:val="center"/>
              <w:rPr>
                <w:rFonts w:hint="eastAsia"/>
                <w:b/>
                <w:bCs/>
                <w:lang w:val="en-US" w:eastAsia="zh-CN"/>
              </w:rPr>
            </w:pPr>
            <w:r>
              <w:rPr>
                <w:rFonts w:hint="eastAsia"/>
                <w:b/>
                <w:bCs/>
                <w:lang w:val="en-US" w:eastAsia="zh-CN"/>
              </w:rPr>
              <w:t>B类常规款骨灰盒</w:t>
            </w:r>
          </w:p>
        </w:tc>
        <w:tc>
          <w:tcPr>
            <w:tcW w:w="889" w:type="dxa"/>
            <w:vMerge w:val="restart"/>
            <w:noWrap w:val="0"/>
            <w:vAlign w:val="center"/>
          </w:tcPr>
          <w:p w14:paraId="4FAE3058">
            <w:pPr>
              <w:jc w:val="center"/>
              <w:rPr>
                <w:rFonts w:hint="default"/>
                <w:lang w:val="en-US" w:eastAsia="zh-CN"/>
              </w:rPr>
            </w:pPr>
            <w:r>
              <w:rPr>
                <w:rFonts w:hint="eastAsia"/>
                <w:lang w:val="en-US" w:eastAsia="zh-CN"/>
              </w:rPr>
              <w:t>B1</w:t>
            </w:r>
          </w:p>
        </w:tc>
        <w:tc>
          <w:tcPr>
            <w:tcW w:w="1209" w:type="dxa"/>
            <w:noWrap w:val="0"/>
            <w:vAlign w:val="center"/>
          </w:tcPr>
          <w:p w14:paraId="5BD0587D">
            <w:pPr>
              <w:jc w:val="center"/>
              <w:rPr>
                <w:rFonts w:hint="default"/>
                <w:lang w:val="en-US" w:eastAsia="zh-CN"/>
              </w:rPr>
            </w:pPr>
            <w:r>
              <w:rPr>
                <w:rFonts w:hint="eastAsia"/>
                <w:lang w:val="en-US" w:eastAsia="zh-CN"/>
              </w:rPr>
              <w:t>400</w:t>
            </w:r>
          </w:p>
        </w:tc>
        <w:tc>
          <w:tcPr>
            <w:tcW w:w="1572" w:type="dxa"/>
            <w:noWrap w:val="0"/>
            <w:vAlign w:val="center"/>
          </w:tcPr>
          <w:p w14:paraId="0E30F82D">
            <w:pPr>
              <w:jc w:val="center"/>
              <w:rPr>
                <w:rFonts w:hint="default"/>
                <w:lang w:val="en-US" w:eastAsia="zh-CN"/>
              </w:rPr>
            </w:pPr>
            <w:bookmarkStart w:id="0" w:name="OLE_LINK1"/>
            <w:r>
              <w:rPr>
                <w:rFonts w:hint="eastAsia"/>
                <w:lang w:val="en-US" w:eastAsia="zh-CN"/>
              </w:rPr>
              <w:t>1</w:t>
            </w:r>
            <w:bookmarkEnd w:id="0"/>
          </w:p>
        </w:tc>
        <w:tc>
          <w:tcPr>
            <w:tcW w:w="2984" w:type="dxa"/>
            <w:vMerge w:val="restart"/>
            <w:noWrap w:val="0"/>
            <w:vAlign w:val="center"/>
          </w:tcPr>
          <w:p w14:paraId="7E29E8C7">
            <w:pPr>
              <w:spacing w:line="360" w:lineRule="auto"/>
              <w:jc w:val="left"/>
              <w:rPr>
                <w:rFonts w:hint="eastAsia"/>
                <w:lang w:val="en-US" w:eastAsia="zh-CN"/>
              </w:rPr>
            </w:pPr>
            <w:r>
              <w:rPr>
                <w:rFonts w:hint="eastAsia"/>
                <w:lang w:val="en-US" w:eastAsia="zh-CN"/>
              </w:rPr>
              <w:t>陶瓷：吸水率(执行GB/T3299-2011检验标准)；外观质量符合或优于符合 GB/T13524.2-2018《陈设艺术瓷器 ：器皿瓷》标准。</w:t>
            </w:r>
          </w:p>
        </w:tc>
        <w:tc>
          <w:tcPr>
            <w:tcW w:w="1286" w:type="dxa"/>
            <w:noWrap w:val="0"/>
            <w:vAlign w:val="center"/>
          </w:tcPr>
          <w:p w14:paraId="65A34C4B">
            <w:pPr>
              <w:jc w:val="center"/>
              <w:rPr>
                <w:rFonts w:hint="default"/>
                <w:lang w:val="en-US" w:eastAsia="zh-CN"/>
              </w:rPr>
            </w:pPr>
          </w:p>
        </w:tc>
      </w:tr>
      <w:tr w14:paraId="2D75A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2056" w:type="dxa"/>
            <w:vMerge w:val="continue"/>
            <w:noWrap w:val="0"/>
            <w:vAlign w:val="center"/>
          </w:tcPr>
          <w:p w14:paraId="7D9DD8CF">
            <w:pPr>
              <w:jc w:val="center"/>
            </w:pPr>
          </w:p>
        </w:tc>
        <w:tc>
          <w:tcPr>
            <w:tcW w:w="889" w:type="dxa"/>
            <w:vMerge w:val="continue"/>
            <w:noWrap w:val="0"/>
            <w:vAlign w:val="center"/>
          </w:tcPr>
          <w:p w14:paraId="4221D67B">
            <w:pPr>
              <w:jc w:val="center"/>
            </w:pPr>
          </w:p>
        </w:tc>
        <w:tc>
          <w:tcPr>
            <w:tcW w:w="1209" w:type="dxa"/>
            <w:noWrap w:val="0"/>
            <w:vAlign w:val="center"/>
          </w:tcPr>
          <w:p w14:paraId="797758C0">
            <w:pPr>
              <w:jc w:val="center"/>
              <w:rPr>
                <w:rFonts w:hint="default"/>
                <w:lang w:val="en-US" w:eastAsia="zh-CN"/>
              </w:rPr>
            </w:pPr>
            <w:r>
              <w:rPr>
                <w:rFonts w:hint="eastAsia"/>
                <w:lang w:val="en-US" w:eastAsia="zh-CN"/>
              </w:rPr>
              <w:t>500</w:t>
            </w:r>
          </w:p>
        </w:tc>
        <w:tc>
          <w:tcPr>
            <w:tcW w:w="1572" w:type="dxa"/>
            <w:noWrap w:val="0"/>
            <w:vAlign w:val="center"/>
          </w:tcPr>
          <w:p w14:paraId="16CE825F">
            <w:pPr>
              <w:jc w:val="center"/>
              <w:rPr>
                <w:rFonts w:hint="eastAsia"/>
                <w:lang w:val="en-US" w:eastAsia="zh-CN"/>
              </w:rPr>
            </w:pPr>
            <w:r>
              <w:rPr>
                <w:rFonts w:hint="eastAsia"/>
                <w:lang w:val="en-US" w:eastAsia="zh-CN"/>
              </w:rPr>
              <w:t>1</w:t>
            </w:r>
          </w:p>
        </w:tc>
        <w:tc>
          <w:tcPr>
            <w:tcW w:w="2984" w:type="dxa"/>
            <w:vMerge w:val="continue"/>
            <w:noWrap w:val="0"/>
            <w:vAlign w:val="center"/>
          </w:tcPr>
          <w:p w14:paraId="4A58043E">
            <w:pPr>
              <w:spacing w:line="360" w:lineRule="auto"/>
              <w:jc w:val="left"/>
              <w:rPr>
                <w:rFonts w:hint="eastAsia"/>
                <w:lang w:val="en-US" w:eastAsia="zh-CN"/>
              </w:rPr>
            </w:pPr>
          </w:p>
        </w:tc>
        <w:tc>
          <w:tcPr>
            <w:tcW w:w="1286" w:type="dxa"/>
            <w:noWrap w:val="0"/>
            <w:vAlign w:val="center"/>
          </w:tcPr>
          <w:p w14:paraId="648B3F15">
            <w:pPr>
              <w:jc w:val="center"/>
              <w:rPr>
                <w:rFonts w:hint="eastAsia"/>
                <w:lang w:val="en-US" w:eastAsia="zh-CN"/>
              </w:rPr>
            </w:pPr>
          </w:p>
        </w:tc>
      </w:tr>
      <w:tr w14:paraId="2EF83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056" w:type="dxa"/>
            <w:vMerge w:val="continue"/>
            <w:noWrap w:val="0"/>
            <w:vAlign w:val="center"/>
          </w:tcPr>
          <w:p w14:paraId="122406AB">
            <w:pPr>
              <w:jc w:val="center"/>
              <w:rPr>
                <w:rFonts w:hint="eastAsia"/>
                <w:lang w:val="en-US" w:eastAsia="zh-CN"/>
              </w:rPr>
            </w:pPr>
          </w:p>
        </w:tc>
        <w:tc>
          <w:tcPr>
            <w:tcW w:w="889" w:type="dxa"/>
            <w:vMerge w:val="continue"/>
            <w:noWrap w:val="0"/>
            <w:vAlign w:val="center"/>
          </w:tcPr>
          <w:p w14:paraId="56080D9A">
            <w:pPr>
              <w:jc w:val="center"/>
              <w:rPr>
                <w:rFonts w:hint="eastAsia"/>
                <w:lang w:val="en-US" w:eastAsia="zh-CN"/>
              </w:rPr>
            </w:pPr>
          </w:p>
        </w:tc>
        <w:tc>
          <w:tcPr>
            <w:tcW w:w="1209" w:type="dxa"/>
            <w:noWrap w:val="0"/>
            <w:vAlign w:val="center"/>
          </w:tcPr>
          <w:p w14:paraId="3700C8DB">
            <w:pPr>
              <w:jc w:val="center"/>
              <w:rPr>
                <w:rFonts w:hint="default"/>
                <w:lang w:val="en-US" w:eastAsia="zh-CN"/>
              </w:rPr>
            </w:pPr>
            <w:r>
              <w:rPr>
                <w:rFonts w:hint="eastAsia"/>
                <w:lang w:val="en-US" w:eastAsia="zh-CN"/>
              </w:rPr>
              <w:t>600</w:t>
            </w:r>
          </w:p>
        </w:tc>
        <w:tc>
          <w:tcPr>
            <w:tcW w:w="1572" w:type="dxa"/>
            <w:noWrap w:val="0"/>
            <w:vAlign w:val="center"/>
          </w:tcPr>
          <w:p w14:paraId="631763A3">
            <w:pPr>
              <w:jc w:val="center"/>
              <w:rPr>
                <w:rFonts w:hint="eastAsia"/>
                <w:lang w:val="en-US" w:eastAsia="zh-CN"/>
              </w:rPr>
            </w:pPr>
            <w:r>
              <w:rPr>
                <w:rFonts w:hint="eastAsia"/>
                <w:lang w:val="en-US" w:eastAsia="zh-CN"/>
              </w:rPr>
              <w:t>1</w:t>
            </w:r>
          </w:p>
        </w:tc>
        <w:tc>
          <w:tcPr>
            <w:tcW w:w="2984" w:type="dxa"/>
            <w:vMerge w:val="continue"/>
            <w:noWrap w:val="0"/>
            <w:vAlign w:val="center"/>
          </w:tcPr>
          <w:p w14:paraId="7040E206">
            <w:pPr>
              <w:spacing w:line="360" w:lineRule="auto"/>
              <w:jc w:val="left"/>
              <w:rPr>
                <w:rFonts w:hint="eastAsia"/>
                <w:lang w:val="en-US" w:eastAsia="zh-CN"/>
              </w:rPr>
            </w:pPr>
          </w:p>
        </w:tc>
        <w:tc>
          <w:tcPr>
            <w:tcW w:w="1286" w:type="dxa"/>
            <w:noWrap w:val="0"/>
            <w:vAlign w:val="center"/>
          </w:tcPr>
          <w:p w14:paraId="21154F87">
            <w:pPr>
              <w:jc w:val="center"/>
              <w:rPr>
                <w:rFonts w:hint="default"/>
                <w:lang w:val="en-US" w:eastAsia="zh-CN"/>
              </w:rPr>
            </w:pPr>
          </w:p>
        </w:tc>
      </w:tr>
      <w:tr w14:paraId="3B3EC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2056" w:type="dxa"/>
            <w:vMerge w:val="continue"/>
            <w:noWrap w:val="0"/>
            <w:vAlign w:val="center"/>
          </w:tcPr>
          <w:p w14:paraId="43BFBAE1">
            <w:pPr>
              <w:jc w:val="center"/>
              <w:rPr>
                <w:rFonts w:hint="eastAsia"/>
                <w:lang w:val="en-US" w:eastAsia="zh-CN"/>
              </w:rPr>
            </w:pPr>
          </w:p>
        </w:tc>
        <w:tc>
          <w:tcPr>
            <w:tcW w:w="889" w:type="dxa"/>
            <w:vMerge w:val="restart"/>
            <w:noWrap w:val="0"/>
            <w:vAlign w:val="center"/>
          </w:tcPr>
          <w:p w14:paraId="503725A0">
            <w:pPr>
              <w:jc w:val="center"/>
              <w:rPr>
                <w:rFonts w:hint="default"/>
                <w:lang w:val="en-US" w:eastAsia="zh-CN"/>
              </w:rPr>
            </w:pPr>
            <w:r>
              <w:rPr>
                <w:rFonts w:hint="eastAsia"/>
                <w:lang w:val="en-US" w:eastAsia="zh-CN"/>
              </w:rPr>
              <w:t>B2</w:t>
            </w:r>
          </w:p>
        </w:tc>
        <w:tc>
          <w:tcPr>
            <w:tcW w:w="1209" w:type="dxa"/>
            <w:noWrap w:val="0"/>
            <w:vAlign w:val="center"/>
          </w:tcPr>
          <w:p w14:paraId="651371DA">
            <w:pPr>
              <w:jc w:val="center"/>
              <w:rPr>
                <w:rFonts w:hint="eastAsia"/>
                <w:lang w:val="en-US" w:eastAsia="zh-CN"/>
              </w:rPr>
            </w:pPr>
            <w:r>
              <w:rPr>
                <w:rFonts w:hint="eastAsia"/>
                <w:lang w:val="en-US" w:eastAsia="zh-CN"/>
              </w:rPr>
              <w:t>400</w:t>
            </w:r>
          </w:p>
        </w:tc>
        <w:tc>
          <w:tcPr>
            <w:tcW w:w="1572" w:type="dxa"/>
            <w:noWrap w:val="0"/>
            <w:vAlign w:val="center"/>
          </w:tcPr>
          <w:p w14:paraId="3FB2EDD1">
            <w:pPr>
              <w:jc w:val="center"/>
              <w:rPr>
                <w:rFonts w:hint="eastAsia"/>
                <w:lang w:val="en-US" w:eastAsia="zh-CN"/>
              </w:rPr>
            </w:pPr>
            <w:r>
              <w:rPr>
                <w:rFonts w:hint="eastAsia"/>
                <w:lang w:val="en-US" w:eastAsia="zh-CN"/>
              </w:rPr>
              <w:t>1</w:t>
            </w:r>
          </w:p>
        </w:tc>
        <w:tc>
          <w:tcPr>
            <w:tcW w:w="2984" w:type="dxa"/>
            <w:vMerge w:val="restart"/>
            <w:noWrap w:val="0"/>
            <w:vAlign w:val="center"/>
          </w:tcPr>
          <w:p w14:paraId="58508CFD">
            <w:pPr>
              <w:spacing w:line="360" w:lineRule="auto"/>
              <w:jc w:val="left"/>
              <w:rPr>
                <w:rFonts w:hint="eastAsia"/>
                <w:lang w:val="en-US" w:eastAsia="zh-CN"/>
              </w:rPr>
            </w:pPr>
            <w:r>
              <w:rPr>
                <w:rFonts w:hint="eastAsia"/>
                <w:lang w:val="en-US" w:eastAsia="zh-CN"/>
              </w:rPr>
              <w:t>水晶：树脂，单个骨灰盒合成材料模具成型不粘接。</w:t>
            </w:r>
          </w:p>
        </w:tc>
        <w:tc>
          <w:tcPr>
            <w:tcW w:w="1286" w:type="dxa"/>
            <w:noWrap w:val="0"/>
            <w:vAlign w:val="center"/>
          </w:tcPr>
          <w:p w14:paraId="7271BC49">
            <w:pPr>
              <w:jc w:val="center"/>
              <w:rPr>
                <w:rFonts w:hint="eastAsia"/>
                <w:lang w:val="en-US" w:eastAsia="zh-CN"/>
              </w:rPr>
            </w:pPr>
          </w:p>
        </w:tc>
      </w:tr>
      <w:tr w14:paraId="4A7E2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056" w:type="dxa"/>
            <w:vMerge w:val="continue"/>
            <w:noWrap w:val="0"/>
            <w:vAlign w:val="center"/>
          </w:tcPr>
          <w:p w14:paraId="6608A059">
            <w:pPr>
              <w:jc w:val="center"/>
              <w:rPr>
                <w:rFonts w:hint="eastAsia"/>
                <w:lang w:val="en-US" w:eastAsia="zh-CN"/>
              </w:rPr>
            </w:pPr>
          </w:p>
        </w:tc>
        <w:tc>
          <w:tcPr>
            <w:tcW w:w="889" w:type="dxa"/>
            <w:vMerge w:val="continue"/>
            <w:noWrap w:val="0"/>
            <w:vAlign w:val="center"/>
          </w:tcPr>
          <w:p w14:paraId="4DE9BB71">
            <w:pPr>
              <w:jc w:val="center"/>
              <w:rPr>
                <w:rFonts w:hint="eastAsia"/>
                <w:lang w:val="en-US" w:eastAsia="zh-CN"/>
              </w:rPr>
            </w:pPr>
          </w:p>
        </w:tc>
        <w:tc>
          <w:tcPr>
            <w:tcW w:w="1209" w:type="dxa"/>
            <w:noWrap w:val="0"/>
            <w:vAlign w:val="center"/>
          </w:tcPr>
          <w:p w14:paraId="00E2CB47">
            <w:pPr>
              <w:jc w:val="center"/>
              <w:rPr>
                <w:rFonts w:hint="eastAsia"/>
                <w:lang w:val="en-US" w:eastAsia="zh-CN"/>
              </w:rPr>
            </w:pPr>
            <w:r>
              <w:rPr>
                <w:rFonts w:hint="eastAsia"/>
                <w:lang w:val="en-US" w:eastAsia="zh-CN"/>
              </w:rPr>
              <w:t>500</w:t>
            </w:r>
          </w:p>
        </w:tc>
        <w:tc>
          <w:tcPr>
            <w:tcW w:w="1572" w:type="dxa"/>
            <w:noWrap w:val="0"/>
            <w:vAlign w:val="center"/>
          </w:tcPr>
          <w:p w14:paraId="4B2B86B9">
            <w:pPr>
              <w:jc w:val="center"/>
              <w:rPr>
                <w:rFonts w:hint="eastAsia"/>
                <w:lang w:val="en-US" w:eastAsia="zh-CN"/>
              </w:rPr>
            </w:pPr>
            <w:r>
              <w:rPr>
                <w:rFonts w:hint="eastAsia"/>
                <w:lang w:val="en-US" w:eastAsia="zh-CN"/>
              </w:rPr>
              <w:t>1</w:t>
            </w:r>
          </w:p>
        </w:tc>
        <w:tc>
          <w:tcPr>
            <w:tcW w:w="2984" w:type="dxa"/>
            <w:vMerge w:val="continue"/>
            <w:noWrap w:val="0"/>
            <w:vAlign w:val="center"/>
          </w:tcPr>
          <w:p w14:paraId="42E6B3B5">
            <w:pPr>
              <w:spacing w:line="360" w:lineRule="auto"/>
              <w:jc w:val="left"/>
              <w:rPr>
                <w:rFonts w:hint="eastAsia"/>
                <w:lang w:val="en-US" w:eastAsia="zh-CN"/>
              </w:rPr>
            </w:pPr>
          </w:p>
        </w:tc>
        <w:tc>
          <w:tcPr>
            <w:tcW w:w="1286" w:type="dxa"/>
            <w:noWrap w:val="0"/>
            <w:vAlign w:val="center"/>
          </w:tcPr>
          <w:p w14:paraId="63E3F845">
            <w:pPr>
              <w:jc w:val="center"/>
              <w:rPr>
                <w:rFonts w:hint="default"/>
                <w:lang w:val="en-US" w:eastAsia="zh-CN"/>
              </w:rPr>
            </w:pPr>
          </w:p>
        </w:tc>
      </w:tr>
      <w:tr w14:paraId="01259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2056" w:type="dxa"/>
            <w:vMerge w:val="continue"/>
            <w:noWrap w:val="0"/>
            <w:vAlign w:val="center"/>
          </w:tcPr>
          <w:p w14:paraId="2048D398">
            <w:pPr>
              <w:jc w:val="center"/>
              <w:rPr>
                <w:rFonts w:hint="eastAsia"/>
                <w:lang w:val="en-US" w:eastAsia="zh-CN"/>
              </w:rPr>
            </w:pPr>
          </w:p>
        </w:tc>
        <w:tc>
          <w:tcPr>
            <w:tcW w:w="889" w:type="dxa"/>
            <w:vMerge w:val="continue"/>
            <w:noWrap w:val="0"/>
            <w:vAlign w:val="center"/>
          </w:tcPr>
          <w:p w14:paraId="5C2B1AF1">
            <w:pPr>
              <w:jc w:val="center"/>
              <w:rPr>
                <w:rFonts w:hint="eastAsia"/>
                <w:lang w:val="en-US" w:eastAsia="zh-CN"/>
              </w:rPr>
            </w:pPr>
          </w:p>
        </w:tc>
        <w:tc>
          <w:tcPr>
            <w:tcW w:w="1209" w:type="dxa"/>
            <w:noWrap w:val="0"/>
            <w:vAlign w:val="center"/>
          </w:tcPr>
          <w:p w14:paraId="3BAF97E3">
            <w:pPr>
              <w:jc w:val="center"/>
              <w:rPr>
                <w:rFonts w:hint="eastAsia"/>
                <w:lang w:val="en-US" w:eastAsia="zh-CN"/>
              </w:rPr>
            </w:pPr>
            <w:r>
              <w:rPr>
                <w:rFonts w:hint="eastAsia"/>
                <w:lang w:val="en-US" w:eastAsia="zh-CN"/>
              </w:rPr>
              <w:t>600</w:t>
            </w:r>
          </w:p>
        </w:tc>
        <w:tc>
          <w:tcPr>
            <w:tcW w:w="1572" w:type="dxa"/>
            <w:noWrap w:val="0"/>
            <w:vAlign w:val="center"/>
          </w:tcPr>
          <w:p w14:paraId="3D81E8FE">
            <w:pPr>
              <w:jc w:val="center"/>
              <w:rPr>
                <w:rFonts w:hint="eastAsia"/>
                <w:lang w:val="en-US" w:eastAsia="zh-CN"/>
              </w:rPr>
            </w:pPr>
            <w:r>
              <w:rPr>
                <w:rFonts w:hint="eastAsia"/>
                <w:lang w:val="en-US" w:eastAsia="zh-CN"/>
              </w:rPr>
              <w:t>1</w:t>
            </w:r>
          </w:p>
        </w:tc>
        <w:tc>
          <w:tcPr>
            <w:tcW w:w="2984" w:type="dxa"/>
            <w:vMerge w:val="continue"/>
            <w:noWrap w:val="0"/>
            <w:vAlign w:val="center"/>
          </w:tcPr>
          <w:p w14:paraId="639E0BAE">
            <w:pPr>
              <w:spacing w:line="360" w:lineRule="auto"/>
              <w:jc w:val="left"/>
              <w:rPr>
                <w:rFonts w:hint="eastAsia"/>
                <w:lang w:val="en-US" w:eastAsia="zh-CN"/>
              </w:rPr>
            </w:pPr>
          </w:p>
        </w:tc>
        <w:tc>
          <w:tcPr>
            <w:tcW w:w="1286" w:type="dxa"/>
            <w:noWrap w:val="0"/>
            <w:vAlign w:val="center"/>
          </w:tcPr>
          <w:p w14:paraId="6D514D64">
            <w:pPr>
              <w:jc w:val="center"/>
              <w:rPr>
                <w:rFonts w:hint="eastAsia"/>
                <w:lang w:val="en-US" w:eastAsia="zh-CN"/>
              </w:rPr>
            </w:pPr>
          </w:p>
        </w:tc>
      </w:tr>
      <w:tr w14:paraId="2C037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2056" w:type="dxa"/>
            <w:vMerge w:val="restart"/>
            <w:noWrap w:val="0"/>
            <w:vAlign w:val="center"/>
          </w:tcPr>
          <w:p w14:paraId="73BCC765">
            <w:pPr>
              <w:jc w:val="center"/>
              <w:rPr>
                <w:rFonts w:hint="eastAsia"/>
                <w:b/>
                <w:bCs/>
                <w:lang w:val="en-US" w:eastAsia="zh-CN"/>
              </w:rPr>
            </w:pPr>
            <w:r>
              <w:rPr>
                <w:rFonts w:hint="eastAsia"/>
                <w:b/>
                <w:bCs/>
                <w:lang w:val="en-US" w:eastAsia="zh-CN"/>
              </w:rPr>
              <w:t>C类常规款骨灰盒</w:t>
            </w:r>
          </w:p>
        </w:tc>
        <w:tc>
          <w:tcPr>
            <w:tcW w:w="889" w:type="dxa"/>
            <w:vMerge w:val="restart"/>
            <w:noWrap w:val="0"/>
            <w:vAlign w:val="center"/>
          </w:tcPr>
          <w:p w14:paraId="5BAE0CD6">
            <w:pPr>
              <w:jc w:val="center"/>
              <w:rPr>
                <w:rFonts w:hint="default"/>
                <w:lang w:val="en-US" w:eastAsia="zh-CN"/>
              </w:rPr>
            </w:pPr>
            <w:r>
              <w:rPr>
                <w:rFonts w:hint="eastAsia"/>
                <w:lang w:val="en-US" w:eastAsia="zh-CN"/>
              </w:rPr>
              <w:t>C1</w:t>
            </w:r>
          </w:p>
        </w:tc>
        <w:tc>
          <w:tcPr>
            <w:tcW w:w="1209" w:type="dxa"/>
            <w:noWrap w:val="0"/>
            <w:vAlign w:val="center"/>
          </w:tcPr>
          <w:p w14:paraId="65133DFA">
            <w:pPr>
              <w:jc w:val="center"/>
              <w:rPr>
                <w:rFonts w:hint="default"/>
                <w:lang w:val="en-US" w:eastAsia="zh-CN"/>
              </w:rPr>
            </w:pPr>
            <w:r>
              <w:rPr>
                <w:rFonts w:hint="eastAsia"/>
                <w:lang w:val="en-US" w:eastAsia="zh-CN"/>
              </w:rPr>
              <w:t>700</w:t>
            </w:r>
          </w:p>
        </w:tc>
        <w:tc>
          <w:tcPr>
            <w:tcW w:w="1572" w:type="dxa"/>
            <w:noWrap w:val="0"/>
            <w:vAlign w:val="center"/>
          </w:tcPr>
          <w:p w14:paraId="40072B05">
            <w:pPr>
              <w:jc w:val="center"/>
              <w:rPr>
                <w:rFonts w:hint="eastAsia"/>
                <w:lang w:val="en-US" w:eastAsia="zh-CN"/>
              </w:rPr>
            </w:pPr>
            <w:r>
              <w:rPr>
                <w:rFonts w:hint="eastAsia"/>
                <w:lang w:val="en-US" w:eastAsia="zh-CN"/>
              </w:rPr>
              <w:t>1</w:t>
            </w:r>
          </w:p>
        </w:tc>
        <w:tc>
          <w:tcPr>
            <w:tcW w:w="2984" w:type="dxa"/>
            <w:vMerge w:val="restart"/>
            <w:shd w:val="clear" w:color="auto" w:fill="auto"/>
            <w:noWrap w:val="0"/>
            <w:vAlign w:val="center"/>
          </w:tcPr>
          <w:p w14:paraId="0EB22F40">
            <w:pPr>
              <w:spacing w:line="360" w:lineRule="auto"/>
              <w:jc w:val="left"/>
              <w:rPr>
                <w:rFonts w:hint="eastAsia"/>
                <w:lang w:val="en-US" w:eastAsia="zh-CN"/>
              </w:rPr>
            </w:pPr>
            <w:r>
              <w:rPr>
                <w:rFonts w:hint="eastAsia"/>
                <w:lang w:val="en-US" w:eastAsia="zh-CN"/>
              </w:rPr>
              <w:t>陶瓷：吸水率(执行GB/T3299-2011检验标准)，外观质量符合或优于符合 GB/T13524.2-2018《陈设艺术瓷器：器皿瓷》标准。</w:t>
            </w:r>
          </w:p>
        </w:tc>
        <w:tc>
          <w:tcPr>
            <w:tcW w:w="1286" w:type="dxa"/>
            <w:shd w:val="clear" w:color="auto" w:fill="auto"/>
            <w:noWrap w:val="0"/>
            <w:vAlign w:val="center"/>
          </w:tcPr>
          <w:p w14:paraId="0CECE838">
            <w:pPr>
              <w:jc w:val="center"/>
              <w:rPr>
                <w:rFonts w:hint="default"/>
                <w:lang w:val="en-US" w:eastAsia="zh-CN"/>
              </w:rPr>
            </w:pPr>
          </w:p>
        </w:tc>
      </w:tr>
      <w:tr w14:paraId="547BC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2056" w:type="dxa"/>
            <w:vMerge w:val="continue"/>
            <w:noWrap w:val="0"/>
            <w:vAlign w:val="center"/>
          </w:tcPr>
          <w:p w14:paraId="3BCBD429">
            <w:pPr>
              <w:jc w:val="center"/>
            </w:pPr>
          </w:p>
        </w:tc>
        <w:tc>
          <w:tcPr>
            <w:tcW w:w="889" w:type="dxa"/>
            <w:vMerge w:val="continue"/>
            <w:noWrap w:val="0"/>
            <w:vAlign w:val="center"/>
          </w:tcPr>
          <w:p w14:paraId="4236E6D5">
            <w:pPr>
              <w:jc w:val="center"/>
            </w:pPr>
          </w:p>
        </w:tc>
        <w:tc>
          <w:tcPr>
            <w:tcW w:w="1209" w:type="dxa"/>
            <w:noWrap w:val="0"/>
            <w:vAlign w:val="center"/>
          </w:tcPr>
          <w:p w14:paraId="6A718FBA">
            <w:pPr>
              <w:jc w:val="center"/>
              <w:rPr>
                <w:rFonts w:hint="default"/>
                <w:lang w:val="en-US" w:eastAsia="zh-CN"/>
              </w:rPr>
            </w:pPr>
            <w:r>
              <w:rPr>
                <w:rFonts w:hint="eastAsia"/>
                <w:lang w:val="en-US" w:eastAsia="zh-CN"/>
              </w:rPr>
              <w:t>800</w:t>
            </w:r>
          </w:p>
        </w:tc>
        <w:tc>
          <w:tcPr>
            <w:tcW w:w="1572" w:type="dxa"/>
            <w:noWrap w:val="0"/>
            <w:vAlign w:val="center"/>
          </w:tcPr>
          <w:p w14:paraId="66E491C0">
            <w:pPr>
              <w:jc w:val="center"/>
              <w:rPr>
                <w:rFonts w:hint="eastAsia"/>
                <w:lang w:val="en-US" w:eastAsia="zh-CN"/>
              </w:rPr>
            </w:pPr>
            <w:r>
              <w:rPr>
                <w:rFonts w:hint="eastAsia"/>
                <w:lang w:val="en-US" w:eastAsia="zh-CN"/>
              </w:rPr>
              <w:t>1</w:t>
            </w:r>
          </w:p>
        </w:tc>
        <w:tc>
          <w:tcPr>
            <w:tcW w:w="2984" w:type="dxa"/>
            <w:vMerge w:val="continue"/>
            <w:shd w:val="clear" w:color="auto" w:fill="auto"/>
            <w:noWrap w:val="0"/>
            <w:vAlign w:val="center"/>
          </w:tcPr>
          <w:p w14:paraId="6BD447EA">
            <w:pPr>
              <w:spacing w:line="360" w:lineRule="auto"/>
              <w:jc w:val="left"/>
              <w:rPr>
                <w:rFonts w:hint="eastAsia"/>
                <w:lang w:val="en-US" w:eastAsia="zh-CN"/>
              </w:rPr>
            </w:pPr>
          </w:p>
        </w:tc>
        <w:tc>
          <w:tcPr>
            <w:tcW w:w="1286" w:type="dxa"/>
            <w:shd w:val="clear" w:color="auto" w:fill="auto"/>
            <w:noWrap w:val="0"/>
            <w:vAlign w:val="center"/>
          </w:tcPr>
          <w:p w14:paraId="11693C86">
            <w:pPr>
              <w:jc w:val="center"/>
              <w:rPr>
                <w:rFonts w:hint="eastAsia"/>
                <w:lang w:val="en-US" w:eastAsia="zh-CN"/>
              </w:rPr>
            </w:pPr>
          </w:p>
        </w:tc>
      </w:tr>
      <w:tr w14:paraId="4038B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2056" w:type="dxa"/>
            <w:vMerge w:val="continue"/>
            <w:noWrap w:val="0"/>
            <w:vAlign w:val="center"/>
          </w:tcPr>
          <w:p w14:paraId="33D5902C">
            <w:pPr>
              <w:jc w:val="center"/>
              <w:rPr>
                <w:rFonts w:hint="eastAsia"/>
                <w:lang w:val="en-US" w:eastAsia="zh-CN"/>
              </w:rPr>
            </w:pPr>
          </w:p>
        </w:tc>
        <w:tc>
          <w:tcPr>
            <w:tcW w:w="889" w:type="dxa"/>
            <w:vMerge w:val="continue"/>
            <w:noWrap w:val="0"/>
            <w:vAlign w:val="center"/>
          </w:tcPr>
          <w:p w14:paraId="65A53A96">
            <w:pPr>
              <w:jc w:val="center"/>
              <w:rPr>
                <w:rFonts w:hint="eastAsia"/>
                <w:lang w:val="en-US" w:eastAsia="zh-CN"/>
              </w:rPr>
            </w:pPr>
          </w:p>
        </w:tc>
        <w:tc>
          <w:tcPr>
            <w:tcW w:w="1209" w:type="dxa"/>
            <w:noWrap w:val="0"/>
            <w:vAlign w:val="center"/>
          </w:tcPr>
          <w:p w14:paraId="641C78BC">
            <w:pPr>
              <w:jc w:val="center"/>
              <w:rPr>
                <w:rFonts w:hint="default"/>
                <w:lang w:val="en-US" w:eastAsia="zh-CN"/>
              </w:rPr>
            </w:pPr>
            <w:r>
              <w:rPr>
                <w:rFonts w:hint="eastAsia"/>
                <w:lang w:val="en-US" w:eastAsia="zh-CN"/>
              </w:rPr>
              <w:t>900</w:t>
            </w:r>
          </w:p>
        </w:tc>
        <w:tc>
          <w:tcPr>
            <w:tcW w:w="1572" w:type="dxa"/>
            <w:noWrap w:val="0"/>
            <w:vAlign w:val="center"/>
          </w:tcPr>
          <w:p w14:paraId="0AE4062D">
            <w:pPr>
              <w:jc w:val="center"/>
              <w:rPr>
                <w:rFonts w:hint="eastAsia"/>
                <w:lang w:val="en-US" w:eastAsia="zh-CN"/>
              </w:rPr>
            </w:pPr>
            <w:r>
              <w:rPr>
                <w:rFonts w:hint="eastAsia"/>
                <w:lang w:val="en-US" w:eastAsia="zh-CN"/>
              </w:rPr>
              <w:t>1</w:t>
            </w:r>
          </w:p>
        </w:tc>
        <w:tc>
          <w:tcPr>
            <w:tcW w:w="2984" w:type="dxa"/>
            <w:vMerge w:val="continue"/>
            <w:shd w:val="clear" w:color="auto" w:fill="auto"/>
            <w:noWrap w:val="0"/>
            <w:vAlign w:val="center"/>
          </w:tcPr>
          <w:p w14:paraId="60AD90A1">
            <w:pPr>
              <w:spacing w:line="360" w:lineRule="auto"/>
              <w:jc w:val="left"/>
              <w:rPr>
                <w:rFonts w:hint="eastAsia"/>
                <w:lang w:val="en-US" w:eastAsia="zh-CN"/>
              </w:rPr>
            </w:pPr>
          </w:p>
        </w:tc>
        <w:tc>
          <w:tcPr>
            <w:tcW w:w="1286" w:type="dxa"/>
            <w:shd w:val="clear" w:color="auto" w:fill="auto"/>
            <w:noWrap w:val="0"/>
            <w:vAlign w:val="center"/>
          </w:tcPr>
          <w:p w14:paraId="56FDCD40">
            <w:pPr>
              <w:jc w:val="center"/>
              <w:rPr>
                <w:rFonts w:hint="default"/>
                <w:lang w:val="en-US" w:eastAsia="zh-CN"/>
              </w:rPr>
            </w:pPr>
          </w:p>
        </w:tc>
      </w:tr>
      <w:tr w14:paraId="29EE3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056" w:type="dxa"/>
            <w:vMerge w:val="restart"/>
            <w:noWrap w:val="0"/>
            <w:vAlign w:val="center"/>
          </w:tcPr>
          <w:p w14:paraId="63D7DF42">
            <w:pPr>
              <w:jc w:val="center"/>
              <w:rPr>
                <w:rFonts w:hint="eastAsia"/>
                <w:b/>
                <w:bCs/>
                <w:lang w:val="en-US" w:eastAsia="zh-CN"/>
              </w:rPr>
            </w:pPr>
            <w:r>
              <w:rPr>
                <w:rFonts w:hint="eastAsia"/>
                <w:b/>
                <w:bCs/>
                <w:lang w:val="en-US" w:eastAsia="zh-CN"/>
              </w:rPr>
              <w:t>D类常规款骨灰盒</w:t>
            </w:r>
          </w:p>
        </w:tc>
        <w:tc>
          <w:tcPr>
            <w:tcW w:w="889" w:type="dxa"/>
            <w:vMerge w:val="restart"/>
            <w:noWrap w:val="0"/>
            <w:vAlign w:val="center"/>
          </w:tcPr>
          <w:p w14:paraId="564CF212">
            <w:pPr>
              <w:jc w:val="center"/>
              <w:rPr>
                <w:rFonts w:hint="default"/>
                <w:lang w:val="en-US" w:eastAsia="zh-CN"/>
              </w:rPr>
            </w:pPr>
            <w:r>
              <w:rPr>
                <w:rFonts w:hint="eastAsia"/>
                <w:lang w:val="en-US" w:eastAsia="zh-CN"/>
              </w:rPr>
              <w:t>D1</w:t>
            </w:r>
          </w:p>
        </w:tc>
        <w:tc>
          <w:tcPr>
            <w:tcW w:w="1209" w:type="dxa"/>
            <w:noWrap w:val="0"/>
            <w:vAlign w:val="center"/>
          </w:tcPr>
          <w:p w14:paraId="4D9FBBA3">
            <w:pPr>
              <w:jc w:val="center"/>
              <w:rPr>
                <w:rFonts w:hint="default"/>
                <w:lang w:val="en-US" w:eastAsia="zh-CN"/>
              </w:rPr>
            </w:pPr>
            <w:r>
              <w:rPr>
                <w:rFonts w:hint="eastAsia"/>
                <w:lang w:val="en-US" w:eastAsia="zh-CN"/>
              </w:rPr>
              <w:t>1000</w:t>
            </w:r>
          </w:p>
        </w:tc>
        <w:tc>
          <w:tcPr>
            <w:tcW w:w="1572" w:type="dxa"/>
            <w:noWrap w:val="0"/>
            <w:vAlign w:val="center"/>
          </w:tcPr>
          <w:p w14:paraId="70D80CFF">
            <w:pPr>
              <w:jc w:val="center"/>
              <w:rPr>
                <w:rFonts w:hint="default"/>
                <w:lang w:val="en-US" w:eastAsia="zh-CN"/>
              </w:rPr>
            </w:pPr>
            <w:r>
              <w:rPr>
                <w:rFonts w:hint="eastAsia"/>
                <w:lang w:val="en-US" w:eastAsia="zh-CN"/>
              </w:rPr>
              <w:t>1</w:t>
            </w:r>
          </w:p>
        </w:tc>
        <w:tc>
          <w:tcPr>
            <w:tcW w:w="2984" w:type="dxa"/>
            <w:vMerge w:val="restart"/>
            <w:noWrap w:val="0"/>
            <w:vAlign w:val="center"/>
          </w:tcPr>
          <w:p w14:paraId="270AAB5A">
            <w:pPr>
              <w:spacing w:line="360" w:lineRule="auto"/>
              <w:jc w:val="left"/>
              <w:rPr>
                <w:rFonts w:hint="eastAsia"/>
                <w:lang w:val="en-US" w:eastAsia="zh-CN"/>
              </w:rPr>
            </w:pPr>
            <w:r>
              <w:rPr>
                <w:rFonts w:hint="eastAsia"/>
                <w:lang w:val="en-US" w:eastAsia="zh-CN"/>
              </w:rPr>
              <w:t>陶瓷：吸水率(执行GB/T3299-2011检验标准)，外观质量符合或优于符合 GB/T13524.2-2018《陈设艺术瓷器：器皿瓷》标准。</w:t>
            </w:r>
          </w:p>
        </w:tc>
        <w:tc>
          <w:tcPr>
            <w:tcW w:w="1286" w:type="dxa"/>
            <w:noWrap w:val="0"/>
            <w:vAlign w:val="center"/>
          </w:tcPr>
          <w:p w14:paraId="181CE6E0">
            <w:pPr>
              <w:jc w:val="center"/>
              <w:rPr>
                <w:rFonts w:hint="default"/>
                <w:lang w:val="en-US" w:eastAsia="zh-CN"/>
              </w:rPr>
            </w:pPr>
          </w:p>
        </w:tc>
      </w:tr>
      <w:tr w14:paraId="46F6A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056" w:type="dxa"/>
            <w:vMerge w:val="continue"/>
            <w:noWrap w:val="0"/>
            <w:vAlign w:val="center"/>
          </w:tcPr>
          <w:p w14:paraId="654BB259">
            <w:pPr>
              <w:jc w:val="center"/>
            </w:pPr>
          </w:p>
        </w:tc>
        <w:tc>
          <w:tcPr>
            <w:tcW w:w="889" w:type="dxa"/>
            <w:vMerge w:val="continue"/>
            <w:noWrap w:val="0"/>
            <w:vAlign w:val="center"/>
          </w:tcPr>
          <w:p w14:paraId="523390D1">
            <w:pPr>
              <w:jc w:val="center"/>
            </w:pPr>
          </w:p>
        </w:tc>
        <w:tc>
          <w:tcPr>
            <w:tcW w:w="1209" w:type="dxa"/>
            <w:noWrap w:val="0"/>
            <w:vAlign w:val="center"/>
          </w:tcPr>
          <w:p w14:paraId="0A5D7BA9">
            <w:pPr>
              <w:jc w:val="center"/>
              <w:rPr>
                <w:rFonts w:hint="default"/>
                <w:lang w:val="en-US" w:eastAsia="zh-CN"/>
              </w:rPr>
            </w:pPr>
            <w:r>
              <w:rPr>
                <w:rFonts w:hint="eastAsia"/>
                <w:lang w:val="en-US" w:eastAsia="zh-CN"/>
              </w:rPr>
              <w:t>1100</w:t>
            </w:r>
          </w:p>
        </w:tc>
        <w:tc>
          <w:tcPr>
            <w:tcW w:w="1572" w:type="dxa"/>
            <w:noWrap w:val="0"/>
            <w:vAlign w:val="center"/>
          </w:tcPr>
          <w:p w14:paraId="0781F767">
            <w:pPr>
              <w:jc w:val="center"/>
              <w:rPr>
                <w:rFonts w:hint="eastAsia"/>
                <w:lang w:val="en-US" w:eastAsia="zh-CN"/>
              </w:rPr>
            </w:pPr>
            <w:r>
              <w:rPr>
                <w:rFonts w:hint="eastAsia"/>
                <w:lang w:val="en-US" w:eastAsia="zh-CN"/>
              </w:rPr>
              <w:t>1</w:t>
            </w:r>
          </w:p>
        </w:tc>
        <w:tc>
          <w:tcPr>
            <w:tcW w:w="2984" w:type="dxa"/>
            <w:vMerge w:val="continue"/>
            <w:noWrap w:val="0"/>
            <w:vAlign w:val="center"/>
          </w:tcPr>
          <w:p w14:paraId="292EB86A">
            <w:pPr>
              <w:jc w:val="center"/>
              <w:rPr>
                <w:rFonts w:hint="eastAsia"/>
                <w:lang w:val="en-US" w:eastAsia="zh-CN"/>
              </w:rPr>
            </w:pPr>
          </w:p>
        </w:tc>
        <w:tc>
          <w:tcPr>
            <w:tcW w:w="1286" w:type="dxa"/>
            <w:noWrap w:val="0"/>
            <w:vAlign w:val="center"/>
          </w:tcPr>
          <w:p w14:paraId="34F6056B">
            <w:pPr>
              <w:jc w:val="center"/>
              <w:rPr>
                <w:rFonts w:hint="eastAsia"/>
                <w:lang w:val="en-US" w:eastAsia="zh-CN"/>
              </w:rPr>
            </w:pPr>
          </w:p>
        </w:tc>
      </w:tr>
      <w:tr w14:paraId="15D0C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2056" w:type="dxa"/>
            <w:vMerge w:val="continue"/>
            <w:noWrap w:val="0"/>
            <w:vAlign w:val="center"/>
          </w:tcPr>
          <w:p w14:paraId="1699A722">
            <w:pPr>
              <w:jc w:val="center"/>
              <w:rPr>
                <w:rFonts w:hint="eastAsia"/>
                <w:lang w:val="en-US" w:eastAsia="zh-CN"/>
              </w:rPr>
            </w:pPr>
          </w:p>
        </w:tc>
        <w:tc>
          <w:tcPr>
            <w:tcW w:w="889" w:type="dxa"/>
            <w:vMerge w:val="continue"/>
            <w:noWrap w:val="0"/>
            <w:vAlign w:val="center"/>
          </w:tcPr>
          <w:p w14:paraId="7E7E345B">
            <w:pPr>
              <w:jc w:val="center"/>
              <w:rPr>
                <w:rFonts w:hint="eastAsia"/>
                <w:lang w:val="en-US" w:eastAsia="zh-CN"/>
              </w:rPr>
            </w:pPr>
          </w:p>
        </w:tc>
        <w:tc>
          <w:tcPr>
            <w:tcW w:w="1209" w:type="dxa"/>
            <w:noWrap w:val="0"/>
            <w:vAlign w:val="center"/>
          </w:tcPr>
          <w:p w14:paraId="008DFEB5">
            <w:pPr>
              <w:jc w:val="center"/>
              <w:rPr>
                <w:rFonts w:hint="default"/>
                <w:lang w:val="en-US" w:eastAsia="zh-CN"/>
              </w:rPr>
            </w:pPr>
            <w:r>
              <w:rPr>
                <w:rFonts w:hint="eastAsia"/>
                <w:lang w:val="en-US" w:eastAsia="zh-CN"/>
              </w:rPr>
              <w:t>1200</w:t>
            </w:r>
          </w:p>
        </w:tc>
        <w:tc>
          <w:tcPr>
            <w:tcW w:w="1572" w:type="dxa"/>
            <w:noWrap w:val="0"/>
            <w:vAlign w:val="center"/>
          </w:tcPr>
          <w:p w14:paraId="31EAEC97">
            <w:pPr>
              <w:jc w:val="center"/>
              <w:rPr>
                <w:rFonts w:hint="eastAsia"/>
                <w:lang w:val="en-US" w:eastAsia="zh-CN"/>
              </w:rPr>
            </w:pPr>
            <w:r>
              <w:rPr>
                <w:rFonts w:hint="eastAsia"/>
                <w:lang w:val="en-US" w:eastAsia="zh-CN"/>
              </w:rPr>
              <w:t>1</w:t>
            </w:r>
          </w:p>
        </w:tc>
        <w:tc>
          <w:tcPr>
            <w:tcW w:w="2984" w:type="dxa"/>
            <w:vMerge w:val="continue"/>
            <w:noWrap w:val="0"/>
            <w:vAlign w:val="center"/>
          </w:tcPr>
          <w:p w14:paraId="318CFE9E">
            <w:pPr>
              <w:jc w:val="center"/>
              <w:rPr>
                <w:rFonts w:hint="eastAsia"/>
                <w:lang w:val="en-US" w:eastAsia="zh-CN"/>
              </w:rPr>
            </w:pPr>
          </w:p>
        </w:tc>
        <w:tc>
          <w:tcPr>
            <w:tcW w:w="1286" w:type="dxa"/>
            <w:noWrap w:val="0"/>
            <w:vAlign w:val="center"/>
          </w:tcPr>
          <w:p w14:paraId="5DCB4D17">
            <w:pPr>
              <w:jc w:val="center"/>
              <w:rPr>
                <w:rFonts w:hint="default"/>
                <w:lang w:val="en-US" w:eastAsia="zh-CN"/>
              </w:rPr>
            </w:pPr>
          </w:p>
        </w:tc>
      </w:tr>
      <w:tr w14:paraId="560EB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996" w:type="dxa"/>
            <w:gridSpan w:val="6"/>
            <w:noWrap w:val="0"/>
            <w:vAlign w:val="center"/>
          </w:tcPr>
          <w:p w14:paraId="55AC6D7D">
            <w:pPr>
              <w:keepNext w:val="0"/>
              <w:keepLines w:val="0"/>
              <w:pageBreakBefore w:val="0"/>
              <w:widowControl/>
              <w:numPr>
                <w:ilvl w:val="0"/>
                <w:numId w:val="0"/>
              </w:numPr>
              <w:suppressLineNumbers w:val="0"/>
              <w:spacing w:before="0" w:beforeAutospacing="0" w:after="0" w:afterAutospacing="0" w:line="360" w:lineRule="auto"/>
              <w:ind w:left="0" w:right="0"/>
              <w:jc w:val="left"/>
              <w:rPr>
                <w:rFonts w:hint="eastAsia" w:ascii="仿宋" w:hAnsi="仿宋" w:eastAsia="仿宋" w:cs="仿宋"/>
                <w:b/>
                <w:bCs w:val="0"/>
                <w:color w:val="auto"/>
                <w:sz w:val="24"/>
                <w:szCs w:val="24"/>
                <w:highlight w:val="none"/>
                <w:lang w:val="en-US" w:eastAsia="zh-CN"/>
              </w:rPr>
            </w:pPr>
            <w:r>
              <w:rPr>
                <w:rFonts w:hint="eastAsia" w:ascii="仿宋" w:hAnsi="仿宋" w:eastAsia="仿宋" w:cs="仿宋"/>
                <w:b/>
                <w:bCs/>
                <w:color w:val="000000"/>
                <w:sz w:val="24"/>
                <w:szCs w:val="24"/>
                <w:highlight w:val="none"/>
                <w:vertAlign w:val="baseline"/>
                <w:lang w:val="en-US" w:eastAsia="zh-CN"/>
              </w:rPr>
              <w:t>备注：（1）本项目按照优惠率报价，A类惠民款骨灰盒共4个款式统一按最高限价填报不参于折扣。B类、C类、D类常规款骨灰盒共12个款式统一按优惠率报价。</w:t>
            </w:r>
            <w:r>
              <w:rPr>
                <w:rFonts w:hint="eastAsia" w:ascii="仿宋" w:hAnsi="仿宋" w:eastAsia="仿宋" w:cs="仿宋"/>
                <w:b/>
                <w:bCs w:val="0"/>
                <w:color w:val="auto"/>
                <w:sz w:val="24"/>
                <w:szCs w:val="24"/>
                <w:highlight w:val="none"/>
                <w:lang w:val="en-US" w:eastAsia="zh-CN"/>
              </w:rPr>
              <w:t>否则视为无效报价。</w:t>
            </w:r>
          </w:p>
          <w:p w14:paraId="6C106A84">
            <w:pPr>
              <w:pStyle w:val="5"/>
              <w:spacing w:line="360" w:lineRule="auto"/>
              <w:ind w:left="0" w:leftChars="0" w:firstLine="0" w:firstLineChars="0"/>
              <w:rPr>
                <w:rFonts w:hint="eastAsia" w:ascii="仿宋" w:hAnsi="仿宋" w:eastAsia="仿宋" w:cs="仿宋"/>
                <w:b/>
                <w:bCs w:val="0"/>
                <w:color w:val="auto"/>
                <w:sz w:val="24"/>
                <w:szCs w:val="24"/>
                <w:highlight w:val="none"/>
                <w:lang w:val="en-US" w:eastAsia="zh-CN"/>
              </w:rPr>
            </w:pPr>
            <w:r>
              <w:rPr>
                <w:rFonts w:hint="eastAsia" w:ascii="仿宋" w:hAnsi="仿宋" w:eastAsia="仿宋" w:cs="仿宋"/>
                <w:b/>
                <w:bCs w:val="0"/>
                <w:color w:val="auto"/>
                <w:sz w:val="24"/>
                <w:szCs w:val="24"/>
                <w:highlight w:val="none"/>
                <w:lang w:val="en-US" w:eastAsia="zh-CN"/>
              </w:rPr>
              <w:t>说明：1、成交后，中标方需按中标每款产品提供同档次材质的不同款式至少3款由招标人选择最终需要的款式，根据招标人实际需求，可对供货款式设计进行相应调整。</w:t>
            </w:r>
          </w:p>
          <w:p w14:paraId="50C90D75">
            <w:pPr>
              <w:pStyle w:val="5"/>
              <w:spacing w:line="360" w:lineRule="auto"/>
              <w:ind w:left="0" w:leftChars="0" w:firstLine="0" w:firstLineChars="0"/>
              <w:rPr>
                <w:rFonts w:hint="default"/>
                <w:lang w:val="en-US" w:eastAsia="zh-CN"/>
              </w:rPr>
            </w:pPr>
            <w:r>
              <w:rPr>
                <w:rFonts w:hint="eastAsia" w:ascii="仿宋" w:hAnsi="仿宋" w:eastAsia="仿宋" w:cs="仿宋"/>
                <w:b/>
                <w:bCs w:val="0"/>
                <w:color w:val="auto"/>
                <w:sz w:val="24"/>
                <w:szCs w:val="24"/>
                <w:highlight w:val="none"/>
                <w:lang w:val="en-US" w:eastAsia="zh-CN"/>
              </w:rPr>
              <w:t>2、每个档次的骨灰盒差距恰当(所报价格与该档次使用材质、设计款式相适应)，材质能与价格对应性好，能够完全满足采购需求，不得以次充好，用低档材质冒充高档材质。</w:t>
            </w:r>
          </w:p>
        </w:tc>
      </w:tr>
    </w:tbl>
    <w:p w14:paraId="424CE68B">
      <w:pPr>
        <w:numPr>
          <w:ilvl w:val="0"/>
          <w:numId w:val="0"/>
        </w:numPr>
        <w:tabs>
          <w:tab w:val="left" w:pos="281"/>
        </w:tabs>
        <w:bidi w:val="0"/>
        <w:ind w:right="0" w:rightChars="0"/>
        <w:jc w:val="left"/>
        <w:rPr>
          <w:rFonts w:hint="eastAsia"/>
          <w:b/>
          <w:bCs/>
          <w:color w:val="auto"/>
          <w:sz w:val="32"/>
          <w:szCs w:val="32"/>
          <w:highlight w:val="none"/>
          <w:lang w:val="zh-CN" w:eastAsia="zh-CN"/>
        </w:rPr>
      </w:pPr>
    </w:p>
    <w:p w14:paraId="21DA56CD">
      <w:pPr>
        <w:numPr>
          <w:ilvl w:val="0"/>
          <w:numId w:val="0"/>
        </w:numPr>
        <w:tabs>
          <w:tab w:val="left" w:pos="281"/>
        </w:tabs>
        <w:bidi w:val="0"/>
        <w:ind w:right="0" w:rightChars="0"/>
        <w:jc w:val="left"/>
        <w:rPr>
          <w:rStyle w:val="10"/>
          <w:rFonts w:hint="eastAsia" w:asciiTheme="majorEastAsia" w:hAnsiTheme="majorEastAsia" w:eastAsiaTheme="majorEastAsia" w:cstheme="majorEastAsia"/>
          <w:b/>
          <w:bCs w:val="0"/>
          <w:color w:val="000000"/>
          <w:kern w:val="0"/>
          <w:sz w:val="28"/>
          <w:szCs w:val="28"/>
          <w:lang w:val="en-US" w:eastAsia="zh-CN"/>
        </w:rPr>
      </w:pPr>
      <w:r>
        <w:rPr>
          <w:rFonts w:hint="eastAsia"/>
          <w:b/>
          <w:bCs/>
          <w:color w:val="auto"/>
          <w:sz w:val="32"/>
          <w:szCs w:val="32"/>
          <w:highlight w:val="none"/>
          <w:lang w:val="en-US" w:eastAsia="zh-CN"/>
        </w:rPr>
        <w:t>（二</w:t>
      </w:r>
      <w:r>
        <w:rPr>
          <w:rFonts w:hint="eastAsia"/>
          <w:b/>
          <w:bCs/>
          <w:color w:val="auto"/>
          <w:sz w:val="32"/>
          <w:szCs w:val="32"/>
          <w:highlight w:val="none"/>
          <w:lang w:val="zh-CN" w:eastAsia="zh-CN"/>
        </w:rPr>
        <w:t>）项目服务要求及服务内容</w:t>
      </w:r>
    </w:p>
    <w:p w14:paraId="7735455A">
      <w:pPr>
        <w:spacing w:line="360" w:lineRule="auto"/>
        <w:jc w:val="left"/>
        <w:rPr>
          <w:rStyle w:val="10"/>
          <w:rFonts w:hint="eastAsia" w:asciiTheme="majorEastAsia" w:hAnsiTheme="majorEastAsia" w:eastAsiaTheme="majorEastAsia" w:cstheme="majorEastAsia"/>
          <w:b/>
          <w:bCs w:val="0"/>
          <w:color w:val="000000"/>
          <w:kern w:val="0"/>
          <w:sz w:val="28"/>
          <w:szCs w:val="28"/>
        </w:rPr>
      </w:pPr>
      <w:r>
        <w:rPr>
          <w:rStyle w:val="10"/>
          <w:rFonts w:hint="eastAsia" w:asciiTheme="majorEastAsia" w:hAnsiTheme="majorEastAsia" w:eastAsiaTheme="majorEastAsia" w:cstheme="majorEastAsia"/>
          <w:b/>
          <w:bCs w:val="0"/>
          <w:color w:val="000000"/>
          <w:kern w:val="0"/>
          <w:sz w:val="28"/>
          <w:szCs w:val="28"/>
          <w:lang w:val="en-US" w:eastAsia="zh-CN"/>
        </w:rPr>
        <w:t>1、</w:t>
      </w:r>
      <w:r>
        <w:rPr>
          <w:rStyle w:val="10"/>
          <w:rFonts w:hint="eastAsia" w:asciiTheme="majorEastAsia" w:hAnsiTheme="majorEastAsia" w:eastAsiaTheme="majorEastAsia" w:cstheme="majorEastAsia"/>
          <w:b/>
          <w:bCs w:val="0"/>
          <w:color w:val="000000"/>
          <w:kern w:val="0"/>
          <w:sz w:val="28"/>
          <w:szCs w:val="28"/>
        </w:rPr>
        <w:t>采购内容</w:t>
      </w:r>
    </w:p>
    <w:p w14:paraId="7306591C">
      <w:pPr>
        <w:pStyle w:val="11"/>
        <w:spacing w:line="360" w:lineRule="auto"/>
        <w:jc w:val="both"/>
        <w:rPr>
          <w:rFonts w:hint="eastAsia" w:eastAsia="宋体"/>
          <w:b w:val="0"/>
          <w:bCs w:val="0"/>
          <w:sz w:val="24"/>
          <w:szCs w:val="24"/>
          <w:lang w:val="en-US" w:eastAsia="zh-CN"/>
        </w:rPr>
      </w:pPr>
      <w:r>
        <w:rPr>
          <w:rFonts w:hint="eastAsia"/>
          <w:b w:val="0"/>
          <w:bCs w:val="0"/>
          <w:sz w:val="24"/>
          <w:szCs w:val="24"/>
          <w:lang w:eastAsia="zh-CN"/>
        </w:rPr>
        <w:t>（</w:t>
      </w:r>
      <w:r>
        <w:rPr>
          <w:rFonts w:hint="eastAsia"/>
          <w:b w:val="0"/>
          <w:bCs w:val="0"/>
          <w:sz w:val="24"/>
          <w:szCs w:val="24"/>
          <w:lang w:val="en-US" w:eastAsia="zh-CN"/>
        </w:rPr>
        <w:t>1</w:t>
      </w:r>
      <w:r>
        <w:rPr>
          <w:rFonts w:hint="eastAsia"/>
          <w:b w:val="0"/>
          <w:bCs w:val="0"/>
          <w:sz w:val="24"/>
          <w:szCs w:val="24"/>
          <w:lang w:eastAsia="zh-CN"/>
        </w:rPr>
        <w:t>）</w:t>
      </w:r>
      <w:r>
        <w:rPr>
          <w:rFonts w:hint="eastAsia"/>
          <w:b w:val="0"/>
          <w:bCs w:val="0"/>
          <w:sz w:val="24"/>
          <w:szCs w:val="24"/>
          <w:lang w:val="en-US" w:eastAsia="zh-CN"/>
        </w:rPr>
        <w:t>中标后投标供应商</w:t>
      </w:r>
      <w:r>
        <w:rPr>
          <w:rFonts w:hint="eastAsia"/>
          <w:b w:val="0"/>
          <w:bCs w:val="0"/>
          <w:sz w:val="24"/>
          <w:szCs w:val="24"/>
        </w:rPr>
        <w:t>自拟一份供货目录供采购方择优选择</w:t>
      </w:r>
      <w:r>
        <w:rPr>
          <w:rFonts w:hint="eastAsia"/>
          <w:b w:val="0"/>
          <w:bCs w:val="0"/>
          <w:sz w:val="24"/>
          <w:szCs w:val="24"/>
          <w:lang w:eastAsia="zh-CN"/>
        </w:rPr>
        <w:t>。</w:t>
      </w:r>
    </w:p>
    <w:p w14:paraId="237E160C">
      <w:pPr>
        <w:spacing w:line="360" w:lineRule="auto"/>
        <w:rPr>
          <w:rFonts w:hint="eastAsia"/>
          <w:sz w:val="24"/>
          <w:szCs w:val="24"/>
        </w:rPr>
      </w:pPr>
      <w:r>
        <w:rPr>
          <w:rFonts w:hint="eastAsia"/>
          <w:sz w:val="24"/>
          <w:szCs w:val="24"/>
          <w:lang w:eastAsia="zh-CN"/>
        </w:rPr>
        <w:t>（</w:t>
      </w:r>
      <w:r>
        <w:rPr>
          <w:rFonts w:hint="eastAsia"/>
          <w:sz w:val="24"/>
          <w:szCs w:val="24"/>
          <w:lang w:val="en-US" w:eastAsia="zh-CN"/>
        </w:rPr>
        <w:t>2</w:t>
      </w:r>
      <w:r>
        <w:rPr>
          <w:rFonts w:hint="eastAsia"/>
          <w:sz w:val="24"/>
          <w:szCs w:val="24"/>
          <w:lang w:eastAsia="zh-CN"/>
        </w:rPr>
        <w:t>）</w:t>
      </w:r>
      <w:r>
        <w:rPr>
          <w:rFonts w:hint="eastAsia"/>
          <w:sz w:val="24"/>
          <w:szCs w:val="24"/>
        </w:rPr>
        <w:t>供货目录内容含：产品材质（</w:t>
      </w:r>
      <w:r>
        <w:rPr>
          <w:rFonts w:hint="eastAsia"/>
          <w:sz w:val="24"/>
          <w:szCs w:val="24"/>
          <w:lang w:val="en-US" w:eastAsia="zh-CN"/>
        </w:rPr>
        <w:t>陶瓷</w:t>
      </w:r>
      <w:r>
        <w:rPr>
          <w:rFonts w:hint="eastAsia"/>
          <w:sz w:val="24"/>
          <w:szCs w:val="24"/>
        </w:rPr>
        <w:t>、</w:t>
      </w:r>
      <w:r>
        <w:rPr>
          <w:rFonts w:hint="eastAsia"/>
          <w:sz w:val="24"/>
          <w:szCs w:val="24"/>
          <w:lang w:val="en-US" w:eastAsia="zh-CN"/>
        </w:rPr>
        <w:t>水晶</w:t>
      </w:r>
      <w:r>
        <w:rPr>
          <w:rFonts w:hint="eastAsia"/>
          <w:sz w:val="24"/>
          <w:szCs w:val="24"/>
        </w:rPr>
        <w:t>）、规格、产品说明及价格。请附相应的彩色图片。</w:t>
      </w:r>
    </w:p>
    <w:p w14:paraId="78727F24">
      <w:pPr>
        <w:spacing w:line="360" w:lineRule="auto"/>
        <w:rPr>
          <w:rFonts w:hint="eastAsia"/>
          <w:sz w:val="24"/>
          <w:szCs w:val="24"/>
          <w:lang w:val="en-US" w:eastAsia="zh-CN"/>
        </w:rPr>
      </w:pPr>
      <w:r>
        <w:rPr>
          <w:rFonts w:hint="eastAsia"/>
          <w:sz w:val="24"/>
          <w:szCs w:val="24"/>
          <w:lang w:eastAsia="zh-CN"/>
        </w:rPr>
        <w:t>（</w:t>
      </w:r>
      <w:r>
        <w:rPr>
          <w:rFonts w:hint="eastAsia"/>
          <w:sz w:val="24"/>
          <w:szCs w:val="24"/>
          <w:lang w:val="en-US" w:eastAsia="zh-CN"/>
        </w:rPr>
        <w:t>3</w:t>
      </w:r>
      <w:r>
        <w:rPr>
          <w:rFonts w:hint="eastAsia"/>
          <w:sz w:val="24"/>
          <w:szCs w:val="24"/>
          <w:lang w:eastAsia="zh-CN"/>
        </w:rPr>
        <w:t>）</w:t>
      </w:r>
      <w:r>
        <w:rPr>
          <w:rFonts w:hint="eastAsia"/>
          <w:sz w:val="24"/>
          <w:szCs w:val="24"/>
          <w:lang w:val="en-US" w:eastAsia="zh-CN"/>
        </w:rPr>
        <w:t>骨灰盒尺寸要求</w:t>
      </w:r>
    </w:p>
    <w:tbl>
      <w:tblPr>
        <w:tblStyle w:val="6"/>
        <w:tblpPr w:leftFromText="180" w:rightFromText="180" w:vertAnchor="text" w:horzAnchor="page" w:tblpX="1095" w:tblpY="43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9"/>
        <w:gridCol w:w="9121"/>
      </w:tblGrid>
      <w:tr w14:paraId="4E2C5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59" w:type="dxa"/>
            <w:noWrap w:val="0"/>
            <w:vAlign w:val="center"/>
          </w:tcPr>
          <w:p w14:paraId="2E0B97AA">
            <w:pPr>
              <w:spacing w:before="50" w:line="360" w:lineRule="auto"/>
              <w:rPr>
                <w:rStyle w:val="10"/>
                <w:rFonts w:ascii="宋体" w:hAnsi="宋体" w:cs="Times New Roman"/>
                <w:sz w:val="24"/>
                <w:szCs w:val="24"/>
              </w:rPr>
            </w:pPr>
            <w:r>
              <w:rPr>
                <w:rStyle w:val="10"/>
                <w:rFonts w:hint="eastAsia" w:ascii="宋体" w:hAnsi="宋体" w:cs="Times New Roman"/>
                <w:sz w:val="24"/>
                <w:szCs w:val="24"/>
              </w:rPr>
              <w:t>款型</w:t>
            </w:r>
          </w:p>
        </w:tc>
        <w:tc>
          <w:tcPr>
            <w:tcW w:w="9121" w:type="dxa"/>
            <w:noWrap w:val="0"/>
            <w:vAlign w:val="center"/>
          </w:tcPr>
          <w:p w14:paraId="597A5512">
            <w:pPr>
              <w:spacing w:before="50" w:line="360" w:lineRule="auto"/>
              <w:rPr>
                <w:rStyle w:val="10"/>
                <w:rFonts w:ascii="宋体" w:hAnsi="宋体" w:cs="Times New Roman"/>
                <w:sz w:val="24"/>
                <w:szCs w:val="24"/>
              </w:rPr>
            </w:pPr>
            <w:r>
              <w:rPr>
                <w:rStyle w:val="10"/>
                <w:rFonts w:hint="eastAsia" w:ascii="宋体" w:hAnsi="宋体" w:cs="Times New Roman"/>
                <w:sz w:val="24"/>
                <w:szCs w:val="24"/>
              </w:rPr>
              <w:t>尺寸限制要求</w:t>
            </w:r>
          </w:p>
        </w:tc>
      </w:tr>
      <w:tr w14:paraId="715B4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59" w:type="dxa"/>
            <w:noWrap w:val="0"/>
            <w:vAlign w:val="center"/>
          </w:tcPr>
          <w:p w14:paraId="71E594D9">
            <w:pPr>
              <w:spacing w:before="50" w:line="360" w:lineRule="auto"/>
              <w:rPr>
                <w:rStyle w:val="10"/>
                <w:rFonts w:ascii="宋体" w:hAnsi="宋体" w:cs="Times New Roman"/>
                <w:sz w:val="24"/>
                <w:szCs w:val="24"/>
              </w:rPr>
            </w:pPr>
            <w:r>
              <w:rPr>
                <w:rStyle w:val="10"/>
                <w:rFonts w:hint="eastAsia" w:ascii="宋体" w:hAnsi="宋体" w:cs="Times New Roman"/>
                <w:sz w:val="24"/>
                <w:szCs w:val="24"/>
              </w:rPr>
              <w:t>棺型</w:t>
            </w:r>
          </w:p>
        </w:tc>
        <w:tc>
          <w:tcPr>
            <w:tcW w:w="9121" w:type="dxa"/>
            <w:noWrap w:val="0"/>
            <w:vAlign w:val="center"/>
          </w:tcPr>
          <w:p w14:paraId="54E394D5">
            <w:pPr>
              <w:spacing w:before="50" w:line="360" w:lineRule="auto"/>
              <w:rPr>
                <w:rStyle w:val="10"/>
                <w:rFonts w:ascii="宋体" w:hAnsi="宋体" w:cs="Times New Roman"/>
                <w:sz w:val="24"/>
                <w:szCs w:val="24"/>
              </w:rPr>
            </w:pPr>
            <w:r>
              <w:rPr>
                <w:rStyle w:val="10"/>
                <w:rFonts w:hint="eastAsia" w:ascii="宋体" w:hAnsi="宋体" w:cs="Times New Roman"/>
                <w:sz w:val="24"/>
                <w:szCs w:val="24"/>
              </w:rPr>
              <w:t>长3</w:t>
            </w:r>
            <w:r>
              <w:rPr>
                <w:rStyle w:val="10"/>
                <w:rFonts w:hint="eastAsia" w:cs="Times New Roman"/>
                <w:sz w:val="24"/>
                <w:szCs w:val="24"/>
                <w:lang w:val="en-US"/>
              </w:rPr>
              <w:t>5</w:t>
            </w:r>
            <w:r>
              <w:rPr>
                <w:rStyle w:val="10"/>
                <w:rFonts w:hint="eastAsia" w:ascii="宋体" w:hAnsi="宋体" w:cs="Times New Roman"/>
                <w:sz w:val="24"/>
                <w:szCs w:val="24"/>
                <w:lang w:val="en-US"/>
              </w:rPr>
              <w:t>cm</w:t>
            </w:r>
            <w:r>
              <w:rPr>
                <w:rStyle w:val="10"/>
                <w:rFonts w:hint="eastAsia" w:ascii="宋体" w:hAnsi="宋体" w:cs="Times New Roman"/>
                <w:sz w:val="24"/>
                <w:szCs w:val="24"/>
              </w:rPr>
              <w:t>*宽2</w:t>
            </w:r>
            <w:r>
              <w:rPr>
                <w:rStyle w:val="10"/>
                <w:rFonts w:hint="eastAsia" w:cs="Times New Roman"/>
                <w:sz w:val="24"/>
                <w:szCs w:val="24"/>
                <w:lang w:val="en-US"/>
              </w:rPr>
              <w:t>5</w:t>
            </w:r>
            <w:r>
              <w:rPr>
                <w:rStyle w:val="10"/>
                <w:rFonts w:hint="eastAsia" w:ascii="宋体" w:hAnsi="宋体" w:cs="Times New Roman"/>
                <w:sz w:val="24"/>
                <w:szCs w:val="24"/>
                <w:lang w:val="en-US"/>
              </w:rPr>
              <w:t>cm</w:t>
            </w:r>
            <w:r>
              <w:rPr>
                <w:rStyle w:val="10"/>
                <w:rFonts w:hint="eastAsia" w:ascii="宋体" w:hAnsi="宋体" w:cs="Times New Roman"/>
                <w:sz w:val="24"/>
                <w:szCs w:val="24"/>
              </w:rPr>
              <w:t>*高25</w:t>
            </w:r>
            <w:r>
              <w:rPr>
                <w:rStyle w:val="10"/>
                <w:rFonts w:hint="eastAsia" w:ascii="宋体" w:hAnsi="宋体" w:cs="Times New Roman"/>
                <w:sz w:val="24"/>
                <w:szCs w:val="24"/>
                <w:lang w:val="en-US"/>
              </w:rPr>
              <w:t>cm</w:t>
            </w:r>
          </w:p>
        </w:tc>
      </w:tr>
      <w:tr w14:paraId="40E70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59" w:type="dxa"/>
            <w:noWrap w:val="0"/>
            <w:vAlign w:val="center"/>
          </w:tcPr>
          <w:p w14:paraId="19E7CDB0">
            <w:pPr>
              <w:spacing w:before="50" w:line="360" w:lineRule="auto"/>
              <w:rPr>
                <w:rStyle w:val="10"/>
                <w:rFonts w:ascii="宋体" w:hAnsi="宋体" w:cs="Times New Roman"/>
                <w:sz w:val="24"/>
                <w:szCs w:val="24"/>
              </w:rPr>
            </w:pPr>
            <w:r>
              <w:rPr>
                <w:rStyle w:val="10"/>
                <w:rFonts w:hint="eastAsia" w:ascii="宋体" w:hAnsi="宋体" w:cs="Times New Roman"/>
                <w:sz w:val="24"/>
                <w:szCs w:val="24"/>
              </w:rPr>
              <w:t>方型</w:t>
            </w:r>
          </w:p>
        </w:tc>
        <w:tc>
          <w:tcPr>
            <w:tcW w:w="9121" w:type="dxa"/>
            <w:noWrap w:val="0"/>
            <w:vAlign w:val="center"/>
          </w:tcPr>
          <w:p w14:paraId="2B5D1C93">
            <w:pPr>
              <w:spacing w:before="50" w:line="360" w:lineRule="auto"/>
              <w:rPr>
                <w:rStyle w:val="10"/>
                <w:rFonts w:ascii="宋体" w:hAnsi="宋体" w:cs="Times New Roman"/>
                <w:sz w:val="24"/>
                <w:szCs w:val="24"/>
              </w:rPr>
            </w:pPr>
            <w:r>
              <w:rPr>
                <w:rStyle w:val="10"/>
                <w:rFonts w:hint="eastAsia" w:ascii="宋体" w:hAnsi="宋体" w:cs="Times New Roman"/>
                <w:sz w:val="24"/>
                <w:szCs w:val="24"/>
              </w:rPr>
              <w:t>长3</w:t>
            </w:r>
            <w:r>
              <w:rPr>
                <w:rStyle w:val="10"/>
                <w:rFonts w:hint="eastAsia" w:cs="Times New Roman"/>
                <w:sz w:val="24"/>
                <w:szCs w:val="24"/>
                <w:lang w:val="en-US"/>
              </w:rPr>
              <w:t>4</w:t>
            </w:r>
            <w:r>
              <w:rPr>
                <w:rStyle w:val="10"/>
                <w:rFonts w:hint="eastAsia" w:ascii="宋体" w:hAnsi="宋体" w:cs="Times New Roman"/>
                <w:sz w:val="24"/>
                <w:szCs w:val="24"/>
                <w:lang w:val="en-US"/>
              </w:rPr>
              <w:t>cm</w:t>
            </w:r>
            <w:r>
              <w:rPr>
                <w:rStyle w:val="10"/>
                <w:rFonts w:hint="eastAsia" w:ascii="宋体" w:hAnsi="宋体" w:cs="Times New Roman"/>
                <w:sz w:val="24"/>
                <w:szCs w:val="24"/>
              </w:rPr>
              <w:t>*宽2</w:t>
            </w:r>
            <w:r>
              <w:rPr>
                <w:rStyle w:val="10"/>
                <w:rFonts w:hint="eastAsia" w:cs="Times New Roman"/>
                <w:sz w:val="24"/>
                <w:szCs w:val="24"/>
                <w:lang w:val="en-US"/>
              </w:rPr>
              <w:t>3</w:t>
            </w:r>
            <w:r>
              <w:rPr>
                <w:rStyle w:val="10"/>
                <w:rFonts w:hint="eastAsia" w:ascii="宋体" w:hAnsi="宋体" w:cs="Times New Roman"/>
                <w:sz w:val="24"/>
                <w:szCs w:val="24"/>
                <w:lang w:val="en-US"/>
              </w:rPr>
              <w:t>cm</w:t>
            </w:r>
            <w:r>
              <w:rPr>
                <w:rStyle w:val="10"/>
                <w:rFonts w:hint="eastAsia" w:ascii="宋体" w:hAnsi="宋体" w:cs="Times New Roman"/>
                <w:sz w:val="24"/>
                <w:szCs w:val="24"/>
              </w:rPr>
              <w:t>*高2</w:t>
            </w:r>
            <w:r>
              <w:rPr>
                <w:rStyle w:val="10"/>
                <w:rFonts w:hint="eastAsia" w:cs="Times New Roman"/>
                <w:sz w:val="24"/>
                <w:szCs w:val="24"/>
                <w:lang w:val="en-US"/>
              </w:rPr>
              <w:t>4</w:t>
            </w:r>
            <w:r>
              <w:rPr>
                <w:rStyle w:val="10"/>
                <w:rFonts w:hint="eastAsia" w:ascii="宋体" w:hAnsi="宋体" w:cs="Times New Roman"/>
                <w:sz w:val="24"/>
                <w:szCs w:val="24"/>
                <w:lang w:val="en-US"/>
              </w:rPr>
              <w:t>cm</w:t>
            </w:r>
          </w:p>
        </w:tc>
      </w:tr>
      <w:tr w14:paraId="2BD0B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10180" w:type="dxa"/>
            <w:gridSpan w:val="2"/>
            <w:noWrap w:val="0"/>
            <w:vAlign w:val="center"/>
          </w:tcPr>
          <w:p w14:paraId="6E7CB3C6">
            <w:pPr>
              <w:spacing w:line="360" w:lineRule="auto"/>
              <w:jc w:val="left"/>
              <w:rPr>
                <w:rStyle w:val="10"/>
                <w:rFonts w:hint="eastAsia" w:ascii="宋体" w:hAnsi="宋体" w:cs="Times New Roman"/>
                <w:sz w:val="24"/>
                <w:szCs w:val="24"/>
              </w:rPr>
            </w:pPr>
            <w:r>
              <w:rPr>
                <w:rStyle w:val="10"/>
                <w:rFonts w:hint="eastAsia" w:ascii="宋体" w:hAnsi="宋体" w:cs="Times New Roman"/>
                <w:b/>
                <w:bCs/>
                <w:sz w:val="24"/>
                <w:szCs w:val="24"/>
              </w:rPr>
              <w:t>注：投标人所投产品尺寸可以和以上尺寸不同，但不应超过各款型对应尺寸限制要求。</w:t>
            </w:r>
          </w:p>
        </w:tc>
      </w:tr>
    </w:tbl>
    <w:p w14:paraId="6CEB9944">
      <w:pPr>
        <w:spacing w:line="360" w:lineRule="auto"/>
        <w:jc w:val="left"/>
        <w:rPr>
          <w:rStyle w:val="10"/>
          <w:rFonts w:hint="eastAsia" w:asciiTheme="majorEastAsia" w:hAnsiTheme="majorEastAsia" w:eastAsiaTheme="majorEastAsia" w:cstheme="majorEastAsia"/>
          <w:b/>
          <w:color w:val="000000"/>
          <w:kern w:val="0"/>
          <w:sz w:val="28"/>
          <w:szCs w:val="28"/>
        </w:rPr>
      </w:pPr>
      <w:r>
        <w:rPr>
          <w:rStyle w:val="10"/>
          <w:rFonts w:hint="eastAsia" w:asciiTheme="majorEastAsia" w:hAnsiTheme="majorEastAsia" w:eastAsiaTheme="majorEastAsia" w:cstheme="majorEastAsia"/>
          <w:b/>
          <w:color w:val="000000"/>
          <w:kern w:val="0"/>
          <w:sz w:val="28"/>
          <w:szCs w:val="28"/>
          <w:lang w:val="en-US" w:eastAsia="zh-CN"/>
        </w:rPr>
        <w:t>2、</w:t>
      </w:r>
      <w:r>
        <w:rPr>
          <w:rStyle w:val="10"/>
          <w:rFonts w:hint="eastAsia" w:asciiTheme="majorEastAsia" w:hAnsiTheme="majorEastAsia" w:eastAsiaTheme="majorEastAsia" w:cstheme="majorEastAsia"/>
          <w:b/>
          <w:color w:val="000000"/>
          <w:kern w:val="0"/>
          <w:sz w:val="28"/>
          <w:szCs w:val="28"/>
        </w:rPr>
        <w:t>采购说明</w:t>
      </w:r>
    </w:p>
    <w:p w14:paraId="367D3970">
      <w:pPr>
        <w:spacing w:line="360" w:lineRule="auto"/>
        <w:jc w:val="left"/>
        <w:rPr>
          <w:rStyle w:val="10"/>
          <w:rFonts w:hint="eastAsia" w:ascii="宋体" w:hAnsi="宋体"/>
          <w:sz w:val="24"/>
          <w:szCs w:val="24"/>
          <w:lang w:val="en-US" w:eastAsia="zh-CN"/>
        </w:rPr>
      </w:pPr>
      <w:r>
        <w:rPr>
          <w:rStyle w:val="10"/>
          <w:rFonts w:hint="eastAsia" w:ascii="宋体" w:hAnsi="宋体"/>
          <w:sz w:val="24"/>
          <w:szCs w:val="24"/>
          <w:lang w:val="en-US" w:eastAsia="zh-CN"/>
        </w:rPr>
        <w:t>（1）投标供应商提供的</w:t>
      </w:r>
      <w:r>
        <w:rPr>
          <w:rStyle w:val="10"/>
          <w:rFonts w:hint="eastAsia"/>
          <w:sz w:val="24"/>
          <w:szCs w:val="24"/>
          <w:lang w:val="en-US" w:eastAsia="zh-CN"/>
        </w:rPr>
        <w:t>陶瓷</w:t>
      </w:r>
      <w:r>
        <w:rPr>
          <w:rStyle w:val="10"/>
          <w:rFonts w:hint="eastAsia" w:ascii="宋体" w:hAnsi="宋体"/>
          <w:sz w:val="24"/>
          <w:szCs w:val="24"/>
          <w:lang w:val="en-US" w:eastAsia="zh-CN"/>
        </w:rPr>
        <w:t>骨灰盒要满足产品符合 GB/T13524.2-2018《陈设艺术瓷器 第二部分：器皿瓷》，同时满足殡葬专用品相关规范。中标供应商提供的骨灰盒要是完整的、质量合格的、全新的产品。每一件供货产品附有商标、品名、规格型号、产品参数、产品简介、厂名、合格标识、文字说明（包含：设计理念及工艺、技术性能说明）等。骨灰盒外部包装盒两边侧面要清楚标明厂家、品名、材质、规格型号等标识。商品符合运输及销售包装要求。所有骨灰盒在供货、运送、销售、仓库存储及售后质保期内出现的非采购人造成的任何产品质量问题、包装问题或服务不及时、不到位等产生的相关投诉、赔偿，其全部责任及费用均由中标供应商承担。</w:t>
      </w:r>
    </w:p>
    <w:p w14:paraId="58C0F552">
      <w:pPr>
        <w:numPr>
          <w:ilvl w:val="0"/>
          <w:numId w:val="1"/>
        </w:numPr>
        <w:spacing w:line="360" w:lineRule="auto"/>
        <w:jc w:val="left"/>
        <w:rPr>
          <w:rStyle w:val="10"/>
          <w:rFonts w:hint="eastAsia" w:ascii="宋体" w:hAnsi="宋体" w:eastAsia="宋体" w:cs="宋体"/>
          <w:b/>
          <w:bCs/>
          <w:sz w:val="24"/>
          <w:szCs w:val="24"/>
          <w:lang w:val="en-US" w:eastAsia="zh-CN"/>
        </w:rPr>
      </w:pPr>
      <w:r>
        <w:rPr>
          <w:rStyle w:val="10"/>
          <w:rFonts w:hint="eastAsia" w:cs="宋体"/>
          <w:b/>
          <w:bCs/>
          <w:sz w:val="24"/>
          <w:szCs w:val="24"/>
          <w:lang w:val="en-US" w:eastAsia="zh-CN"/>
        </w:rPr>
        <w:t>陶瓷</w:t>
      </w:r>
      <w:r>
        <w:rPr>
          <w:rStyle w:val="10"/>
          <w:rFonts w:hint="eastAsia" w:ascii="宋体" w:hAnsi="宋体" w:eastAsia="宋体" w:cs="宋体"/>
          <w:b/>
          <w:bCs/>
          <w:sz w:val="24"/>
          <w:szCs w:val="24"/>
          <w:lang w:val="en-US" w:eastAsia="zh-CN"/>
        </w:rPr>
        <w:t>骨灰盒质量要求：</w:t>
      </w:r>
    </w:p>
    <w:p w14:paraId="6B53F15C">
      <w:pPr>
        <w:numPr>
          <w:ilvl w:val="0"/>
          <w:numId w:val="0"/>
        </w:numPr>
        <w:spacing w:line="360" w:lineRule="auto"/>
        <w:jc w:val="left"/>
        <w:rPr>
          <w:rStyle w:val="10"/>
          <w:rFonts w:hint="eastAsia" w:cs="宋体"/>
          <w:sz w:val="24"/>
          <w:szCs w:val="24"/>
          <w:lang w:val="en-US" w:eastAsia="zh-CN"/>
        </w:rPr>
      </w:pPr>
      <w:r>
        <w:rPr>
          <w:rStyle w:val="10"/>
          <w:rFonts w:hint="eastAsia" w:cs="宋体"/>
          <w:sz w:val="24"/>
          <w:szCs w:val="24"/>
          <w:lang w:val="en-US" w:eastAsia="zh-CN"/>
        </w:rPr>
        <w:t>①材质要求主体采用优质陶瓷原料，为高温炻瓷/细瓷，不得使用劣质陶土、再生料、杂料；</w:t>
      </w:r>
    </w:p>
    <w:p w14:paraId="417CA975">
      <w:pPr>
        <w:numPr>
          <w:ilvl w:val="0"/>
          <w:numId w:val="0"/>
        </w:numPr>
        <w:spacing w:line="360" w:lineRule="auto"/>
        <w:jc w:val="left"/>
        <w:rPr>
          <w:rFonts w:hint="eastAsia" w:ascii="宋体" w:hAnsi="宋体" w:eastAsia="宋体" w:cs="宋体"/>
          <w:sz w:val="24"/>
          <w:szCs w:val="24"/>
          <w:lang w:eastAsia="zh-CN"/>
        </w:rPr>
      </w:pPr>
      <w:r>
        <w:rPr>
          <w:rStyle w:val="10"/>
          <w:rFonts w:hint="eastAsia" w:cs="宋体"/>
          <w:sz w:val="24"/>
          <w:szCs w:val="24"/>
          <w:lang w:val="en-US" w:eastAsia="zh-CN"/>
        </w:rPr>
        <w:t>②</w:t>
      </w:r>
      <w:r>
        <w:rPr>
          <w:rFonts w:ascii="宋体" w:hAnsi="宋体" w:eastAsia="宋体" w:cs="宋体"/>
          <w:sz w:val="24"/>
          <w:szCs w:val="24"/>
        </w:rPr>
        <w:t>烧结温度≥1280℃，完全瓷化，质地致密坚硬，无生烧、欠烧</w:t>
      </w:r>
      <w:r>
        <w:rPr>
          <w:rFonts w:hint="eastAsia" w:ascii="宋体" w:hAnsi="宋体" w:eastAsia="宋体" w:cs="宋体"/>
          <w:sz w:val="24"/>
          <w:szCs w:val="24"/>
          <w:lang w:eastAsia="zh-CN"/>
        </w:rPr>
        <w:t>；</w:t>
      </w:r>
      <w:r>
        <w:rPr>
          <w:rFonts w:ascii="宋体" w:hAnsi="宋体" w:eastAsia="宋体" w:cs="宋体"/>
          <w:sz w:val="24"/>
          <w:szCs w:val="24"/>
        </w:rPr>
        <w:t>釉面采用环保矿物釉，无铅镉超标，符合国家日用陶瓷安全标准</w:t>
      </w:r>
      <w:r>
        <w:rPr>
          <w:rFonts w:hint="eastAsia" w:ascii="宋体" w:hAnsi="宋体" w:eastAsia="宋体" w:cs="宋体"/>
          <w:sz w:val="24"/>
          <w:szCs w:val="24"/>
          <w:lang w:eastAsia="zh-CN"/>
        </w:rPr>
        <w:t>；</w:t>
      </w:r>
    </w:p>
    <w:p w14:paraId="4F3FD407">
      <w:pPr>
        <w:numPr>
          <w:ilvl w:val="0"/>
          <w:numId w:val="0"/>
        </w:num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lang w:val="en-US" w:eastAsia="zh-CN"/>
        </w:rPr>
        <w:t>③</w:t>
      </w:r>
      <w:r>
        <w:rPr>
          <w:rFonts w:ascii="宋体" w:hAnsi="宋体" w:eastAsia="宋体" w:cs="宋体"/>
          <w:sz w:val="24"/>
          <w:szCs w:val="24"/>
        </w:rPr>
        <w:t>配件（盒盖卡扣、装饰件）与盒体材质匹配，耐腐蚀、不易脱落</w:t>
      </w:r>
      <w:r>
        <w:rPr>
          <w:rFonts w:hint="eastAsia" w:ascii="宋体" w:hAnsi="宋体" w:eastAsia="宋体" w:cs="宋体"/>
          <w:sz w:val="24"/>
          <w:szCs w:val="24"/>
          <w:lang w:eastAsia="zh-CN"/>
        </w:rPr>
        <w:t>；</w:t>
      </w:r>
      <w:r>
        <w:rPr>
          <w:rFonts w:ascii="宋体" w:hAnsi="宋体" w:eastAsia="宋体" w:cs="宋体"/>
          <w:sz w:val="24"/>
          <w:szCs w:val="24"/>
        </w:rPr>
        <w:t>外形规整，方正对称，盒体壁厚均匀</w:t>
      </w:r>
      <w:r>
        <w:rPr>
          <w:rFonts w:hint="eastAsia" w:ascii="宋体" w:hAnsi="宋体" w:eastAsia="宋体" w:cs="宋体"/>
          <w:sz w:val="24"/>
          <w:szCs w:val="24"/>
          <w:lang w:eastAsia="zh-CN"/>
        </w:rPr>
        <w:t>；</w:t>
      </w:r>
    </w:p>
    <w:p w14:paraId="152106FE">
      <w:pPr>
        <w:numPr>
          <w:ilvl w:val="0"/>
          <w:numId w:val="0"/>
        </w:num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lang w:val="en-US" w:eastAsia="zh-CN"/>
        </w:rPr>
        <w:t>④</w:t>
      </w:r>
      <w:r>
        <w:rPr>
          <w:rFonts w:ascii="宋体" w:hAnsi="宋体" w:eastAsia="宋体" w:cs="宋体"/>
          <w:sz w:val="24"/>
          <w:szCs w:val="24"/>
        </w:rPr>
        <w:t>盒盖与盒口吻合严密，开合顺畅，密封性好，防潮防虫</w:t>
      </w:r>
      <w:r>
        <w:rPr>
          <w:rFonts w:hint="eastAsia" w:ascii="宋体" w:hAnsi="宋体" w:eastAsia="宋体" w:cs="宋体"/>
          <w:sz w:val="24"/>
          <w:szCs w:val="24"/>
          <w:lang w:eastAsia="zh-CN"/>
        </w:rPr>
        <w:t>；</w:t>
      </w:r>
      <w:r>
        <w:rPr>
          <w:rFonts w:ascii="宋体" w:hAnsi="宋体" w:eastAsia="宋体" w:cs="宋体"/>
          <w:sz w:val="24"/>
          <w:szCs w:val="24"/>
        </w:rPr>
        <w:t>边角圆弧过渡，无尖锐棱角，搬运安全</w:t>
      </w:r>
      <w:r>
        <w:rPr>
          <w:rFonts w:hint="eastAsia" w:ascii="宋体" w:hAnsi="宋体" w:eastAsia="宋体" w:cs="宋体"/>
          <w:sz w:val="24"/>
          <w:szCs w:val="24"/>
          <w:lang w:eastAsia="zh-CN"/>
        </w:rPr>
        <w:t>；</w:t>
      </w:r>
      <w:r>
        <w:rPr>
          <w:rFonts w:ascii="宋体" w:hAnsi="宋体" w:eastAsia="宋体" w:cs="宋体"/>
          <w:sz w:val="24"/>
          <w:szCs w:val="24"/>
        </w:rPr>
        <w:t>整体承重稳定，平放不倾斜、不变形</w:t>
      </w:r>
      <w:r>
        <w:rPr>
          <w:rFonts w:hint="eastAsia" w:ascii="宋体" w:hAnsi="宋体" w:eastAsia="宋体" w:cs="宋体"/>
          <w:sz w:val="24"/>
          <w:szCs w:val="24"/>
          <w:lang w:eastAsia="zh-CN"/>
        </w:rPr>
        <w:t>；</w:t>
      </w:r>
    </w:p>
    <w:p w14:paraId="3BAA47BE">
      <w:pPr>
        <w:numPr>
          <w:ilvl w:val="0"/>
          <w:numId w:val="0"/>
        </w:num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lang w:val="en-US" w:eastAsia="zh-CN"/>
        </w:rPr>
        <w:t>⑤</w:t>
      </w:r>
      <w:r>
        <w:rPr>
          <w:rFonts w:ascii="宋体" w:hAnsi="宋体" w:eastAsia="宋体" w:cs="宋体"/>
          <w:sz w:val="24"/>
          <w:szCs w:val="24"/>
        </w:rPr>
        <w:t>外观质量要求表面光滑细腻，釉面均匀、色泽一致，无裂纹、崩角、缺釉、针孔、气泡、黑点、杂色、划痕</w:t>
      </w:r>
      <w:r>
        <w:rPr>
          <w:rFonts w:hint="eastAsia" w:ascii="宋体" w:hAnsi="宋体" w:eastAsia="宋体" w:cs="宋体"/>
          <w:sz w:val="24"/>
          <w:szCs w:val="24"/>
          <w:lang w:eastAsia="zh-CN"/>
        </w:rPr>
        <w:t>；</w:t>
      </w:r>
      <w:r>
        <w:rPr>
          <w:rFonts w:ascii="宋体" w:hAnsi="宋体" w:eastAsia="宋体" w:cs="宋体"/>
          <w:sz w:val="24"/>
          <w:szCs w:val="24"/>
        </w:rPr>
        <w:t>雕刻</w:t>
      </w:r>
      <w:r>
        <w:rPr>
          <w:rFonts w:hint="eastAsia" w:ascii="宋体" w:hAnsi="宋体" w:eastAsia="宋体" w:cs="宋体"/>
          <w:sz w:val="24"/>
          <w:szCs w:val="24"/>
          <w:lang w:eastAsia="zh-CN"/>
        </w:rPr>
        <w:t>、</w:t>
      </w:r>
      <w:r>
        <w:rPr>
          <w:rFonts w:ascii="宋体" w:hAnsi="宋体" w:eastAsia="宋体" w:cs="宋体"/>
          <w:sz w:val="24"/>
          <w:szCs w:val="24"/>
        </w:rPr>
        <w:t>贴花</w:t>
      </w:r>
      <w:r>
        <w:rPr>
          <w:rFonts w:hint="eastAsia" w:ascii="宋体" w:hAnsi="宋体" w:eastAsia="宋体" w:cs="宋体"/>
          <w:sz w:val="24"/>
          <w:szCs w:val="24"/>
          <w:lang w:eastAsia="zh-CN"/>
        </w:rPr>
        <w:t>、</w:t>
      </w:r>
      <w:r>
        <w:rPr>
          <w:rFonts w:ascii="宋体" w:hAnsi="宋体" w:eastAsia="宋体" w:cs="宋体"/>
          <w:sz w:val="24"/>
          <w:szCs w:val="24"/>
        </w:rPr>
        <w:t>描金图案清晰完整，线条流畅，无掉色、模糊、残缺</w:t>
      </w:r>
      <w:r>
        <w:rPr>
          <w:rFonts w:hint="eastAsia" w:ascii="宋体" w:hAnsi="宋体" w:eastAsia="宋体" w:cs="宋体"/>
          <w:sz w:val="24"/>
          <w:szCs w:val="24"/>
          <w:lang w:eastAsia="zh-CN"/>
        </w:rPr>
        <w:t>；</w:t>
      </w:r>
      <w:r>
        <w:rPr>
          <w:rFonts w:ascii="宋体" w:hAnsi="宋体" w:eastAsia="宋体" w:cs="宋体"/>
          <w:sz w:val="24"/>
          <w:szCs w:val="24"/>
        </w:rPr>
        <w:t>文字、纹饰端正，无歪斜、错印</w:t>
      </w:r>
      <w:r>
        <w:rPr>
          <w:rFonts w:hint="eastAsia" w:ascii="宋体" w:hAnsi="宋体" w:eastAsia="宋体" w:cs="宋体"/>
          <w:sz w:val="24"/>
          <w:szCs w:val="24"/>
          <w:lang w:eastAsia="zh-CN"/>
        </w:rPr>
        <w:t>；</w:t>
      </w:r>
      <w:r>
        <w:rPr>
          <w:rFonts w:ascii="宋体" w:hAnsi="宋体" w:eastAsia="宋体" w:cs="宋体"/>
          <w:sz w:val="24"/>
          <w:szCs w:val="24"/>
        </w:rPr>
        <w:t>整体色泽稳定，长期存放不褪色、不氧化</w:t>
      </w:r>
      <w:r>
        <w:rPr>
          <w:rFonts w:hint="eastAsia" w:ascii="宋体" w:hAnsi="宋体" w:eastAsia="宋体" w:cs="宋体"/>
          <w:sz w:val="24"/>
          <w:szCs w:val="24"/>
          <w:lang w:eastAsia="zh-CN"/>
        </w:rPr>
        <w:t>；</w:t>
      </w:r>
    </w:p>
    <w:p w14:paraId="75F55778">
      <w:pPr>
        <w:numPr>
          <w:ilvl w:val="0"/>
          <w:numId w:val="0"/>
        </w:numPr>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lang w:val="en-US" w:eastAsia="zh-CN"/>
        </w:rPr>
        <w:t>⑥</w:t>
      </w:r>
      <w:r>
        <w:rPr>
          <w:rFonts w:hint="eastAsia" w:ascii="宋体" w:hAnsi="宋体" w:eastAsia="宋体" w:cs="宋体"/>
          <w:sz w:val="24"/>
          <w:szCs w:val="24"/>
          <w:lang w:eastAsia="zh-CN"/>
        </w:rPr>
        <w:t>生产、釉料、颜料无毒、无异味、无放射性；</w:t>
      </w:r>
      <w:r>
        <w:rPr>
          <w:rFonts w:ascii="宋体" w:hAnsi="宋体" w:eastAsia="宋体" w:cs="宋体"/>
          <w:sz w:val="24"/>
          <w:szCs w:val="24"/>
        </w:rPr>
        <w:t>无甲醛、苯等有害物质，不污染骨灰及存放环境</w:t>
      </w:r>
      <w:r>
        <w:rPr>
          <w:rFonts w:hint="eastAsia" w:ascii="宋体" w:hAnsi="宋体" w:eastAsia="宋体" w:cs="宋体"/>
          <w:sz w:val="24"/>
          <w:szCs w:val="24"/>
          <w:lang w:eastAsia="zh-CN"/>
        </w:rPr>
        <w:t>。</w:t>
      </w:r>
    </w:p>
    <w:p w14:paraId="176052F3">
      <w:pPr>
        <w:pStyle w:val="5"/>
        <w:ind w:left="0" w:leftChars="0" w:firstLine="0" w:firstLineChars="0"/>
        <w:rPr>
          <w:rFonts w:hint="default"/>
          <w:lang w:val="en-US" w:eastAsia="zh-CN"/>
        </w:rPr>
      </w:pPr>
      <w:r>
        <w:rPr>
          <w:rFonts w:hint="eastAsia" w:ascii="宋体" w:hAnsi="宋体" w:eastAsia="宋体" w:cs="宋体"/>
          <w:sz w:val="24"/>
          <w:szCs w:val="24"/>
          <w:lang w:val="en-US" w:eastAsia="zh-CN"/>
        </w:rPr>
        <w:t>⑦高温烧制，本身防腐、防虫、防潮、防霉，适配骨灰堂、墓穴长期存放。</w:t>
      </w:r>
    </w:p>
    <w:p w14:paraId="6ED46483">
      <w:pPr>
        <w:numPr>
          <w:ilvl w:val="0"/>
          <w:numId w:val="0"/>
        </w:numPr>
        <w:spacing w:line="360" w:lineRule="auto"/>
        <w:ind w:leftChars="0"/>
        <w:jc w:val="left"/>
        <w:rPr>
          <w:rStyle w:val="10"/>
          <w:rFonts w:hint="eastAsia" w:cs="宋体"/>
          <w:sz w:val="24"/>
          <w:szCs w:val="24"/>
          <w:lang w:val="en-US" w:eastAsia="zh-CN"/>
        </w:rPr>
      </w:pPr>
      <w:r>
        <w:rPr>
          <w:rStyle w:val="10"/>
          <w:rFonts w:hint="eastAsia" w:cs="宋体"/>
          <w:b/>
          <w:bCs/>
          <w:sz w:val="24"/>
          <w:szCs w:val="24"/>
          <w:lang w:val="en-US" w:eastAsia="zh-CN"/>
        </w:rPr>
        <w:t>（3）水晶</w:t>
      </w:r>
      <w:r>
        <w:rPr>
          <w:rStyle w:val="10"/>
          <w:rFonts w:hint="eastAsia" w:ascii="宋体" w:hAnsi="宋体" w:eastAsia="宋体" w:cs="宋体"/>
          <w:b/>
          <w:bCs/>
          <w:sz w:val="24"/>
          <w:szCs w:val="24"/>
          <w:lang w:val="en-US" w:eastAsia="zh-CN"/>
        </w:rPr>
        <w:t>骨灰盒质量要求：</w:t>
      </w:r>
      <w:r>
        <w:rPr>
          <w:rStyle w:val="10"/>
          <w:rFonts w:hint="eastAsia" w:cs="宋体"/>
          <w:sz w:val="24"/>
          <w:szCs w:val="24"/>
          <w:lang w:val="en-US" w:eastAsia="zh-CN"/>
        </w:rPr>
        <w:t xml:space="preserve"> </w:t>
      </w:r>
    </w:p>
    <w:p w14:paraId="4D7F147F">
      <w:pPr>
        <w:pStyle w:val="5"/>
        <w:numPr>
          <w:ilvl w:val="0"/>
          <w:numId w:val="0"/>
        </w:numPr>
        <w:spacing w:line="360" w:lineRule="auto"/>
        <w:ind w:left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①材质：</w:t>
      </w:r>
      <w:r>
        <w:rPr>
          <w:rFonts w:hint="eastAsia" w:cs="宋体"/>
          <w:sz w:val="24"/>
          <w:szCs w:val="24"/>
          <w:lang w:val="en-US" w:eastAsia="zh-CN"/>
        </w:rPr>
        <w:t>透明树脂</w:t>
      </w:r>
      <w:r>
        <w:rPr>
          <w:rFonts w:hint="eastAsia" w:ascii="宋体" w:hAnsi="宋体" w:eastAsia="宋体" w:cs="宋体"/>
          <w:sz w:val="24"/>
          <w:szCs w:val="24"/>
          <w:lang w:val="en-US" w:eastAsia="zh-CN"/>
        </w:rPr>
        <w:t>。</w:t>
      </w:r>
    </w:p>
    <w:p w14:paraId="44517623">
      <w:pPr>
        <w:pStyle w:val="5"/>
        <w:numPr>
          <w:ilvl w:val="0"/>
          <w:numId w:val="0"/>
        </w:numPr>
        <w:spacing w:line="360" w:lineRule="auto"/>
        <w:ind w:leftChars="0"/>
        <w:rPr>
          <w:rFonts w:ascii="宋体" w:hAnsi="宋体" w:eastAsia="宋体" w:cs="宋体"/>
          <w:sz w:val="24"/>
          <w:szCs w:val="24"/>
        </w:rPr>
      </w:pPr>
      <w:r>
        <w:rPr>
          <w:rFonts w:hint="eastAsia"/>
          <w:lang w:val="en-US" w:eastAsia="zh-CN"/>
        </w:rPr>
        <w:t>②</w:t>
      </w:r>
      <w:r>
        <w:rPr>
          <w:rFonts w:ascii="宋体" w:hAnsi="宋体" w:eastAsia="宋体" w:cs="宋体"/>
          <w:sz w:val="24"/>
          <w:szCs w:val="24"/>
        </w:rPr>
        <w:t>纯度：原料经酸洗、氯化提纯，无杂质、无气泡、无条纹、无结石，通体晶莹透亮。</w:t>
      </w:r>
    </w:p>
    <w:p w14:paraId="7C63D3F7">
      <w:pPr>
        <w:keepNext w:val="0"/>
        <w:keepLines w:val="0"/>
        <w:widowControl/>
        <w:suppressLineNumbers w:val="0"/>
        <w:spacing w:line="360" w:lineRule="auto"/>
        <w:jc w:val="left"/>
        <w:rPr>
          <w:rFonts w:hint="eastAsia" w:ascii="宋体" w:hAnsi="宋体" w:eastAsia="宋体" w:cs="宋体"/>
          <w:b w:val="0"/>
          <w:bCs w:val="0"/>
          <w:sz w:val="24"/>
          <w:szCs w:val="24"/>
          <w:lang w:eastAsia="zh-CN"/>
        </w:rPr>
      </w:pPr>
      <w:r>
        <w:rPr>
          <w:rFonts w:hint="eastAsia" w:ascii="宋体" w:hAnsi="宋体" w:eastAsia="宋体" w:cs="宋体"/>
          <w:sz w:val="24"/>
          <w:szCs w:val="24"/>
          <w:lang w:val="en-US" w:eastAsia="zh-CN"/>
        </w:rPr>
        <w:t>③</w:t>
      </w:r>
      <w:r>
        <w:rPr>
          <w:rFonts w:ascii="宋体" w:hAnsi="宋体" w:eastAsia="宋体" w:cs="宋体"/>
          <w:sz w:val="24"/>
          <w:szCs w:val="24"/>
        </w:rPr>
        <w:t>外形：</w:t>
      </w:r>
      <w:r>
        <w:rPr>
          <w:rFonts w:ascii="宋体" w:hAnsi="宋体" w:eastAsia="宋体" w:cs="宋体"/>
          <w:b w:val="0"/>
          <w:bCs w:val="0"/>
          <w:sz w:val="24"/>
          <w:szCs w:val="24"/>
        </w:rPr>
        <w:t>方正对称、边角圆弧过渡，无尖锐角</w:t>
      </w:r>
      <w:r>
        <w:rPr>
          <w:rFonts w:hint="eastAsia" w:cs="宋体"/>
          <w:b w:val="0"/>
          <w:bCs w:val="0"/>
          <w:sz w:val="24"/>
          <w:szCs w:val="24"/>
          <w:lang w:eastAsia="zh-CN"/>
        </w:rPr>
        <w:t>，</w:t>
      </w:r>
      <w:r>
        <w:rPr>
          <w:rFonts w:ascii="宋体" w:hAnsi="宋体" w:eastAsia="宋体" w:cs="宋体"/>
          <w:b w:val="0"/>
          <w:bCs w:val="0"/>
          <w:sz w:val="24"/>
          <w:szCs w:val="24"/>
        </w:rPr>
        <w:t>盒体壁厚均匀一致</w:t>
      </w:r>
      <w:r>
        <w:rPr>
          <w:rFonts w:hint="eastAsia" w:ascii="宋体" w:hAnsi="宋体" w:eastAsia="宋体" w:cs="宋体"/>
          <w:b w:val="0"/>
          <w:bCs w:val="0"/>
          <w:sz w:val="24"/>
          <w:szCs w:val="24"/>
          <w:lang w:eastAsia="zh-CN"/>
        </w:rPr>
        <w:t>，</w:t>
      </w:r>
      <w:r>
        <w:rPr>
          <w:rFonts w:ascii="宋体" w:hAnsi="宋体" w:eastAsia="宋体" w:cs="宋体"/>
          <w:b w:val="0"/>
          <w:bCs w:val="0"/>
          <w:sz w:val="24"/>
          <w:szCs w:val="24"/>
          <w:lang w:val="en-US" w:eastAsia="zh-CN"/>
        </w:rPr>
        <w:t>无厚薄不均现象</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盒盖与盒口：</w:t>
      </w:r>
      <w:r>
        <w:rPr>
          <w:rStyle w:val="9"/>
          <w:rFonts w:ascii="宋体" w:hAnsi="宋体" w:eastAsia="宋体" w:cs="宋体"/>
          <w:b w:val="0"/>
          <w:bCs w:val="0"/>
          <w:color w:val="000000"/>
          <w:sz w:val="24"/>
          <w:szCs w:val="24"/>
        </w:rPr>
        <w:t>平面接触、吻合严密</w:t>
      </w:r>
      <w:r>
        <w:rPr>
          <w:rFonts w:ascii="宋体" w:hAnsi="宋体" w:eastAsia="宋体" w:cs="宋体"/>
          <w:b w:val="0"/>
          <w:bCs w:val="0"/>
          <w:sz w:val="24"/>
          <w:szCs w:val="24"/>
        </w:rPr>
        <w:t>，</w:t>
      </w:r>
      <w:r>
        <w:rPr>
          <w:rFonts w:ascii="宋体" w:hAnsi="宋体" w:eastAsia="宋体" w:cs="宋体"/>
          <w:b w:val="0"/>
          <w:bCs w:val="0"/>
          <w:sz w:val="24"/>
          <w:szCs w:val="24"/>
          <w:lang w:val="en-US" w:eastAsia="zh-CN"/>
        </w:rPr>
        <w:t>缝隙均匀，无局部过大现象；开合顺畅，无卡顿、无松动</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承重与稳定：平放不翘曲、不变形</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透明度：</w:t>
      </w:r>
      <w:r>
        <w:rPr>
          <w:rStyle w:val="9"/>
          <w:rFonts w:ascii="宋体" w:hAnsi="宋体" w:eastAsia="宋体" w:cs="宋体"/>
          <w:b w:val="0"/>
          <w:bCs w:val="0"/>
          <w:color w:val="000000"/>
          <w:sz w:val="24"/>
          <w:szCs w:val="24"/>
        </w:rPr>
        <w:t>高透明</w:t>
      </w:r>
      <w:r>
        <w:rPr>
          <w:rStyle w:val="9"/>
          <w:rFonts w:hint="eastAsia" w:ascii="宋体" w:hAnsi="宋体" w:eastAsia="宋体" w:cs="宋体"/>
          <w:b w:val="0"/>
          <w:bCs w:val="0"/>
          <w:color w:val="000000"/>
          <w:sz w:val="24"/>
          <w:szCs w:val="24"/>
          <w:lang w:eastAsia="zh-CN"/>
        </w:rPr>
        <w:t>、</w:t>
      </w:r>
      <w:r>
        <w:rPr>
          <w:rStyle w:val="9"/>
          <w:rFonts w:ascii="宋体" w:hAnsi="宋体" w:eastAsia="宋体" w:cs="宋体"/>
          <w:b w:val="0"/>
          <w:bCs w:val="0"/>
          <w:color w:val="000000"/>
          <w:sz w:val="24"/>
          <w:szCs w:val="24"/>
        </w:rPr>
        <w:t>超透明</w:t>
      </w:r>
      <w:r>
        <w:rPr>
          <w:rFonts w:ascii="宋体" w:hAnsi="宋体" w:eastAsia="宋体" w:cs="宋体"/>
          <w:b w:val="0"/>
          <w:bCs w:val="0"/>
          <w:sz w:val="24"/>
          <w:szCs w:val="24"/>
        </w:rPr>
        <w:t>；无明显雾度、无彩虹纹、无应力不均</w:t>
      </w:r>
      <w:r>
        <w:rPr>
          <w:rFonts w:hint="eastAsia" w:ascii="宋体" w:hAnsi="宋体" w:eastAsia="宋体" w:cs="宋体"/>
          <w:b w:val="0"/>
          <w:bCs w:val="0"/>
          <w:sz w:val="24"/>
          <w:szCs w:val="24"/>
          <w:lang w:eastAsia="zh-CN"/>
        </w:rPr>
        <w:t>；</w:t>
      </w:r>
    </w:p>
    <w:p w14:paraId="0999AA60">
      <w:pPr>
        <w:keepNext w:val="0"/>
        <w:keepLines w:val="0"/>
        <w:widowControl/>
        <w:suppressLineNumbers w:val="0"/>
        <w:spacing w:line="360" w:lineRule="auto"/>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④内外表面采用镜面抛光工艺</w:t>
      </w:r>
      <w:r>
        <w:rPr>
          <w:rFonts w:hint="eastAsia" w:ascii="宋体" w:hAnsi="宋体" w:eastAsia="宋体" w:cs="宋体"/>
          <w:b w:val="0"/>
          <w:bCs w:val="0"/>
          <w:sz w:val="24"/>
          <w:szCs w:val="24"/>
          <w:lang w:eastAsia="zh-CN"/>
        </w:rPr>
        <w:t>，无划痕、无崩边、无缺角、无针孔、无麻点；</w:t>
      </w:r>
    </w:p>
    <w:p w14:paraId="1F949351">
      <w:pPr>
        <w:keepNext w:val="0"/>
        <w:keepLines w:val="0"/>
        <w:widowControl/>
        <w:suppressLineNumbers w:val="0"/>
        <w:spacing w:line="360" w:lineRule="auto"/>
        <w:jc w:val="left"/>
        <w:rPr>
          <w:rFonts w:ascii="宋体" w:hAnsi="宋体" w:eastAsia="宋体" w:cs="宋体"/>
          <w:sz w:val="24"/>
          <w:szCs w:val="24"/>
        </w:rPr>
      </w:pPr>
      <w:r>
        <w:rPr>
          <w:rFonts w:hint="eastAsia" w:ascii="宋体" w:hAnsi="宋体" w:eastAsia="宋体" w:cs="宋体"/>
          <w:b w:val="0"/>
          <w:bCs w:val="0"/>
          <w:sz w:val="24"/>
          <w:szCs w:val="24"/>
          <w:lang w:val="en-US" w:eastAsia="zh-CN"/>
        </w:rPr>
        <w:t>⑤</w:t>
      </w:r>
      <w:r>
        <w:rPr>
          <w:rFonts w:ascii="宋体" w:hAnsi="宋体" w:eastAsia="宋体" w:cs="宋体"/>
          <w:b w:val="0"/>
          <w:bCs w:val="0"/>
          <w:sz w:val="24"/>
          <w:szCs w:val="24"/>
        </w:rPr>
        <w:t>描金</w:t>
      </w:r>
      <w:r>
        <w:rPr>
          <w:rFonts w:hint="eastAsia" w:ascii="宋体" w:hAnsi="宋体" w:eastAsia="宋体" w:cs="宋体"/>
          <w:b w:val="0"/>
          <w:bCs w:val="0"/>
          <w:sz w:val="24"/>
          <w:szCs w:val="24"/>
          <w:lang w:val="en-US" w:eastAsia="zh-CN"/>
        </w:rPr>
        <w:t>/</w:t>
      </w:r>
      <w:r>
        <w:rPr>
          <w:rFonts w:ascii="宋体" w:hAnsi="宋体" w:eastAsia="宋体" w:cs="宋体"/>
          <w:b w:val="0"/>
          <w:bCs w:val="0"/>
          <w:sz w:val="24"/>
          <w:szCs w:val="24"/>
        </w:rPr>
        <w:t>着色</w:t>
      </w:r>
      <w:r>
        <w:rPr>
          <w:rFonts w:ascii="宋体" w:hAnsi="宋体" w:eastAsia="宋体" w:cs="宋体"/>
          <w:kern w:val="0"/>
          <w:sz w:val="24"/>
          <w:szCs w:val="24"/>
          <w:lang w:val="en-US" w:eastAsia="zh-CN" w:bidi="ar"/>
        </w:rPr>
        <w:t>采用环保耐高温金粉（或专用水晶着色剂）</w:t>
      </w:r>
      <w:r>
        <w:rPr>
          <w:rStyle w:val="9"/>
          <w:rFonts w:ascii="宋体" w:hAnsi="宋体" w:eastAsia="宋体" w:cs="宋体"/>
          <w:b w:val="0"/>
          <w:bCs w:val="0"/>
          <w:color w:val="000000"/>
          <w:sz w:val="24"/>
          <w:szCs w:val="24"/>
        </w:rPr>
        <w:t>附着力强</w:t>
      </w:r>
      <w:r>
        <w:rPr>
          <w:rFonts w:ascii="宋体" w:hAnsi="宋体" w:eastAsia="宋体" w:cs="宋体"/>
          <w:b w:val="0"/>
          <w:bCs w:val="0"/>
          <w:sz w:val="24"/>
          <w:szCs w:val="24"/>
        </w:rPr>
        <w:t>，耐</w:t>
      </w:r>
      <w:r>
        <w:rPr>
          <w:rFonts w:ascii="宋体" w:hAnsi="宋体" w:eastAsia="宋体" w:cs="宋体"/>
          <w:sz w:val="24"/>
          <w:szCs w:val="24"/>
        </w:rPr>
        <w:t>磨、耐晒、不脱落</w:t>
      </w:r>
      <w:r>
        <w:rPr>
          <w:rFonts w:hint="eastAsia" w:ascii="宋体" w:hAnsi="宋体" w:eastAsia="宋体" w:cs="宋体"/>
          <w:sz w:val="24"/>
          <w:szCs w:val="24"/>
          <w:lang w:eastAsia="zh-CN"/>
        </w:rPr>
        <w:t>；</w:t>
      </w:r>
      <w:r>
        <w:rPr>
          <w:rFonts w:ascii="宋体" w:hAnsi="宋体" w:eastAsia="宋体" w:cs="宋体"/>
          <w:sz w:val="24"/>
          <w:szCs w:val="24"/>
          <w:lang w:val="en-US" w:eastAsia="zh-CN"/>
        </w:rPr>
        <w:t>描金/着色区域无溢色、无晕染，边界清晰</w:t>
      </w:r>
      <w:r>
        <w:rPr>
          <w:rFonts w:hint="eastAsia" w:ascii="宋体" w:hAnsi="宋体" w:eastAsia="宋体" w:cs="宋体"/>
          <w:sz w:val="24"/>
          <w:szCs w:val="24"/>
          <w:lang w:val="en-US" w:eastAsia="zh-CN"/>
        </w:rPr>
        <w:t>。</w:t>
      </w:r>
    </w:p>
    <w:p w14:paraId="358D03A0">
      <w:pPr>
        <w:keepNext w:val="0"/>
        <w:keepLines w:val="0"/>
        <w:widowControl/>
        <w:suppressLineNumbers w:val="0"/>
        <w:spacing w:line="360" w:lineRule="auto"/>
        <w:jc w:val="left"/>
        <w:rPr>
          <w:rFonts w:hint="eastAsia" w:eastAsia="宋体"/>
          <w:lang w:val="en-US" w:eastAsia="zh-CN"/>
        </w:rPr>
      </w:pPr>
      <w:r>
        <w:rPr>
          <w:rFonts w:hint="eastAsia" w:ascii="宋体" w:hAnsi="宋体" w:eastAsia="宋体" w:cs="宋体"/>
          <w:sz w:val="24"/>
          <w:szCs w:val="24"/>
          <w:lang w:val="en-US" w:eastAsia="zh-CN"/>
        </w:rPr>
        <w:t>⑥</w:t>
      </w:r>
      <w:r>
        <w:rPr>
          <w:rFonts w:ascii="宋体" w:hAnsi="宋体" w:eastAsia="宋体" w:cs="宋体"/>
          <w:sz w:val="24"/>
          <w:szCs w:val="24"/>
          <w:lang w:val="en-US" w:eastAsia="zh-CN"/>
        </w:rPr>
        <w:t>无色款通体透明，无泛黄、无杂色；单色款（白/茶/蓝等）色泽均匀，无色差</w:t>
      </w:r>
      <w:r>
        <w:rPr>
          <w:rFonts w:hint="eastAsia" w:ascii="宋体" w:hAnsi="宋体" w:eastAsia="宋体" w:cs="宋体"/>
          <w:sz w:val="24"/>
          <w:szCs w:val="24"/>
          <w:lang w:val="en-US" w:eastAsia="zh-CN"/>
        </w:rPr>
        <w:t>；</w:t>
      </w:r>
      <w:r>
        <w:rPr>
          <w:rStyle w:val="9"/>
          <w:rFonts w:ascii="宋体" w:hAnsi="宋体" w:eastAsia="宋体" w:cs="宋体"/>
          <w:b w:val="0"/>
          <w:bCs w:val="0"/>
          <w:color w:val="000000"/>
          <w:sz w:val="24"/>
          <w:szCs w:val="24"/>
          <w:lang w:val="en-US" w:eastAsia="zh-CN"/>
        </w:rPr>
        <w:t>长期存放不褪色、不泛黄、不老化</w:t>
      </w:r>
      <w:r>
        <w:rPr>
          <w:rFonts w:ascii="宋体" w:hAnsi="宋体" w:eastAsia="宋体" w:cs="宋体"/>
          <w:b w:val="0"/>
          <w:bCs w:val="0"/>
          <w:sz w:val="24"/>
          <w:szCs w:val="24"/>
        </w:rPr>
        <w:t>。</w:t>
      </w:r>
    </w:p>
    <w:p w14:paraId="428B6494">
      <w:pPr>
        <w:numPr>
          <w:ilvl w:val="0"/>
          <w:numId w:val="0"/>
        </w:numPr>
        <w:snapToGrid w:val="0"/>
        <w:spacing w:line="360" w:lineRule="auto"/>
        <w:rPr>
          <w:rStyle w:val="10"/>
          <w:rFonts w:hint="eastAsia" w:ascii="宋体" w:hAnsi="宋体" w:eastAsia="宋体" w:cs="宋体"/>
          <w:b/>
          <w:bCs/>
          <w:sz w:val="24"/>
          <w:szCs w:val="24"/>
          <w:lang w:val="en-US" w:eastAsia="zh-CN"/>
        </w:rPr>
      </w:pPr>
      <w:r>
        <w:rPr>
          <w:rStyle w:val="10"/>
          <w:rFonts w:hint="eastAsia" w:cs="宋体"/>
          <w:b/>
          <w:bCs/>
          <w:sz w:val="24"/>
          <w:szCs w:val="24"/>
          <w:lang w:val="en-US" w:eastAsia="zh-CN"/>
        </w:rPr>
        <w:t>3、</w:t>
      </w:r>
      <w:r>
        <w:rPr>
          <w:rStyle w:val="10"/>
          <w:rFonts w:hint="eastAsia" w:ascii="宋体" w:hAnsi="宋体" w:eastAsia="宋体" w:cs="宋体"/>
          <w:b/>
          <w:bCs/>
          <w:sz w:val="24"/>
          <w:szCs w:val="24"/>
          <w:lang w:val="en-US" w:eastAsia="zh-CN"/>
        </w:rPr>
        <w:t>服务要求</w:t>
      </w:r>
    </w:p>
    <w:p w14:paraId="2ABD8B20">
      <w:pPr>
        <w:numPr>
          <w:ilvl w:val="0"/>
          <w:numId w:val="0"/>
        </w:num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（1）</w:t>
      </w:r>
      <w:r>
        <w:rPr>
          <w:rFonts w:hint="eastAsia" w:ascii="宋体" w:hAnsi="宋体" w:eastAsia="宋体" w:cs="Times New Roman"/>
          <w:sz w:val="24"/>
          <w:lang w:val="en-US" w:eastAsia="zh-CN"/>
        </w:rPr>
        <w:t xml:space="preserve">中标骨灰盒一律实行代销。 </w:t>
      </w:r>
    </w:p>
    <w:p w14:paraId="21ADA921">
      <w:pPr>
        <w:snapToGrid w:val="0"/>
        <w:spacing w:line="360" w:lineRule="auto"/>
        <w:rPr>
          <w:rFonts w:hint="eastAsia" w:ascii="宋体" w:hAnsi="宋体" w:eastAsia="宋体" w:cs="Times New Roman"/>
          <w:color w:val="auto"/>
          <w:sz w:val="24"/>
          <w:lang w:val="en-US" w:eastAsia="zh-CN"/>
        </w:rPr>
      </w:pPr>
      <w:r>
        <w:rPr>
          <w:rFonts w:hint="eastAsia" w:cs="Times New Roman"/>
          <w:color w:val="auto"/>
          <w:sz w:val="24"/>
          <w:lang w:val="en-US" w:eastAsia="zh-CN"/>
        </w:rPr>
        <w:t>（2）</w:t>
      </w:r>
      <w:r>
        <w:rPr>
          <w:rFonts w:hint="eastAsia" w:ascii="宋体" w:hAnsi="宋体" w:eastAsia="宋体" w:cs="Times New Roman"/>
          <w:color w:val="auto"/>
          <w:sz w:val="24"/>
          <w:lang w:val="en-US" w:eastAsia="zh-CN"/>
        </w:rPr>
        <w:t>中标人中标货物的供货量由招标人根据实际的销售情况确定，招标人负责代销。招标人不向中标人保证最低供货量。</w:t>
      </w:r>
    </w:p>
    <w:p w14:paraId="216A1742">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（3）</w:t>
      </w:r>
      <w:r>
        <w:rPr>
          <w:rFonts w:hint="eastAsia" w:ascii="宋体" w:hAnsi="宋体" w:eastAsia="宋体" w:cs="Times New Roman"/>
          <w:sz w:val="24"/>
          <w:lang w:val="en-US" w:eastAsia="zh-CN"/>
        </w:rPr>
        <w:t>中标人在接到招标人的供货通知电话或传真后</w:t>
      </w:r>
      <w:r>
        <w:rPr>
          <w:rFonts w:hint="eastAsia" w:cs="Times New Roman"/>
          <w:sz w:val="24"/>
          <w:lang w:val="en-US" w:eastAsia="zh-CN"/>
        </w:rPr>
        <w:t>48小时</w:t>
      </w:r>
      <w:r>
        <w:rPr>
          <w:rFonts w:hint="eastAsia" w:ascii="宋体" w:hAnsi="宋体" w:eastAsia="宋体" w:cs="Times New Roman"/>
          <w:sz w:val="24"/>
          <w:lang w:val="en-US" w:eastAsia="zh-CN"/>
        </w:rPr>
        <w:t xml:space="preserve">内应将招标人所需货物保质保量送到招标人指定地点。 </w:t>
      </w:r>
    </w:p>
    <w:p w14:paraId="372C9F2D">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（4）</w:t>
      </w:r>
      <w:r>
        <w:rPr>
          <w:rFonts w:hint="eastAsia" w:ascii="宋体" w:hAnsi="宋体" w:eastAsia="宋体" w:cs="Times New Roman"/>
          <w:sz w:val="24"/>
          <w:lang w:val="en-US" w:eastAsia="zh-CN"/>
        </w:rPr>
        <w:t xml:space="preserve">供应商须保证所供货物全新、正宗、原包装、出具合格证(含外观、尺寸、盒盖开闭、平稳度)。若事后发现所供货物不符要求并引起纠纷的，由供应商负责赔偿和处理争议或纠纷，招标人保留对中标人索赔的权利。 </w:t>
      </w:r>
    </w:p>
    <w:p w14:paraId="048BCB47">
      <w:pPr>
        <w:snapToGrid w:val="0"/>
        <w:spacing w:line="360" w:lineRule="auto"/>
        <w:rPr>
          <w:rFonts w:hint="eastAsia" w:ascii="宋体" w:hAnsi="宋体" w:eastAsia="宋体" w:cs="Times New Roman"/>
          <w:sz w:val="24"/>
          <w:highlight w:val="none"/>
          <w:lang w:val="en-US" w:eastAsia="zh-CN"/>
        </w:rPr>
      </w:pPr>
      <w:r>
        <w:rPr>
          <w:rFonts w:hint="eastAsia" w:cs="Times New Roman"/>
          <w:sz w:val="24"/>
          <w:highlight w:val="none"/>
          <w:lang w:val="en-US" w:eastAsia="zh-CN"/>
        </w:rPr>
        <w:t>（5）采</w:t>
      </w:r>
      <w:r>
        <w:rPr>
          <w:rFonts w:hint="eastAsia" w:ascii="宋体" w:hAnsi="宋体" w:eastAsia="宋体" w:cs="Times New Roman"/>
          <w:sz w:val="24"/>
          <w:highlight w:val="none"/>
          <w:lang w:val="en-US" w:eastAsia="zh-CN"/>
        </w:rPr>
        <w:t>购人将定期或不定期对骨灰盒进行检查，如采购人发现供应商交付的骨灰盒与封存的样品不一致，或骨灰盒出现缺陷、瑕疵、没有按照招标文件要求供应的</w:t>
      </w:r>
      <w:r>
        <w:rPr>
          <w:rFonts w:hint="eastAsia" w:cs="Times New Roman"/>
          <w:sz w:val="24"/>
          <w:highlight w:val="none"/>
          <w:lang w:val="en-US" w:eastAsia="zh-CN"/>
        </w:rPr>
        <w:t>，</w:t>
      </w:r>
      <w:r>
        <w:rPr>
          <w:rFonts w:hint="eastAsia" w:ascii="宋体" w:hAnsi="宋体" w:eastAsia="宋体" w:cs="Times New Roman"/>
          <w:sz w:val="24"/>
          <w:highlight w:val="none"/>
          <w:lang w:val="en-US" w:eastAsia="zh-CN"/>
        </w:rPr>
        <w:t>对检查中发现有产品存在以次充好等违法违规行为的供应商可直接解除合同，并报有关部门依法依规处置，采购人有权把中标供应商拉入政府采购黑名单。</w:t>
      </w:r>
    </w:p>
    <w:p w14:paraId="44D12ED8">
      <w:pPr>
        <w:snapToGrid w:val="0"/>
        <w:spacing w:line="360" w:lineRule="auto"/>
        <w:rPr>
          <w:rFonts w:hint="eastAsia" w:ascii="宋体" w:hAnsi="宋体" w:eastAsia="宋体" w:cs="Times New Roman"/>
          <w:sz w:val="24"/>
          <w:lang w:val="en-US" w:eastAsia="zh-CN"/>
        </w:rPr>
      </w:pPr>
      <w:r>
        <w:rPr>
          <w:rFonts w:hint="eastAsia" w:cs="Times New Roman"/>
          <w:sz w:val="24"/>
          <w:lang w:val="en-US" w:eastAsia="zh-CN"/>
        </w:rPr>
        <w:t>（6）</w:t>
      </w:r>
      <w:r>
        <w:rPr>
          <w:rFonts w:hint="eastAsia" w:ascii="宋体" w:hAnsi="宋体" w:eastAsia="宋体" w:cs="Times New Roman"/>
          <w:sz w:val="24"/>
          <w:lang w:val="en-US" w:eastAsia="zh-CN"/>
        </w:rPr>
        <w:t xml:space="preserve">中标人对中标商品的命名如与移风易俗有冲突的，招标人有权更改为适宜的命名。  </w:t>
      </w:r>
    </w:p>
    <w:p w14:paraId="41C175BA">
      <w:pPr>
        <w:snapToGrid w:val="0"/>
        <w:spacing w:line="360" w:lineRule="auto"/>
        <w:rPr>
          <w:rFonts w:hint="eastAsia" w:ascii="宋体" w:hAnsi="宋体" w:eastAsia="宋体" w:cs="Times New Roman"/>
          <w:color w:val="auto"/>
          <w:sz w:val="24"/>
          <w:lang w:val="en-US" w:eastAsia="zh-CN"/>
        </w:rPr>
      </w:pPr>
      <w:r>
        <w:rPr>
          <w:rFonts w:hint="eastAsia" w:cs="Times New Roman"/>
          <w:color w:val="auto"/>
          <w:sz w:val="24"/>
          <w:lang w:val="en-US" w:eastAsia="zh-CN"/>
        </w:rPr>
        <w:t>（7）</w:t>
      </w:r>
      <w:r>
        <w:rPr>
          <w:rFonts w:hint="eastAsia" w:ascii="宋体" w:hAnsi="宋体" w:eastAsia="宋体" w:cs="Times New Roman"/>
          <w:color w:val="auto"/>
          <w:sz w:val="24"/>
          <w:lang w:val="en-US" w:eastAsia="zh-CN"/>
        </w:rPr>
        <w:t>招标人随时保留对中标供应商每款产品破坏性检测的权利(包含自由落体检测和权威机构检测)，所产生的费用由中标人</w:t>
      </w:r>
      <w:r>
        <w:rPr>
          <w:rFonts w:hint="eastAsia" w:cs="Times New Roman"/>
          <w:color w:val="auto"/>
          <w:sz w:val="24"/>
          <w:lang w:val="en-US" w:eastAsia="zh-CN"/>
        </w:rPr>
        <w:t>承担</w:t>
      </w:r>
      <w:r>
        <w:rPr>
          <w:rFonts w:hint="eastAsia" w:ascii="宋体" w:hAnsi="宋体" w:eastAsia="宋体" w:cs="Times New Roman"/>
          <w:color w:val="auto"/>
          <w:sz w:val="24"/>
          <w:lang w:val="en-US" w:eastAsia="zh-CN"/>
        </w:rPr>
        <w:t>。</w:t>
      </w:r>
    </w:p>
    <w:p w14:paraId="69B3B2F6">
      <w:pPr>
        <w:adjustRightInd w:val="0"/>
        <w:snapToGrid w:val="0"/>
        <w:spacing w:line="360" w:lineRule="auto"/>
        <w:rPr>
          <w:rFonts w:hint="eastAsia" w:ascii="宋体" w:hAnsi="宋体" w:eastAsia="宋体" w:cs="宋体"/>
          <w:color w:val="auto"/>
          <w:sz w:val="24"/>
          <w:szCs w:val="24"/>
          <w:highlight w:val="none"/>
        </w:rPr>
      </w:pPr>
      <w:r>
        <w:rPr>
          <w:rFonts w:hint="eastAsia" w:cs="Times New Roman"/>
          <w:color w:val="auto"/>
          <w:sz w:val="24"/>
          <w:lang w:val="en-US" w:eastAsia="zh-CN"/>
        </w:rPr>
        <w:t>（8）</w:t>
      </w:r>
      <w:r>
        <w:rPr>
          <w:rFonts w:hint="eastAsia" w:ascii="宋体" w:hAnsi="宋体" w:eastAsia="宋体" w:cs="宋体"/>
          <w:color w:val="auto"/>
          <w:sz w:val="24"/>
          <w:szCs w:val="24"/>
          <w:highlight w:val="none"/>
        </w:rPr>
        <w:t>中标人提供的骨灰盒应符合国家环保标准，如提供的骨灰盒造成采购人员工身体伤害的，中标人应承担相应的经济赔偿。</w:t>
      </w:r>
    </w:p>
    <w:p w14:paraId="12ABDBD1">
      <w:pPr>
        <w:spacing w:line="360" w:lineRule="auto"/>
        <w:jc w:val="left"/>
        <w:rPr>
          <w:rFonts w:hint="default" w:ascii="宋体" w:hAnsi="宋体" w:eastAsia="宋体" w:cs="宋体"/>
          <w:sz w:val="24"/>
        </w:rPr>
      </w:pPr>
      <w:r>
        <w:rPr>
          <w:rFonts w:hint="eastAsia" w:ascii="宋体" w:hAnsi="宋体" w:eastAsia="宋体" w:cs="宋体"/>
          <w:sz w:val="24"/>
          <w:lang w:val="en-US" w:eastAsia="zh-CN"/>
        </w:rPr>
        <w:t>（</w:t>
      </w:r>
      <w:r>
        <w:rPr>
          <w:rFonts w:hint="eastAsia" w:cs="宋体"/>
          <w:sz w:val="24"/>
          <w:lang w:val="en-US" w:eastAsia="zh-CN"/>
        </w:rPr>
        <w:t>9</w:t>
      </w:r>
      <w:r>
        <w:rPr>
          <w:rFonts w:hint="eastAsia" w:ascii="宋体" w:hAnsi="宋体" w:eastAsia="宋体" w:cs="宋体"/>
          <w:sz w:val="24"/>
          <w:lang w:val="en-US" w:eastAsia="zh-CN"/>
        </w:rPr>
        <w:t>）</w:t>
      </w:r>
      <w:r>
        <w:rPr>
          <w:rFonts w:hint="default" w:ascii="宋体" w:hAnsi="宋体" w:eastAsia="宋体" w:cs="宋体"/>
          <w:sz w:val="24"/>
        </w:rPr>
        <w:t>招标人可根据市场实际需求在同等材质情况下对供货量和供货款式进行调整，根据调整后的需求另行签订补充协议。</w:t>
      </w:r>
    </w:p>
    <w:p w14:paraId="7B09FD4B">
      <w:r>
        <w:rPr>
          <w:rFonts w:hint="eastAsia"/>
          <w:b/>
          <w:bCs/>
          <w:color w:val="000000"/>
          <w:sz w:val="28"/>
          <w:szCs w:val="28"/>
          <w:lang w:val="en-US"/>
        </w:rPr>
        <w:t>注：以上</w:t>
      </w:r>
      <w:r>
        <w:rPr>
          <w:rFonts w:hint="eastAsia"/>
          <w:b/>
          <w:bCs/>
          <w:color w:val="000000"/>
          <w:sz w:val="28"/>
          <w:szCs w:val="28"/>
          <w:lang w:val="en-US" w:eastAsia="zh-CN"/>
        </w:rPr>
        <w:t>技术</w:t>
      </w:r>
      <w:r>
        <w:rPr>
          <w:rFonts w:hint="eastAsia"/>
          <w:b/>
          <w:bCs/>
          <w:color w:val="000000"/>
          <w:sz w:val="28"/>
          <w:szCs w:val="28"/>
          <w:lang w:val="en-US"/>
        </w:rPr>
        <w:t>要求必须完全满足</w:t>
      </w:r>
      <w:r>
        <w:rPr>
          <w:rFonts w:hint="eastAsia"/>
          <w:b/>
          <w:bCs/>
          <w:color w:val="000000"/>
          <w:sz w:val="28"/>
          <w:szCs w:val="28"/>
          <w:lang w:val="en-US" w:eastAsia="zh-CN"/>
        </w:rPr>
        <w:t>或者优于</w:t>
      </w:r>
      <w:r>
        <w:rPr>
          <w:rFonts w:hint="eastAsia"/>
          <w:b/>
          <w:bCs/>
          <w:color w:val="000000"/>
          <w:sz w:val="28"/>
          <w:szCs w:val="28"/>
          <w:lang w:val="en-US"/>
        </w:rPr>
        <w:t xml:space="preserve">；否则，视为无效响应。 </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4467B5"/>
    <w:multiLevelType w:val="singleLevel"/>
    <w:tmpl w:val="E94467B5"/>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7B005D"/>
    <w:rsid w:val="587B00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10"/>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qFormat/>
    <w:uiPriority w:val="1"/>
    <w:pPr>
      <w:ind w:left="3631"/>
      <w:outlineLvl w:val="1"/>
    </w:pPr>
    <w:rPr>
      <w:b/>
      <w:bCs/>
      <w:sz w:val="28"/>
      <w:szCs w:val="28"/>
    </w:rPr>
  </w:style>
  <w:style w:type="character" w:default="1" w:styleId="8">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1"/>
    <w:rPr>
      <w:sz w:val="24"/>
      <w:szCs w:val="24"/>
    </w:rPr>
  </w:style>
  <w:style w:type="paragraph" w:styleId="4">
    <w:name w:val="Body Text Indent"/>
    <w:basedOn w:val="1"/>
    <w:qFormat/>
    <w:uiPriority w:val="0"/>
    <w:pPr>
      <w:spacing w:after="120"/>
      <w:ind w:left="420" w:leftChars="200"/>
    </w:pPr>
  </w:style>
  <w:style w:type="paragraph" w:styleId="5">
    <w:name w:val="Body Text First Indent 2"/>
    <w:basedOn w:val="4"/>
    <w:qFormat/>
    <w:uiPriority w:val="0"/>
    <w:pPr>
      <w:tabs>
        <w:tab w:val="left" w:pos="900"/>
      </w:tabs>
      <w:ind w:firstLine="420" w:firstLineChars="200"/>
    </w:p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rFonts w:ascii="微软雅黑" w:hAnsi="微软雅黑" w:eastAsia="微软雅黑" w:cs="微软雅黑"/>
      <w:b/>
      <w:sz w:val="18"/>
      <w:szCs w:val="18"/>
    </w:rPr>
  </w:style>
  <w:style w:type="character" w:customStyle="1" w:styleId="10">
    <w:name w:val="NormalCharacter"/>
    <w:link w:val="1"/>
    <w:autoRedefine/>
    <w:semiHidden/>
    <w:qFormat/>
    <w:uiPriority w:val="0"/>
    <w:rPr>
      <w:rFonts w:ascii="宋体" w:hAnsi="宋体" w:eastAsia="宋体" w:cs="宋体"/>
      <w:sz w:val="22"/>
      <w:szCs w:val="22"/>
      <w:lang w:val="zh-CN" w:eastAsia="zh-CN" w:bidi="zh-CN"/>
    </w:rPr>
  </w:style>
  <w:style w:type="paragraph" w:customStyle="1" w:styleId="11">
    <w:name w:val="Heading1"/>
    <w:basedOn w:val="1"/>
    <w:next w:val="1"/>
    <w:qFormat/>
    <w:uiPriority w:val="0"/>
    <w:pPr>
      <w:keepNext/>
      <w:jc w:val="center"/>
      <w:textAlignment w:val="baseline"/>
    </w:pPr>
    <w:rPr>
      <w:b/>
      <w:bCs/>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2026-06-18T03:13:00Z</dcterms:created>
  <dc:creator>Administrator</dc:creator>
  <cp:lastModifiedBy>Administrator</cp:lastModifiedBy>
  <dcterms:modified xsi:type="dcterms:W3CDTF">2026-06-18T03:14:20Z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38643461C493462B8E183D6DF121BCB5_11</vt:lpwstr>
  </property>
  <property fmtid="{D5CDD505-2E9C-101B-9397-08002B2CF9AE}" pid="4" name="KSOTemplateDocerSaveRecord">
    <vt:lpwstr>eyJoZGlkIjoiMTQxNzdmN2RkZTVkM2IyODQ0NGM3N2IyZjk4N2JiYmMiLCJ1c2VySWQiOiIyMTE1NDc4NzIifQ==</vt:lpwstr>
  </property>
</Properties>
</file>