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4BBE6E">
      <w:pPr>
        <w:pStyle w:val="3"/>
        <w:spacing w:line="360" w:lineRule="auto"/>
        <w:rPr>
          <w:rFonts w:hint="eastAsia" w:cs="宋体"/>
          <w:color w:val="auto"/>
          <w:sz w:val="28"/>
          <w:szCs w:val="28"/>
          <w:lang w:val="en-US" w:eastAsia="zh-CN"/>
        </w:rPr>
      </w:pPr>
      <w:r>
        <w:rPr>
          <w:rFonts w:hint="eastAsia"/>
          <w:b/>
          <w:bCs/>
          <w:sz w:val="32"/>
          <w:szCs w:val="32"/>
          <w:lang w:val="en-US" w:eastAsia="zh-CN"/>
        </w:rPr>
        <w:t>二、技术要求</w:t>
      </w:r>
    </w:p>
    <w:p w14:paraId="67E6BC5F">
      <w:pPr>
        <w:widowControl/>
        <w:spacing w:line="360" w:lineRule="auto"/>
        <w:rPr>
          <w:rFonts w:hint="eastAsia"/>
          <w:b/>
          <w:bCs/>
          <w:color w:val="000000"/>
          <w:sz w:val="28"/>
          <w:szCs w:val="28"/>
          <w:lang w:val="en-US" w:eastAsia="zh-CN"/>
        </w:rPr>
      </w:pPr>
      <w:r>
        <w:rPr>
          <w:rFonts w:hint="eastAsia"/>
          <w:b/>
          <w:bCs/>
          <w:color w:val="000000"/>
          <w:sz w:val="28"/>
          <w:szCs w:val="28"/>
          <w:lang w:val="en-US" w:eastAsia="zh-CN"/>
        </w:rPr>
        <w:t>（一）骨灰盒品种及价格范围</w:t>
      </w:r>
    </w:p>
    <w:tbl>
      <w:tblPr>
        <w:tblStyle w:val="7"/>
        <w:tblpPr w:leftFromText="180" w:rightFromText="180" w:vertAnchor="text" w:horzAnchor="page" w:tblpX="905" w:tblpY="531"/>
        <w:tblW w:w="96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91"/>
        <w:gridCol w:w="662"/>
        <w:gridCol w:w="1175"/>
        <w:gridCol w:w="1561"/>
        <w:gridCol w:w="3162"/>
        <w:gridCol w:w="1135"/>
      </w:tblGrid>
      <w:tr w14:paraId="72933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1991" w:type="dxa"/>
            <w:noWrap w:val="0"/>
            <w:vAlign w:val="center"/>
          </w:tcPr>
          <w:p w14:paraId="34306A60">
            <w:pPr>
              <w:ind w:firstLine="442" w:firstLineChars="200"/>
              <w:jc w:val="center"/>
              <w:rPr>
                <w:rFonts w:hint="eastAsia"/>
                <w:b/>
                <w:bCs/>
                <w:lang w:val="en-US" w:eastAsia="zh-CN"/>
              </w:rPr>
            </w:pPr>
            <w:r>
              <w:rPr>
                <w:rFonts w:hint="eastAsia"/>
                <w:b/>
                <w:bCs/>
                <w:lang w:val="en-US" w:eastAsia="zh-CN"/>
              </w:rPr>
              <w:t>种类（档次）</w:t>
            </w:r>
          </w:p>
        </w:tc>
        <w:tc>
          <w:tcPr>
            <w:tcW w:w="662" w:type="dxa"/>
            <w:noWrap w:val="0"/>
            <w:vAlign w:val="center"/>
          </w:tcPr>
          <w:p w14:paraId="47D49CF3">
            <w:pPr>
              <w:jc w:val="center"/>
              <w:rPr>
                <w:rFonts w:hint="eastAsia"/>
                <w:b/>
                <w:bCs/>
                <w:lang w:val="en-US" w:eastAsia="zh-CN"/>
              </w:rPr>
            </w:pPr>
            <w:r>
              <w:rPr>
                <w:rFonts w:hint="eastAsia"/>
                <w:b/>
                <w:bCs/>
                <w:lang w:val="en-US" w:eastAsia="zh-CN"/>
              </w:rPr>
              <w:t>类别</w:t>
            </w:r>
          </w:p>
        </w:tc>
        <w:tc>
          <w:tcPr>
            <w:tcW w:w="1175" w:type="dxa"/>
            <w:noWrap w:val="0"/>
            <w:vAlign w:val="center"/>
          </w:tcPr>
          <w:p w14:paraId="1BEE847A">
            <w:pPr>
              <w:jc w:val="center"/>
              <w:rPr>
                <w:rFonts w:hint="eastAsia"/>
                <w:b/>
                <w:bCs/>
                <w:lang w:val="en-US" w:eastAsia="zh-CN"/>
              </w:rPr>
            </w:pPr>
            <w:r>
              <w:rPr>
                <w:rFonts w:hint="eastAsia"/>
                <w:b/>
                <w:bCs/>
                <w:lang w:val="en-US" w:eastAsia="zh-CN"/>
              </w:rPr>
              <w:t>单价（元/个）</w:t>
            </w:r>
          </w:p>
        </w:tc>
        <w:tc>
          <w:tcPr>
            <w:tcW w:w="1561" w:type="dxa"/>
            <w:noWrap w:val="0"/>
            <w:vAlign w:val="center"/>
          </w:tcPr>
          <w:p w14:paraId="17316335">
            <w:pPr>
              <w:jc w:val="center"/>
              <w:rPr>
                <w:rFonts w:hint="eastAsia"/>
                <w:b/>
                <w:bCs/>
                <w:lang w:val="en-US" w:eastAsia="zh-CN"/>
              </w:rPr>
            </w:pPr>
            <w:r>
              <w:rPr>
                <w:rFonts w:hint="eastAsia"/>
                <w:b/>
                <w:bCs/>
                <w:lang w:val="en-US" w:eastAsia="zh-CN"/>
              </w:rPr>
              <w:t>选取款式的数量（款）</w:t>
            </w:r>
          </w:p>
        </w:tc>
        <w:tc>
          <w:tcPr>
            <w:tcW w:w="3162" w:type="dxa"/>
            <w:noWrap w:val="0"/>
            <w:vAlign w:val="center"/>
          </w:tcPr>
          <w:p w14:paraId="7250301B">
            <w:pPr>
              <w:jc w:val="center"/>
              <w:rPr>
                <w:rFonts w:hint="eastAsia"/>
                <w:b/>
                <w:bCs/>
                <w:lang w:val="en-US" w:eastAsia="zh-CN"/>
              </w:rPr>
            </w:pPr>
            <w:r>
              <w:rPr>
                <w:rFonts w:hint="eastAsia"/>
                <w:b/>
                <w:bCs/>
                <w:lang w:val="en-US" w:eastAsia="zh-CN"/>
              </w:rPr>
              <w:t>材质</w:t>
            </w:r>
          </w:p>
        </w:tc>
        <w:tc>
          <w:tcPr>
            <w:tcW w:w="1135" w:type="dxa"/>
            <w:noWrap w:val="0"/>
            <w:vAlign w:val="center"/>
          </w:tcPr>
          <w:p w14:paraId="4946E7B0">
            <w:pPr>
              <w:jc w:val="center"/>
              <w:rPr>
                <w:rFonts w:hint="default"/>
                <w:b/>
                <w:bCs/>
                <w:lang w:val="en-US" w:eastAsia="zh-CN"/>
              </w:rPr>
            </w:pPr>
            <w:r>
              <w:rPr>
                <w:rFonts w:hint="eastAsia"/>
                <w:b/>
                <w:bCs/>
                <w:lang w:val="en-US" w:eastAsia="zh-CN"/>
              </w:rPr>
              <w:t>备注</w:t>
            </w:r>
          </w:p>
        </w:tc>
      </w:tr>
      <w:tr w14:paraId="3F35D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1991" w:type="dxa"/>
            <w:vMerge w:val="restart"/>
            <w:noWrap w:val="0"/>
            <w:vAlign w:val="center"/>
          </w:tcPr>
          <w:p w14:paraId="6F0106BB">
            <w:pPr>
              <w:jc w:val="center"/>
              <w:rPr>
                <w:rFonts w:hint="eastAsia"/>
                <w:b/>
                <w:bCs/>
                <w:lang w:val="en-US" w:eastAsia="zh-CN"/>
              </w:rPr>
            </w:pPr>
            <w:r>
              <w:rPr>
                <w:rFonts w:hint="eastAsia"/>
                <w:b/>
                <w:bCs/>
                <w:lang w:val="en-US" w:eastAsia="zh-CN"/>
              </w:rPr>
              <w:t>A类惠民款骨灰盒</w:t>
            </w:r>
          </w:p>
        </w:tc>
        <w:tc>
          <w:tcPr>
            <w:tcW w:w="662" w:type="dxa"/>
            <w:noWrap w:val="0"/>
            <w:vAlign w:val="center"/>
          </w:tcPr>
          <w:p w14:paraId="4DEA3C7D">
            <w:pPr>
              <w:jc w:val="center"/>
              <w:rPr>
                <w:rFonts w:hint="eastAsia"/>
                <w:lang w:val="en-US" w:eastAsia="zh-CN"/>
              </w:rPr>
            </w:pPr>
            <w:r>
              <w:rPr>
                <w:rFonts w:hint="eastAsia"/>
                <w:lang w:val="en-US" w:eastAsia="zh-CN"/>
              </w:rPr>
              <w:t>A1</w:t>
            </w:r>
          </w:p>
        </w:tc>
        <w:tc>
          <w:tcPr>
            <w:tcW w:w="1175" w:type="dxa"/>
            <w:noWrap w:val="0"/>
            <w:vAlign w:val="center"/>
          </w:tcPr>
          <w:p w14:paraId="184CFB21">
            <w:pPr>
              <w:jc w:val="center"/>
              <w:rPr>
                <w:rFonts w:hint="default"/>
                <w:lang w:val="en-US" w:eastAsia="zh-CN"/>
              </w:rPr>
            </w:pPr>
            <w:r>
              <w:rPr>
                <w:rFonts w:hint="eastAsia"/>
                <w:lang w:val="en-US" w:eastAsia="zh-CN"/>
              </w:rPr>
              <w:t>320</w:t>
            </w:r>
          </w:p>
        </w:tc>
        <w:tc>
          <w:tcPr>
            <w:tcW w:w="1561" w:type="dxa"/>
            <w:noWrap w:val="0"/>
            <w:vAlign w:val="center"/>
          </w:tcPr>
          <w:p w14:paraId="065583D4">
            <w:pPr>
              <w:jc w:val="center"/>
              <w:rPr>
                <w:rFonts w:hint="eastAsia"/>
                <w:lang w:val="en-US" w:eastAsia="zh-CN"/>
              </w:rPr>
            </w:pPr>
            <w:r>
              <w:rPr>
                <w:rFonts w:hint="eastAsia"/>
                <w:lang w:val="en-US" w:eastAsia="zh-CN"/>
              </w:rPr>
              <w:t>2</w:t>
            </w:r>
          </w:p>
        </w:tc>
        <w:tc>
          <w:tcPr>
            <w:tcW w:w="3162" w:type="dxa"/>
            <w:noWrap w:val="0"/>
            <w:vAlign w:val="center"/>
          </w:tcPr>
          <w:p w14:paraId="517C2D14">
            <w:pPr>
              <w:jc w:val="left"/>
              <w:rPr>
                <w:rFonts w:hint="default"/>
                <w:lang w:val="en-US" w:eastAsia="zh-CN"/>
              </w:rPr>
            </w:pPr>
            <w:r>
              <w:rPr>
                <w:rFonts w:hint="eastAsia"/>
                <w:lang w:val="en-US" w:eastAsia="zh-CN"/>
              </w:rPr>
              <w:t>木质：整体使用原木，桦木、杉木、樟木等同档次材质，且单个骨灰盒只能由一种木材制成。</w:t>
            </w:r>
          </w:p>
        </w:tc>
        <w:tc>
          <w:tcPr>
            <w:tcW w:w="1135" w:type="dxa"/>
            <w:noWrap w:val="0"/>
            <w:vAlign w:val="center"/>
          </w:tcPr>
          <w:p w14:paraId="779195CF">
            <w:pPr>
              <w:jc w:val="center"/>
              <w:rPr>
                <w:rFonts w:hint="default"/>
                <w:lang w:val="en-US" w:eastAsia="zh-CN"/>
              </w:rPr>
            </w:pPr>
            <w:r>
              <w:rPr>
                <w:rFonts w:hint="eastAsia"/>
                <w:lang w:val="en-US" w:eastAsia="zh-CN"/>
              </w:rPr>
              <w:t>固定报价</w:t>
            </w:r>
          </w:p>
        </w:tc>
      </w:tr>
      <w:tr w14:paraId="34D1E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atLeast"/>
        </w:trPr>
        <w:tc>
          <w:tcPr>
            <w:tcW w:w="1991" w:type="dxa"/>
            <w:vMerge w:val="continue"/>
            <w:noWrap w:val="0"/>
            <w:vAlign w:val="center"/>
          </w:tcPr>
          <w:p w14:paraId="754CFAD6">
            <w:pPr>
              <w:rPr>
                <w:rFonts w:hint="eastAsia"/>
                <w:b/>
                <w:bCs/>
              </w:rPr>
            </w:pPr>
          </w:p>
        </w:tc>
        <w:tc>
          <w:tcPr>
            <w:tcW w:w="662" w:type="dxa"/>
            <w:noWrap w:val="0"/>
            <w:vAlign w:val="center"/>
          </w:tcPr>
          <w:p w14:paraId="677D2FE2">
            <w:pPr>
              <w:jc w:val="center"/>
              <w:rPr>
                <w:rFonts w:hint="eastAsia"/>
                <w:lang w:val="en-US" w:eastAsia="zh-CN"/>
              </w:rPr>
            </w:pPr>
            <w:r>
              <w:rPr>
                <w:rFonts w:hint="eastAsia"/>
                <w:lang w:val="en-US" w:eastAsia="zh-CN"/>
              </w:rPr>
              <w:t>A2</w:t>
            </w:r>
          </w:p>
        </w:tc>
        <w:tc>
          <w:tcPr>
            <w:tcW w:w="1175" w:type="dxa"/>
            <w:noWrap w:val="0"/>
            <w:vAlign w:val="center"/>
          </w:tcPr>
          <w:p w14:paraId="04A0428B">
            <w:pPr>
              <w:jc w:val="center"/>
              <w:rPr>
                <w:rFonts w:hint="default"/>
                <w:lang w:val="en-US" w:eastAsia="zh-CN"/>
              </w:rPr>
            </w:pPr>
            <w:r>
              <w:rPr>
                <w:rFonts w:hint="eastAsia"/>
                <w:lang w:val="en-US" w:eastAsia="zh-CN"/>
              </w:rPr>
              <w:t>320</w:t>
            </w:r>
          </w:p>
        </w:tc>
        <w:tc>
          <w:tcPr>
            <w:tcW w:w="1561" w:type="dxa"/>
            <w:noWrap w:val="0"/>
            <w:vAlign w:val="center"/>
          </w:tcPr>
          <w:p w14:paraId="7B448D8E">
            <w:pPr>
              <w:jc w:val="center"/>
              <w:rPr>
                <w:rFonts w:hint="eastAsia"/>
                <w:lang w:val="en-US" w:eastAsia="zh-CN"/>
              </w:rPr>
            </w:pPr>
            <w:r>
              <w:rPr>
                <w:rFonts w:hint="eastAsia"/>
                <w:lang w:val="en-US" w:eastAsia="zh-CN"/>
              </w:rPr>
              <w:t>2</w:t>
            </w:r>
          </w:p>
        </w:tc>
        <w:tc>
          <w:tcPr>
            <w:tcW w:w="3162" w:type="dxa"/>
            <w:noWrap w:val="0"/>
            <w:vAlign w:val="center"/>
          </w:tcPr>
          <w:p w14:paraId="0C3F6E5B">
            <w:pPr>
              <w:jc w:val="left"/>
              <w:rPr>
                <w:rFonts w:hint="eastAsia"/>
                <w:lang w:val="en-US" w:eastAsia="zh-CN"/>
              </w:rPr>
            </w:pPr>
            <w:r>
              <w:rPr>
                <w:rFonts w:hint="eastAsia"/>
                <w:lang w:val="en-US" w:eastAsia="zh-CN"/>
              </w:rPr>
              <w:t>石质：整体使用整石镂空，大理石、花岗岩等同档次材质、且单个骨灰盒不得使用石质板材粘接或合成材质制作</w:t>
            </w:r>
          </w:p>
        </w:tc>
        <w:tc>
          <w:tcPr>
            <w:tcW w:w="1135" w:type="dxa"/>
            <w:noWrap w:val="0"/>
            <w:vAlign w:val="center"/>
          </w:tcPr>
          <w:p w14:paraId="43D7CA64">
            <w:pPr>
              <w:jc w:val="center"/>
              <w:rPr>
                <w:rFonts w:hint="default"/>
                <w:lang w:val="en-US" w:eastAsia="zh-CN"/>
              </w:rPr>
            </w:pPr>
            <w:r>
              <w:rPr>
                <w:rFonts w:hint="eastAsia"/>
                <w:lang w:val="en-US" w:eastAsia="zh-CN"/>
              </w:rPr>
              <w:t>固定报价</w:t>
            </w:r>
          </w:p>
        </w:tc>
      </w:tr>
      <w:tr w14:paraId="3C170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1991" w:type="dxa"/>
            <w:vMerge w:val="restart"/>
            <w:noWrap w:val="0"/>
            <w:vAlign w:val="center"/>
          </w:tcPr>
          <w:p w14:paraId="7381CD2E">
            <w:pPr>
              <w:jc w:val="center"/>
              <w:rPr>
                <w:rFonts w:hint="eastAsia"/>
                <w:b/>
                <w:bCs/>
                <w:lang w:val="en-US" w:eastAsia="zh-CN"/>
              </w:rPr>
            </w:pPr>
            <w:r>
              <w:rPr>
                <w:rFonts w:hint="eastAsia"/>
                <w:b/>
                <w:bCs/>
                <w:lang w:val="en-US" w:eastAsia="zh-CN"/>
              </w:rPr>
              <w:t>B类常规款骨灰盒</w:t>
            </w:r>
          </w:p>
        </w:tc>
        <w:tc>
          <w:tcPr>
            <w:tcW w:w="662" w:type="dxa"/>
            <w:vMerge w:val="restart"/>
            <w:noWrap w:val="0"/>
            <w:vAlign w:val="center"/>
          </w:tcPr>
          <w:p w14:paraId="4FAE3058">
            <w:pPr>
              <w:jc w:val="center"/>
              <w:rPr>
                <w:rFonts w:hint="default"/>
                <w:lang w:val="en-US" w:eastAsia="zh-CN"/>
              </w:rPr>
            </w:pPr>
            <w:r>
              <w:rPr>
                <w:rFonts w:hint="eastAsia"/>
                <w:lang w:val="en-US" w:eastAsia="zh-CN"/>
              </w:rPr>
              <w:t>B1</w:t>
            </w:r>
          </w:p>
        </w:tc>
        <w:tc>
          <w:tcPr>
            <w:tcW w:w="1175" w:type="dxa"/>
            <w:noWrap w:val="0"/>
            <w:vAlign w:val="center"/>
          </w:tcPr>
          <w:p w14:paraId="5BD0587D">
            <w:pPr>
              <w:jc w:val="center"/>
              <w:rPr>
                <w:rFonts w:hint="default"/>
                <w:lang w:val="en-US" w:eastAsia="zh-CN"/>
              </w:rPr>
            </w:pPr>
            <w:r>
              <w:rPr>
                <w:rFonts w:hint="eastAsia"/>
                <w:lang w:val="en-US" w:eastAsia="zh-CN"/>
              </w:rPr>
              <w:t>400</w:t>
            </w:r>
          </w:p>
        </w:tc>
        <w:tc>
          <w:tcPr>
            <w:tcW w:w="1561" w:type="dxa"/>
            <w:noWrap w:val="0"/>
            <w:vAlign w:val="center"/>
          </w:tcPr>
          <w:p w14:paraId="0E30F82D">
            <w:pPr>
              <w:jc w:val="center"/>
              <w:rPr>
                <w:rFonts w:hint="eastAsia"/>
                <w:lang w:val="en-US" w:eastAsia="zh-CN"/>
              </w:rPr>
            </w:pPr>
            <w:r>
              <w:rPr>
                <w:rFonts w:hint="eastAsia"/>
                <w:lang w:val="en-US" w:eastAsia="zh-CN"/>
              </w:rPr>
              <w:t>1</w:t>
            </w:r>
          </w:p>
        </w:tc>
        <w:tc>
          <w:tcPr>
            <w:tcW w:w="3162" w:type="dxa"/>
            <w:vMerge w:val="restart"/>
            <w:noWrap w:val="0"/>
            <w:vAlign w:val="center"/>
          </w:tcPr>
          <w:p w14:paraId="7E29E8C7">
            <w:pPr>
              <w:jc w:val="left"/>
              <w:rPr>
                <w:rFonts w:hint="eastAsia"/>
                <w:lang w:val="en-US" w:eastAsia="zh-CN"/>
              </w:rPr>
            </w:pPr>
            <w:r>
              <w:rPr>
                <w:rFonts w:hint="eastAsia"/>
                <w:lang w:val="en-US" w:eastAsia="zh-CN"/>
              </w:rPr>
              <w:t>木质：整体使用原木，圆盘豆、</w:t>
            </w:r>
            <w:r>
              <w:rPr>
                <w:rFonts w:hint="eastAsia"/>
                <w:color w:val="auto"/>
                <w:lang w:val="en-US" w:eastAsia="zh-CN"/>
              </w:rPr>
              <w:t>姜饼木、摘亚木、等同</w:t>
            </w:r>
            <w:r>
              <w:rPr>
                <w:rFonts w:hint="eastAsia"/>
                <w:lang w:val="en-US" w:eastAsia="zh-CN"/>
              </w:rPr>
              <w:t>档次材质，且单个骨灰盒只能由一种木材制成。</w:t>
            </w:r>
          </w:p>
        </w:tc>
        <w:tc>
          <w:tcPr>
            <w:tcW w:w="1135" w:type="dxa"/>
            <w:noWrap w:val="0"/>
            <w:vAlign w:val="center"/>
          </w:tcPr>
          <w:p w14:paraId="356EAB55">
            <w:pPr>
              <w:jc w:val="center"/>
              <w:rPr>
                <w:rFonts w:hint="default"/>
                <w:lang w:val="en-US" w:eastAsia="zh-CN"/>
              </w:rPr>
            </w:pPr>
          </w:p>
        </w:tc>
      </w:tr>
      <w:tr w14:paraId="5F6FB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6" w:hRule="atLeast"/>
        </w:trPr>
        <w:tc>
          <w:tcPr>
            <w:tcW w:w="1991" w:type="dxa"/>
            <w:vMerge w:val="continue"/>
            <w:noWrap w:val="0"/>
            <w:vAlign w:val="center"/>
          </w:tcPr>
          <w:p w14:paraId="379B4FF7">
            <w:pPr>
              <w:jc w:val="center"/>
            </w:pPr>
          </w:p>
        </w:tc>
        <w:tc>
          <w:tcPr>
            <w:tcW w:w="662" w:type="dxa"/>
            <w:vMerge w:val="continue"/>
            <w:noWrap w:val="0"/>
            <w:vAlign w:val="center"/>
          </w:tcPr>
          <w:p w14:paraId="7D8DBD70">
            <w:pPr>
              <w:jc w:val="center"/>
            </w:pPr>
          </w:p>
        </w:tc>
        <w:tc>
          <w:tcPr>
            <w:tcW w:w="1175" w:type="dxa"/>
            <w:noWrap w:val="0"/>
            <w:vAlign w:val="center"/>
          </w:tcPr>
          <w:p w14:paraId="68085B38">
            <w:pPr>
              <w:jc w:val="center"/>
              <w:rPr>
                <w:rFonts w:hint="default"/>
                <w:lang w:val="en-US" w:eastAsia="zh-CN"/>
              </w:rPr>
            </w:pPr>
            <w:r>
              <w:rPr>
                <w:rFonts w:hint="eastAsia"/>
                <w:lang w:val="en-US" w:eastAsia="zh-CN"/>
              </w:rPr>
              <w:t>500</w:t>
            </w:r>
          </w:p>
        </w:tc>
        <w:tc>
          <w:tcPr>
            <w:tcW w:w="1561" w:type="dxa"/>
            <w:noWrap w:val="0"/>
            <w:vAlign w:val="center"/>
          </w:tcPr>
          <w:p w14:paraId="2AEACE19">
            <w:pPr>
              <w:jc w:val="center"/>
              <w:rPr>
                <w:rFonts w:hint="default"/>
                <w:lang w:val="en-US" w:eastAsia="zh-CN"/>
              </w:rPr>
            </w:pPr>
            <w:r>
              <w:rPr>
                <w:rFonts w:hint="eastAsia"/>
                <w:lang w:val="en-US" w:eastAsia="zh-CN"/>
              </w:rPr>
              <w:t>1</w:t>
            </w:r>
          </w:p>
        </w:tc>
        <w:tc>
          <w:tcPr>
            <w:tcW w:w="3162" w:type="dxa"/>
            <w:vMerge w:val="continue"/>
            <w:noWrap w:val="0"/>
            <w:vAlign w:val="center"/>
          </w:tcPr>
          <w:p w14:paraId="08EE6BF4">
            <w:pPr>
              <w:jc w:val="left"/>
              <w:rPr>
                <w:rFonts w:hint="eastAsia"/>
                <w:lang w:val="en-US" w:eastAsia="zh-CN"/>
              </w:rPr>
            </w:pPr>
          </w:p>
        </w:tc>
        <w:tc>
          <w:tcPr>
            <w:tcW w:w="1135" w:type="dxa"/>
            <w:noWrap w:val="0"/>
            <w:vAlign w:val="center"/>
          </w:tcPr>
          <w:p w14:paraId="7380E3E4">
            <w:pPr>
              <w:jc w:val="center"/>
              <w:rPr>
                <w:rFonts w:hint="eastAsia"/>
                <w:lang w:val="en-US" w:eastAsia="zh-CN"/>
              </w:rPr>
            </w:pPr>
          </w:p>
        </w:tc>
      </w:tr>
      <w:tr w14:paraId="5BEB6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 w:hRule="atLeast"/>
        </w:trPr>
        <w:tc>
          <w:tcPr>
            <w:tcW w:w="1991" w:type="dxa"/>
            <w:vMerge w:val="continue"/>
            <w:noWrap w:val="0"/>
            <w:vAlign w:val="center"/>
          </w:tcPr>
          <w:p w14:paraId="17970D36">
            <w:pPr>
              <w:jc w:val="center"/>
              <w:rPr>
                <w:rFonts w:hint="eastAsia"/>
                <w:lang w:val="en-US" w:eastAsia="zh-CN"/>
              </w:rPr>
            </w:pPr>
          </w:p>
        </w:tc>
        <w:tc>
          <w:tcPr>
            <w:tcW w:w="662" w:type="dxa"/>
            <w:vMerge w:val="continue"/>
            <w:noWrap w:val="0"/>
            <w:vAlign w:val="center"/>
          </w:tcPr>
          <w:p w14:paraId="73D89B78">
            <w:pPr>
              <w:jc w:val="center"/>
              <w:rPr>
                <w:rFonts w:hint="eastAsia"/>
                <w:lang w:val="en-US" w:eastAsia="zh-CN"/>
              </w:rPr>
            </w:pPr>
          </w:p>
        </w:tc>
        <w:tc>
          <w:tcPr>
            <w:tcW w:w="1175" w:type="dxa"/>
            <w:noWrap w:val="0"/>
            <w:vAlign w:val="center"/>
          </w:tcPr>
          <w:p w14:paraId="33A8A5CD">
            <w:pPr>
              <w:jc w:val="center"/>
              <w:rPr>
                <w:rFonts w:hint="default"/>
                <w:lang w:val="en-US" w:eastAsia="zh-CN"/>
              </w:rPr>
            </w:pPr>
            <w:r>
              <w:rPr>
                <w:rFonts w:hint="eastAsia"/>
                <w:lang w:val="en-US" w:eastAsia="zh-CN"/>
              </w:rPr>
              <w:t>600</w:t>
            </w:r>
          </w:p>
        </w:tc>
        <w:tc>
          <w:tcPr>
            <w:tcW w:w="1561" w:type="dxa"/>
            <w:noWrap w:val="0"/>
            <w:vAlign w:val="center"/>
          </w:tcPr>
          <w:p w14:paraId="4B9401CB">
            <w:pPr>
              <w:jc w:val="center"/>
              <w:rPr>
                <w:rFonts w:hint="default"/>
                <w:lang w:val="en-US" w:eastAsia="zh-CN"/>
              </w:rPr>
            </w:pPr>
            <w:r>
              <w:rPr>
                <w:rFonts w:hint="eastAsia"/>
                <w:lang w:val="en-US" w:eastAsia="zh-CN"/>
              </w:rPr>
              <w:t>1</w:t>
            </w:r>
          </w:p>
        </w:tc>
        <w:tc>
          <w:tcPr>
            <w:tcW w:w="3162" w:type="dxa"/>
            <w:vMerge w:val="continue"/>
            <w:noWrap w:val="0"/>
            <w:vAlign w:val="center"/>
          </w:tcPr>
          <w:p w14:paraId="25BBB940">
            <w:pPr>
              <w:jc w:val="left"/>
              <w:rPr>
                <w:rFonts w:hint="eastAsia"/>
                <w:lang w:val="en-US" w:eastAsia="zh-CN"/>
              </w:rPr>
            </w:pPr>
          </w:p>
        </w:tc>
        <w:tc>
          <w:tcPr>
            <w:tcW w:w="1135" w:type="dxa"/>
            <w:noWrap w:val="0"/>
            <w:vAlign w:val="center"/>
          </w:tcPr>
          <w:p w14:paraId="50340DEB">
            <w:pPr>
              <w:jc w:val="center"/>
              <w:rPr>
                <w:rFonts w:hint="default"/>
                <w:lang w:val="en-US" w:eastAsia="zh-CN"/>
              </w:rPr>
            </w:pPr>
          </w:p>
        </w:tc>
      </w:tr>
      <w:tr w14:paraId="04D0D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991" w:type="dxa"/>
            <w:vMerge w:val="continue"/>
            <w:noWrap w:val="0"/>
            <w:vAlign w:val="center"/>
          </w:tcPr>
          <w:p w14:paraId="702913A1">
            <w:pPr>
              <w:jc w:val="center"/>
              <w:rPr>
                <w:rFonts w:hint="eastAsia"/>
                <w:b/>
                <w:bCs/>
                <w:lang w:val="en-US" w:eastAsia="zh-CN"/>
              </w:rPr>
            </w:pPr>
          </w:p>
        </w:tc>
        <w:tc>
          <w:tcPr>
            <w:tcW w:w="662" w:type="dxa"/>
            <w:vMerge w:val="restart"/>
            <w:noWrap w:val="0"/>
            <w:vAlign w:val="center"/>
          </w:tcPr>
          <w:p w14:paraId="51471260">
            <w:pPr>
              <w:jc w:val="center"/>
              <w:rPr>
                <w:rFonts w:hint="default"/>
                <w:lang w:val="en-US" w:eastAsia="zh-CN"/>
              </w:rPr>
            </w:pPr>
            <w:r>
              <w:rPr>
                <w:rFonts w:hint="eastAsia"/>
                <w:lang w:val="en-US" w:eastAsia="zh-CN"/>
              </w:rPr>
              <w:t>B2</w:t>
            </w:r>
          </w:p>
        </w:tc>
        <w:tc>
          <w:tcPr>
            <w:tcW w:w="1175" w:type="dxa"/>
            <w:noWrap w:val="0"/>
            <w:vAlign w:val="center"/>
          </w:tcPr>
          <w:p w14:paraId="07EC0203">
            <w:pPr>
              <w:jc w:val="center"/>
              <w:rPr>
                <w:rFonts w:hint="default"/>
                <w:lang w:val="en-US" w:eastAsia="zh-CN"/>
              </w:rPr>
            </w:pPr>
            <w:r>
              <w:rPr>
                <w:rFonts w:hint="eastAsia"/>
                <w:lang w:val="en-US" w:eastAsia="zh-CN"/>
              </w:rPr>
              <w:t>400</w:t>
            </w:r>
          </w:p>
        </w:tc>
        <w:tc>
          <w:tcPr>
            <w:tcW w:w="1561" w:type="dxa"/>
            <w:noWrap w:val="0"/>
            <w:vAlign w:val="center"/>
          </w:tcPr>
          <w:p w14:paraId="0D78E610">
            <w:pPr>
              <w:jc w:val="center"/>
              <w:rPr>
                <w:rFonts w:hint="eastAsia"/>
                <w:lang w:val="en-US" w:eastAsia="zh-CN"/>
              </w:rPr>
            </w:pPr>
            <w:r>
              <w:rPr>
                <w:rFonts w:hint="eastAsia"/>
                <w:lang w:val="en-US" w:eastAsia="zh-CN"/>
              </w:rPr>
              <w:t>1</w:t>
            </w:r>
          </w:p>
        </w:tc>
        <w:tc>
          <w:tcPr>
            <w:tcW w:w="3162" w:type="dxa"/>
            <w:vMerge w:val="restart"/>
            <w:noWrap w:val="0"/>
            <w:vAlign w:val="center"/>
          </w:tcPr>
          <w:p w14:paraId="15807ACB">
            <w:pPr>
              <w:jc w:val="left"/>
              <w:rPr>
                <w:rFonts w:hint="eastAsia"/>
                <w:lang w:val="en-US" w:eastAsia="zh-CN"/>
              </w:rPr>
            </w:pPr>
            <w:r>
              <w:rPr>
                <w:rFonts w:hint="eastAsia"/>
                <w:lang w:val="en-US" w:eastAsia="zh-CN"/>
              </w:rPr>
              <w:t>石质：整体使用整石镂空，方解石、花岗岩等同档次材质、且单个骨灰盒不得使用石质板材粘接或合成材质制作</w:t>
            </w:r>
          </w:p>
        </w:tc>
        <w:tc>
          <w:tcPr>
            <w:tcW w:w="1135" w:type="dxa"/>
            <w:noWrap w:val="0"/>
            <w:vAlign w:val="center"/>
          </w:tcPr>
          <w:p w14:paraId="5CB626FF">
            <w:pPr>
              <w:jc w:val="center"/>
              <w:rPr>
                <w:rFonts w:hint="default"/>
                <w:lang w:val="en-US" w:eastAsia="zh-CN"/>
              </w:rPr>
            </w:pPr>
          </w:p>
        </w:tc>
      </w:tr>
      <w:tr w14:paraId="2A8E3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1991" w:type="dxa"/>
            <w:vMerge w:val="continue"/>
            <w:noWrap w:val="0"/>
            <w:vAlign w:val="center"/>
          </w:tcPr>
          <w:p w14:paraId="05133E49">
            <w:pPr>
              <w:jc w:val="center"/>
            </w:pPr>
          </w:p>
        </w:tc>
        <w:tc>
          <w:tcPr>
            <w:tcW w:w="662" w:type="dxa"/>
            <w:vMerge w:val="continue"/>
            <w:noWrap w:val="0"/>
            <w:vAlign w:val="center"/>
          </w:tcPr>
          <w:p w14:paraId="41E1431F">
            <w:pPr>
              <w:jc w:val="center"/>
            </w:pPr>
          </w:p>
        </w:tc>
        <w:tc>
          <w:tcPr>
            <w:tcW w:w="1175" w:type="dxa"/>
            <w:noWrap w:val="0"/>
            <w:vAlign w:val="center"/>
          </w:tcPr>
          <w:p w14:paraId="1902BF7A">
            <w:pPr>
              <w:jc w:val="center"/>
              <w:rPr>
                <w:rFonts w:hint="default"/>
                <w:lang w:val="en-US" w:eastAsia="zh-CN"/>
              </w:rPr>
            </w:pPr>
            <w:r>
              <w:rPr>
                <w:rFonts w:hint="eastAsia"/>
                <w:lang w:val="en-US" w:eastAsia="zh-CN"/>
              </w:rPr>
              <w:t>500</w:t>
            </w:r>
          </w:p>
        </w:tc>
        <w:tc>
          <w:tcPr>
            <w:tcW w:w="1561" w:type="dxa"/>
            <w:noWrap w:val="0"/>
            <w:vAlign w:val="center"/>
          </w:tcPr>
          <w:p w14:paraId="2E909CDF">
            <w:pPr>
              <w:jc w:val="center"/>
              <w:rPr>
                <w:rFonts w:hint="eastAsia"/>
                <w:lang w:val="en-US" w:eastAsia="zh-CN"/>
              </w:rPr>
            </w:pPr>
            <w:r>
              <w:rPr>
                <w:rFonts w:hint="eastAsia"/>
                <w:lang w:val="en-US" w:eastAsia="zh-CN"/>
              </w:rPr>
              <w:t>1</w:t>
            </w:r>
          </w:p>
        </w:tc>
        <w:tc>
          <w:tcPr>
            <w:tcW w:w="3162" w:type="dxa"/>
            <w:vMerge w:val="continue"/>
            <w:noWrap w:val="0"/>
            <w:vAlign w:val="center"/>
          </w:tcPr>
          <w:p w14:paraId="7E70083E">
            <w:pPr>
              <w:jc w:val="left"/>
              <w:rPr>
                <w:rFonts w:hint="eastAsia"/>
                <w:lang w:val="en-US" w:eastAsia="zh-CN"/>
              </w:rPr>
            </w:pPr>
          </w:p>
        </w:tc>
        <w:tc>
          <w:tcPr>
            <w:tcW w:w="1135" w:type="dxa"/>
            <w:noWrap w:val="0"/>
            <w:vAlign w:val="center"/>
          </w:tcPr>
          <w:p w14:paraId="00F2D49A">
            <w:pPr>
              <w:jc w:val="center"/>
              <w:rPr>
                <w:rFonts w:hint="eastAsia"/>
                <w:lang w:val="en-US" w:eastAsia="zh-CN"/>
              </w:rPr>
            </w:pPr>
          </w:p>
        </w:tc>
      </w:tr>
      <w:tr w14:paraId="1499C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trPr>
        <w:tc>
          <w:tcPr>
            <w:tcW w:w="1991" w:type="dxa"/>
            <w:vMerge w:val="continue"/>
            <w:noWrap w:val="0"/>
            <w:vAlign w:val="center"/>
          </w:tcPr>
          <w:p w14:paraId="17257837">
            <w:pPr>
              <w:jc w:val="center"/>
              <w:rPr>
                <w:rFonts w:hint="eastAsia"/>
                <w:lang w:val="en-US" w:eastAsia="zh-CN"/>
              </w:rPr>
            </w:pPr>
          </w:p>
        </w:tc>
        <w:tc>
          <w:tcPr>
            <w:tcW w:w="662" w:type="dxa"/>
            <w:vMerge w:val="continue"/>
            <w:noWrap w:val="0"/>
            <w:vAlign w:val="center"/>
          </w:tcPr>
          <w:p w14:paraId="2C3E4A35">
            <w:pPr>
              <w:jc w:val="center"/>
              <w:rPr>
                <w:rFonts w:hint="eastAsia"/>
                <w:lang w:val="en-US" w:eastAsia="zh-CN"/>
              </w:rPr>
            </w:pPr>
          </w:p>
        </w:tc>
        <w:tc>
          <w:tcPr>
            <w:tcW w:w="1175" w:type="dxa"/>
            <w:noWrap w:val="0"/>
            <w:vAlign w:val="center"/>
          </w:tcPr>
          <w:p w14:paraId="3CC40793">
            <w:pPr>
              <w:jc w:val="center"/>
              <w:rPr>
                <w:rFonts w:hint="default"/>
                <w:lang w:val="en-US" w:eastAsia="zh-CN"/>
              </w:rPr>
            </w:pPr>
            <w:r>
              <w:rPr>
                <w:rFonts w:hint="eastAsia"/>
                <w:lang w:val="en-US" w:eastAsia="zh-CN"/>
              </w:rPr>
              <w:t>600</w:t>
            </w:r>
          </w:p>
        </w:tc>
        <w:tc>
          <w:tcPr>
            <w:tcW w:w="1561" w:type="dxa"/>
            <w:noWrap w:val="0"/>
            <w:vAlign w:val="center"/>
          </w:tcPr>
          <w:p w14:paraId="3AD3DAE4">
            <w:pPr>
              <w:jc w:val="center"/>
              <w:rPr>
                <w:rFonts w:hint="eastAsia"/>
                <w:lang w:val="en-US" w:eastAsia="zh-CN"/>
              </w:rPr>
            </w:pPr>
            <w:r>
              <w:rPr>
                <w:rFonts w:hint="eastAsia"/>
                <w:lang w:val="en-US" w:eastAsia="zh-CN"/>
              </w:rPr>
              <w:t>1</w:t>
            </w:r>
          </w:p>
        </w:tc>
        <w:tc>
          <w:tcPr>
            <w:tcW w:w="3162" w:type="dxa"/>
            <w:vMerge w:val="continue"/>
            <w:noWrap w:val="0"/>
            <w:vAlign w:val="center"/>
          </w:tcPr>
          <w:p w14:paraId="4DF8DBC5">
            <w:pPr>
              <w:jc w:val="left"/>
              <w:rPr>
                <w:rFonts w:hint="eastAsia"/>
                <w:lang w:val="en-US" w:eastAsia="zh-CN"/>
              </w:rPr>
            </w:pPr>
          </w:p>
        </w:tc>
        <w:tc>
          <w:tcPr>
            <w:tcW w:w="1135" w:type="dxa"/>
            <w:noWrap w:val="0"/>
            <w:vAlign w:val="center"/>
          </w:tcPr>
          <w:p w14:paraId="69C39E92">
            <w:pPr>
              <w:jc w:val="center"/>
              <w:rPr>
                <w:rFonts w:hint="default"/>
                <w:lang w:val="en-US" w:eastAsia="zh-CN"/>
              </w:rPr>
            </w:pPr>
          </w:p>
        </w:tc>
      </w:tr>
      <w:tr w14:paraId="3CA0E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1991" w:type="dxa"/>
            <w:vMerge w:val="restart"/>
            <w:noWrap w:val="0"/>
            <w:vAlign w:val="center"/>
          </w:tcPr>
          <w:p w14:paraId="73BCC765">
            <w:pPr>
              <w:jc w:val="center"/>
              <w:rPr>
                <w:rFonts w:hint="eastAsia"/>
                <w:b/>
                <w:bCs/>
                <w:lang w:val="en-US" w:eastAsia="zh-CN"/>
              </w:rPr>
            </w:pPr>
            <w:r>
              <w:rPr>
                <w:rFonts w:hint="eastAsia"/>
                <w:b/>
                <w:bCs/>
                <w:lang w:val="en-US" w:eastAsia="zh-CN"/>
              </w:rPr>
              <w:t>C类常规款骨灰盒</w:t>
            </w:r>
          </w:p>
        </w:tc>
        <w:tc>
          <w:tcPr>
            <w:tcW w:w="662" w:type="dxa"/>
            <w:vMerge w:val="restart"/>
            <w:noWrap w:val="0"/>
            <w:vAlign w:val="center"/>
          </w:tcPr>
          <w:p w14:paraId="5BAE0CD6">
            <w:pPr>
              <w:jc w:val="center"/>
              <w:rPr>
                <w:rFonts w:hint="default"/>
                <w:lang w:val="en-US" w:eastAsia="zh-CN"/>
              </w:rPr>
            </w:pPr>
            <w:r>
              <w:rPr>
                <w:rFonts w:hint="eastAsia"/>
                <w:lang w:val="en-US" w:eastAsia="zh-CN"/>
              </w:rPr>
              <w:t>C1</w:t>
            </w:r>
          </w:p>
        </w:tc>
        <w:tc>
          <w:tcPr>
            <w:tcW w:w="1175" w:type="dxa"/>
            <w:noWrap w:val="0"/>
            <w:vAlign w:val="center"/>
          </w:tcPr>
          <w:p w14:paraId="65133DFA">
            <w:pPr>
              <w:jc w:val="center"/>
              <w:rPr>
                <w:rFonts w:hint="default"/>
                <w:lang w:val="en-US" w:eastAsia="zh-CN"/>
              </w:rPr>
            </w:pPr>
            <w:r>
              <w:rPr>
                <w:rFonts w:hint="eastAsia"/>
                <w:lang w:val="en-US" w:eastAsia="zh-CN"/>
              </w:rPr>
              <w:t>700</w:t>
            </w:r>
          </w:p>
        </w:tc>
        <w:tc>
          <w:tcPr>
            <w:tcW w:w="1561" w:type="dxa"/>
            <w:noWrap w:val="0"/>
            <w:vAlign w:val="center"/>
          </w:tcPr>
          <w:p w14:paraId="40072B05">
            <w:pPr>
              <w:jc w:val="center"/>
              <w:rPr>
                <w:rFonts w:hint="eastAsia"/>
                <w:lang w:val="en-US" w:eastAsia="zh-CN"/>
              </w:rPr>
            </w:pPr>
            <w:r>
              <w:rPr>
                <w:rFonts w:hint="eastAsia"/>
                <w:lang w:val="en-US" w:eastAsia="zh-CN"/>
              </w:rPr>
              <w:t>1</w:t>
            </w:r>
          </w:p>
        </w:tc>
        <w:tc>
          <w:tcPr>
            <w:tcW w:w="3162" w:type="dxa"/>
            <w:vMerge w:val="restart"/>
            <w:shd w:val="clear" w:color="auto" w:fill="auto"/>
            <w:noWrap w:val="0"/>
            <w:vAlign w:val="center"/>
          </w:tcPr>
          <w:p w14:paraId="0EB22F40">
            <w:pPr>
              <w:jc w:val="left"/>
              <w:rPr>
                <w:rFonts w:hint="eastAsia"/>
                <w:lang w:val="en-US" w:eastAsia="zh-CN"/>
              </w:rPr>
            </w:pPr>
            <w:r>
              <w:rPr>
                <w:rFonts w:hint="eastAsia"/>
                <w:lang w:val="en-US" w:eastAsia="zh-CN"/>
              </w:rPr>
              <w:t>木质：整体使用原木，印茄木、香脂木豆、鞘籽古夷苏木、风车木、等同档次材质，且单个骨灰盒只能由一种木材制成。</w:t>
            </w:r>
          </w:p>
        </w:tc>
        <w:tc>
          <w:tcPr>
            <w:tcW w:w="1135" w:type="dxa"/>
            <w:shd w:val="clear" w:color="auto" w:fill="auto"/>
            <w:noWrap w:val="0"/>
            <w:vAlign w:val="center"/>
          </w:tcPr>
          <w:p w14:paraId="1EEC08F6">
            <w:pPr>
              <w:jc w:val="center"/>
              <w:rPr>
                <w:rFonts w:hint="default"/>
                <w:lang w:val="en-US" w:eastAsia="zh-CN"/>
              </w:rPr>
            </w:pPr>
          </w:p>
        </w:tc>
      </w:tr>
      <w:tr w14:paraId="0EE50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1991" w:type="dxa"/>
            <w:vMerge w:val="continue"/>
            <w:noWrap w:val="0"/>
            <w:vAlign w:val="center"/>
          </w:tcPr>
          <w:p w14:paraId="41BF014A">
            <w:pPr>
              <w:jc w:val="center"/>
            </w:pPr>
          </w:p>
        </w:tc>
        <w:tc>
          <w:tcPr>
            <w:tcW w:w="662" w:type="dxa"/>
            <w:vMerge w:val="continue"/>
            <w:noWrap w:val="0"/>
            <w:vAlign w:val="center"/>
          </w:tcPr>
          <w:p w14:paraId="1EAA5C59">
            <w:pPr>
              <w:jc w:val="center"/>
            </w:pPr>
          </w:p>
        </w:tc>
        <w:tc>
          <w:tcPr>
            <w:tcW w:w="1175" w:type="dxa"/>
            <w:noWrap w:val="0"/>
            <w:vAlign w:val="center"/>
          </w:tcPr>
          <w:p w14:paraId="4D24A123">
            <w:pPr>
              <w:jc w:val="center"/>
              <w:rPr>
                <w:rFonts w:hint="default"/>
                <w:lang w:val="en-US" w:eastAsia="zh-CN"/>
              </w:rPr>
            </w:pPr>
            <w:r>
              <w:rPr>
                <w:rFonts w:hint="eastAsia"/>
                <w:lang w:val="en-US" w:eastAsia="zh-CN"/>
              </w:rPr>
              <w:t>800</w:t>
            </w:r>
          </w:p>
        </w:tc>
        <w:tc>
          <w:tcPr>
            <w:tcW w:w="1561" w:type="dxa"/>
            <w:noWrap w:val="0"/>
            <w:vAlign w:val="center"/>
          </w:tcPr>
          <w:p w14:paraId="166E21D8">
            <w:pPr>
              <w:jc w:val="center"/>
              <w:rPr>
                <w:rFonts w:hint="eastAsia"/>
                <w:lang w:val="en-US" w:eastAsia="zh-CN"/>
              </w:rPr>
            </w:pPr>
            <w:r>
              <w:rPr>
                <w:rFonts w:hint="eastAsia"/>
                <w:lang w:val="en-US" w:eastAsia="zh-CN"/>
              </w:rPr>
              <w:t>1</w:t>
            </w:r>
          </w:p>
        </w:tc>
        <w:tc>
          <w:tcPr>
            <w:tcW w:w="3162" w:type="dxa"/>
            <w:vMerge w:val="continue"/>
            <w:shd w:val="clear" w:color="auto" w:fill="auto"/>
            <w:noWrap w:val="0"/>
            <w:vAlign w:val="center"/>
          </w:tcPr>
          <w:p w14:paraId="2149AECB">
            <w:pPr>
              <w:jc w:val="left"/>
              <w:rPr>
                <w:rFonts w:hint="eastAsia"/>
                <w:lang w:val="en-US" w:eastAsia="zh-CN"/>
              </w:rPr>
            </w:pPr>
          </w:p>
        </w:tc>
        <w:tc>
          <w:tcPr>
            <w:tcW w:w="1135" w:type="dxa"/>
            <w:shd w:val="clear" w:color="auto" w:fill="auto"/>
            <w:noWrap w:val="0"/>
            <w:vAlign w:val="center"/>
          </w:tcPr>
          <w:p w14:paraId="4A2FA97E">
            <w:pPr>
              <w:jc w:val="center"/>
              <w:rPr>
                <w:rFonts w:hint="eastAsia"/>
                <w:lang w:val="en-US" w:eastAsia="zh-CN"/>
              </w:rPr>
            </w:pPr>
          </w:p>
        </w:tc>
      </w:tr>
      <w:tr w14:paraId="602EC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trPr>
        <w:tc>
          <w:tcPr>
            <w:tcW w:w="1991" w:type="dxa"/>
            <w:vMerge w:val="continue"/>
            <w:noWrap w:val="0"/>
            <w:vAlign w:val="center"/>
          </w:tcPr>
          <w:p w14:paraId="7A0647BB">
            <w:pPr>
              <w:jc w:val="center"/>
              <w:rPr>
                <w:rFonts w:hint="eastAsia"/>
                <w:lang w:val="en-US" w:eastAsia="zh-CN"/>
              </w:rPr>
            </w:pPr>
          </w:p>
        </w:tc>
        <w:tc>
          <w:tcPr>
            <w:tcW w:w="662" w:type="dxa"/>
            <w:vMerge w:val="continue"/>
            <w:noWrap w:val="0"/>
            <w:vAlign w:val="center"/>
          </w:tcPr>
          <w:p w14:paraId="62CE7E0D">
            <w:pPr>
              <w:jc w:val="center"/>
              <w:rPr>
                <w:rFonts w:hint="eastAsia"/>
                <w:lang w:val="en-US" w:eastAsia="zh-CN"/>
              </w:rPr>
            </w:pPr>
          </w:p>
        </w:tc>
        <w:tc>
          <w:tcPr>
            <w:tcW w:w="1175" w:type="dxa"/>
            <w:noWrap w:val="0"/>
            <w:vAlign w:val="center"/>
          </w:tcPr>
          <w:p w14:paraId="63784379">
            <w:pPr>
              <w:jc w:val="center"/>
              <w:rPr>
                <w:rFonts w:hint="default"/>
                <w:lang w:val="en-US" w:eastAsia="zh-CN"/>
              </w:rPr>
            </w:pPr>
            <w:r>
              <w:rPr>
                <w:rFonts w:hint="eastAsia"/>
                <w:lang w:val="en-US" w:eastAsia="zh-CN"/>
              </w:rPr>
              <w:t>900</w:t>
            </w:r>
          </w:p>
        </w:tc>
        <w:tc>
          <w:tcPr>
            <w:tcW w:w="1561" w:type="dxa"/>
            <w:noWrap w:val="0"/>
            <w:vAlign w:val="center"/>
          </w:tcPr>
          <w:p w14:paraId="41512049">
            <w:pPr>
              <w:jc w:val="center"/>
              <w:rPr>
                <w:rFonts w:hint="eastAsia"/>
                <w:lang w:val="en-US" w:eastAsia="zh-CN"/>
              </w:rPr>
            </w:pPr>
            <w:r>
              <w:rPr>
                <w:rFonts w:hint="eastAsia"/>
                <w:lang w:val="en-US" w:eastAsia="zh-CN"/>
              </w:rPr>
              <w:t>1</w:t>
            </w:r>
          </w:p>
        </w:tc>
        <w:tc>
          <w:tcPr>
            <w:tcW w:w="3162" w:type="dxa"/>
            <w:vMerge w:val="continue"/>
            <w:shd w:val="clear" w:color="auto" w:fill="auto"/>
            <w:noWrap w:val="0"/>
            <w:vAlign w:val="center"/>
          </w:tcPr>
          <w:p w14:paraId="19918F56">
            <w:pPr>
              <w:jc w:val="left"/>
              <w:rPr>
                <w:rFonts w:hint="eastAsia"/>
                <w:lang w:val="en-US" w:eastAsia="zh-CN"/>
              </w:rPr>
            </w:pPr>
          </w:p>
        </w:tc>
        <w:tc>
          <w:tcPr>
            <w:tcW w:w="1135" w:type="dxa"/>
            <w:shd w:val="clear" w:color="auto" w:fill="auto"/>
            <w:noWrap w:val="0"/>
            <w:vAlign w:val="center"/>
          </w:tcPr>
          <w:p w14:paraId="11AA0EF5">
            <w:pPr>
              <w:jc w:val="center"/>
              <w:rPr>
                <w:rFonts w:hint="default"/>
                <w:lang w:val="en-US" w:eastAsia="zh-CN"/>
              </w:rPr>
            </w:pPr>
          </w:p>
        </w:tc>
      </w:tr>
      <w:tr w14:paraId="40564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991" w:type="dxa"/>
            <w:vMerge w:val="continue"/>
            <w:noWrap w:val="0"/>
            <w:vAlign w:val="center"/>
          </w:tcPr>
          <w:p w14:paraId="43B1FF22">
            <w:pPr>
              <w:jc w:val="center"/>
              <w:rPr>
                <w:rFonts w:hint="eastAsia"/>
                <w:b/>
                <w:bCs/>
                <w:lang w:val="en-US" w:eastAsia="zh-CN"/>
              </w:rPr>
            </w:pPr>
          </w:p>
        </w:tc>
        <w:tc>
          <w:tcPr>
            <w:tcW w:w="662" w:type="dxa"/>
            <w:vMerge w:val="restart"/>
            <w:noWrap w:val="0"/>
            <w:vAlign w:val="center"/>
          </w:tcPr>
          <w:p w14:paraId="65CFF5CB">
            <w:pPr>
              <w:jc w:val="center"/>
              <w:rPr>
                <w:rFonts w:hint="default"/>
                <w:lang w:val="en-US" w:eastAsia="zh-CN"/>
              </w:rPr>
            </w:pPr>
            <w:r>
              <w:rPr>
                <w:rFonts w:hint="eastAsia"/>
                <w:lang w:val="en-US" w:eastAsia="zh-CN"/>
              </w:rPr>
              <w:t>C2</w:t>
            </w:r>
          </w:p>
        </w:tc>
        <w:tc>
          <w:tcPr>
            <w:tcW w:w="1175" w:type="dxa"/>
            <w:noWrap w:val="0"/>
            <w:vAlign w:val="center"/>
          </w:tcPr>
          <w:p w14:paraId="5B13D1E5">
            <w:pPr>
              <w:jc w:val="center"/>
              <w:rPr>
                <w:rFonts w:hint="default"/>
                <w:lang w:val="en-US" w:eastAsia="zh-CN"/>
              </w:rPr>
            </w:pPr>
            <w:r>
              <w:rPr>
                <w:rFonts w:hint="eastAsia"/>
                <w:lang w:val="en-US" w:eastAsia="zh-CN"/>
              </w:rPr>
              <w:t>700</w:t>
            </w:r>
          </w:p>
        </w:tc>
        <w:tc>
          <w:tcPr>
            <w:tcW w:w="1561" w:type="dxa"/>
            <w:noWrap w:val="0"/>
            <w:vAlign w:val="center"/>
          </w:tcPr>
          <w:p w14:paraId="34E27824">
            <w:pPr>
              <w:jc w:val="center"/>
              <w:rPr>
                <w:rFonts w:hint="eastAsia"/>
                <w:lang w:val="en-US" w:eastAsia="zh-CN"/>
              </w:rPr>
            </w:pPr>
            <w:r>
              <w:rPr>
                <w:rFonts w:hint="eastAsia"/>
                <w:lang w:val="en-US" w:eastAsia="zh-CN"/>
              </w:rPr>
              <w:t>1</w:t>
            </w:r>
          </w:p>
        </w:tc>
        <w:tc>
          <w:tcPr>
            <w:tcW w:w="3162" w:type="dxa"/>
            <w:vMerge w:val="restart"/>
            <w:shd w:val="clear" w:color="auto" w:fill="auto"/>
            <w:noWrap w:val="0"/>
            <w:vAlign w:val="center"/>
          </w:tcPr>
          <w:p w14:paraId="6914A46B">
            <w:pPr>
              <w:jc w:val="left"/>
              <w:rPr>
                <w:rFonts w:hint="eastAsia"/>
                <w:lang w:val="en-US" w:eastAsia="zh-CN"/>
              </w:rPr>
            </w:pPr>
            <w:r>
              <w:rPr>
                <w:rFonts w:hint="eastAsia"/>
                <w:lang w:val="en-US" w:eastAsia="zh-CN"/>
              </w:rPr>
              <w:t>石质：整体使用整石镂空，方解石、碳酸盐质玉等同档次材质、且单个骨灰盒不得使用石质板材粘接或合成材质制作</w:t>
            </w:r>
          </w:p>
        </w:tc>
        <w:tc>
          <w:tcPr>
            <w:tcW w:w="1135" w:type="dxa"/>
            <w:shd w:val="clear" w:color="auto" w:fill="auto"/>
            <w:noWrap w:val="0"/>
            <w:vAlign w:val="center"/>
          </w:tcPr>
          <w:p w14:paraId="1C47EB4E">
            <w:pPr>
              <w:jc w:val="center"/>
              <w:rPr>
                <w:rFonts w:hint="default"/>
                <w:lang w:val="en-US" w:eastAsia="zh-CN"/>
              </w:rPr>
            </w:pPr>
          </w:p>
        </w:tc>
      </w:tr>
      <w:tr w14:paraId="5C24C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1991" w:type="dxa"/>
            <w:vMerge w:val="continue"/>
            <w:noWrap w:val="0"/>
            <w:vAlign w:val="center"/>
          </w:tcPr>
          <w:p w14:paraId="0B8922BB">
            <w:pPr>
              <w:jc w:val="center"/>
            </w:pPr>
          </w:p>
        </w:tc>
        <w:tc>
          <w:tcPr>
            <w:tcW w:w="662" w:type="dxa"/>
            <w:vMerge w:val="continue"/>
            <w:noWrap w:val="0"/>
            <w:vAlign w:val="center"/>
          </w:tcPr>
          <w:p w14:paraId="6F4A6241">
            <w:pPr>
              <w:jc w:val="center"/>
            </w:pPr>
          </w:p>
        </w:tc>
        <w:tc>
          <w:tcPr>
            <w:tcW w:w="1175" w:type="dxa"/>
            <w:noWrap w:val="0"/>
            <w:vAlign w:val="center"/>
          </w:tcPr>
          <w:p w14:paraId="28C614F6">
            <w:pPr>
              <w:jc w:val="center"/>
              <w:rPr>
                <w:rFonts w:hint="eastAsia"/>
                <w:lang w:val="en-US" w:eastAsia="zh-CN"/>
              </w:rPr>
            </w:pPr>
            <w:r>
              <w:rPr>
                <w:rFonts w:hint="eastAsia"/>
                <w:lang w:val="en-US" w:eastAsia="zh-CN"/>
              </w:rPr>
              <w:t>800</w:t>
            </w:r>
          </w:p>
        </w:tc>
        <w:tc>
          <w:tcPr>
            <w:tcW w:w="1561" w:type="dxa"/>
            <w:noWrap w:val="0"/>
            <w:vAlign w:val="center"/>
          </w:tcPr>
          <w:p w14:paraId="38545B3A">
            <w:pPr>
              <w:jc w:val="center"/>
              <w:rPr>
                <w:rFonts w:hint="eastAsia"/>
                <w:lang w:val="en-US" w:eastAsia="zh-CN"/>
              </w:rPr>
            </w:pPr>
            <w:r>
              <w:rPr>
                <w:rFonts w:hint="eastAsia"/>
                <w:lang w:val="en-US" w:eastAsia="zh-CN"/>
              </w:rPr>
              <w:t>1</w:t>
            </w:r>
          </w:p>
        </w:tc>
        <w:tc>
          <w:tcPr>
            <w:tcW w:w="3162" w:type="dxa"/>
            <w:vMerge w:val="continue"/>
            <w:shd w:val="clear" w:color="auto" w:fill="auto"/>
            <w:noWrap w:val="0"/>
            <w:vAlign w:val="center"/>
          </w:tcPr>
          <w:p w14:paraId="03139230">
            <w:pPr>
              <w:jc w:val="left"/>
              <w:rPr>
                <w:rFonts w:hint="eastAsia"/>
                <w:lang w:val="en-US" w:eastAsia="zh-CN"/>
              </w:rPr>
            </w:pPr>
          </w:p>
        </w:tc>
        <w:tc>
          <w:tcPr>
            <w:tcW w:w="1135" w:type="dxa"/>
            <w:shd w:val="clear" w:color="auto" w:fill="auto"/>
            <w:noWrap w:val="0"/>
            <w:vAlign w:val="center"/>
          </w:tcPr>
          <w:p w14:paraId="38C89178">
            <w:pPr>
              <w:jc w:val="center"/>
              <w:rPr>
                <w:rFonts w:hint="eastAsia"/>
                <w:lang w:val="en-US" w:eastAsia="zh-CN"/>
              </w:rPr>
            </w:pPr>
          </w:p>
        </w:tc>
      </w:tr>
      <w:tr w14:paraId="1ADB4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 w:hRule="atLeast"/>
        </w:trPr>
        <w:tc>
          <w:tcPr>
            <w:tcW w:w="1991" w:type="dxa"/>
            <w:vMerge w:val="continue"/>
            <w:noWrap w:val="0"/>
            <w:vAlign w:val="center"/>
          </w:tcPr>
          <w:p w14:paraId="6BAE8B3E">
            <w:pPr>
              <w:jc w:val="center"/>
              <w:rPr>
                <w:rFonts w:hint="eastAsia"/>
                <w:lang w:val="en-US" w:eastAsia="zh-CN"/>
              </w:rPr>
            </w:pPr>
          </w:p>
        </w:tc>
        <w:tc>
          <w:tcPr>
            <w:tcW w:w="662" w:type="dxa"/>
            <w:vMerge w:val="continue"/>
            <w:noWrap w:val="0"/>
            <w:vAlign w:val="center"/>
          </w:tcPr>
          <w:p w14:paraId="78FB16BC">
            <w:pPr>
              <w:jc w:val="center"/>
              <w:rPr>
                <w:rFonts w:hint="eastAsia"/>
                <w:lang w:val="en-US" w:eastAsia="zh-CN"/>
              </w:rPr>
            </w:pPr>
          </w:p>
        </w:tc>
        <w:tc>
          <w:tcPr>
            <w:tcW w:w="1175" w:type="dxa"/>
            <w:noWrap w:val="0"/>
            <w:vAlign w:val="center"/>
          </w:tcPr>
          <w:p w14:paraId="14F9479B">
            <w:pPr>
              <w:jc w:val="center"/>
              <w:rPr>
                <w:rFonts w:hint="eastAsia"/>
                <w:lang w:val="en-US" w:eastAsia="zh-CN"/>
              </w:rPr>
            </w:pPr>
            <w:r>
              <w:rPr>
                <w:rFonts w:hint="eastAsia"/>
                <w:lang w:val="en-US" w:eastAsia="zh-CN"/>
              </w:rPr>
              <w:t>900</w:t>
            </w:r>
          </w:p>
        </w:tc>
        <w:tc>
          <w:tcPr>
            <w:tcW w:w="1561" w:type="dxa"/>
            <w:noWrap w:val="0"/>
            <w:vAlign w:val="center"/>
          </w:tcPr>
          <w:p w14:paraId="3024B830">
            <w:pPr>
              <w:jc w:val="center"/>
              <w:rPr>
                <w:rFonts w:hint="eastAsia"/>
                <w:lang w:val="en-US" w:eastAsia="zh-CN"/>
              </w:rPr>
            </w:pPr>
            <w:r>
              <w:rPr>
                <w:rFonts w:hint="eastAsia"/>
                <w:lang w:val="en-US" w:eastAsia="zh-CN"/>
              </w:rPr>
              <w:t>1</w:t>
            </w:r>
          </w:p>
        </w:tc>
        <w:tc>
          <w:tcPr>
            <w:tcW w:w="3162" w:type="dxa"/>
            <w:vMerge w:val="continue"/>
            <w:shd w:val="clear" w:color="auto" w:fill="auto"/>
            <w:noWrap w:val="0"/>
            <w:vAlign w:val="center"/>
          </w:tcPr>
          <w:p w14:paraId="01CA602C">
            <w:pPr>
              <w:jc w:val="left"/>
              <w:rPr>
                <w:rFonts w:hint="eastAsia"/>
                <w:lang w:val="en-US" w:eastAsia="zh-CN"/>
              </w:rPr>
            </w:pPr>
          </w:p>
        </w:tc>
        <w:tc>
          <w:tcPr>
            <w:tcW w:w="1135" w:type="dxa"/>
            <w:shd w:val="clear" w:color="auto" w:fill="auto"/>
            <w:noWrap w:val="0"/>
            <w:vAlign w:val="center"/>
          </w:tcPr>
          <w:p w14:paraId="1DB74502">
            <w:pPr>
              <w:jc w:val="center"/>
              <w:rPr>
                <w:rFonts w:hint="default"/>
                <w:lang w:val="en-US" w:eastAsia="zh-CN"/>
              </w:rPr>
            </w:pPr>
          </w:p>
        </w:tc>
      </w:tr>
      <w:tr w14:paraId="66D68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1991" w:type="dxa"/>
            <w:vMerge w:val="restart"/>
            <w:noWrap w:val="0"/>
            <w:vAlign w:val="center"/>
          </w:tcPr>
          <w:p w14:paraId="63D7DF42">
            <w:pPr>
              <w:jc w:val="center"/>
              <w:rPr>
                <w:rFonts w:hint="eastAsia"/>
                <w:b/>
                <w:bCs/>
                <w:lang w:val="en-US" w:eastAsia="zh-CN"/>
              </w:rPr>
            </w:pPr>
            <w:bookmarkStart w:id="0" w:name="OLE_LINK1" w:colFirst="3" w:colLast="3"/>
            <w:r>
              <w:rPr>
                <w:rFonts w:hint="eastAsia"/>
                <w:b/>
                <w:bCs/>
                <w:lang w:val="en-US" w:eastAsia="zh-CN"/>
              </w:rPr>
              <w:t>D类常规款骨灰盒</w:t>
            </w:r>
          </w:p>
        </w:tc>
        <w:tc>
          <w:tcPr>
            <w:tcW w:w="662" w:type="dxa"/>
            <w:vMerge w:val="restart"/>
            <w:noWrap w:val="0"/>
            <w:vAlign w:val="center"/>
          </w:tcPr>
          <w:p w14:paraId="564CF212">
            <w:pPr>
              <w:jc w:val="center"/>
              <w:rPr>
                <w:rFonts w:hint="default"/>
                <w:lang w:val="en-US" w:eastAsia="zh-CN"/>
              </w:rPr>
            </w:pPr>
            <w:r>
              <w:rPr>
                <w:rFonts w:hint="eastAsia"/>
                <w:lang w:val="en-US" w:eastAsia="zh-CN"/>
              </w:rPr>
              <w:t>D1</w:t>
            </w:r>
          </w:p>
        </w:tc>
        <w:tc>
          <w:tcPr>
            <w:tcW w:w="1175" w:type="dxa"/>
            <w:noWrap w:val="0"/>
            <w:vAlign w:val="center"/>
          </w:tcPr>
          <w:p w14:paraId="4D9FBBA3">
            <w:pPr>
              <w:jc w:val="center"/>
              <w:rPr>
                <w:rFonts w:hint="default"/>
                <w:lang w:val="en-US" w:eastAsia="zh-CN"/>
              </w:rPr>
            </w:pPr>
            <w:r>
              <w:rPr>
                <w:rFonts w:hint="eastAsia"/>
                <w:lang w:val="en-US" w:eastAsia="zh-CN"/>
              </w:rPr>
              <w:t>1000</w:t>
            </w:r>
          </w:p>
        </w:tc>
        <w:tc>
          <w:tcPr>
            <w:tcW w:w="1561" w:type="dxa"/>
            <w:noWrap w:val="0"/>
            <w:vAlign w:val="center"/>
          </w:tcPr>
          <w:p w14:paraId="70D80CFF">
            <w:pPr>
              <w:jc w:val="center"/>
              <w:rPr>
                <w:rFonts w:hint="eastAsia"/>
                <w:lang w:val="en-US" w:eastAsia="zh-CN"/>
              </w:rPr>
            </w:pPr>
            <w:r>
              <w:rPr>
                <w:rFonts w:hint="eastAsia"/>
                <w:lang w:val="en-US" w:eastAsia="zh-CN"/>
              </w:rPr>
              <w:t>1</w:t>
            </w:r>
          </w:p>
        </w:tc>
        <w:tc>
          <w:tcPr>
            <w:tcW w:w="3162" w:type="dxa"/>
            <w:vMerge w:val="restart"/>
            <w:noWrap w:val="0"/>
            <w:vAlign w:val="center"/>
          </w:tcPr>
          <w:p w14:paraId="270AAB5A">
            <w:pPr>
              <w:jc w:val="left"/>
              <w:rPr>
                <w:rFonts w:hint="eastAsia"/>
                <w:lang w:val="en-US" w:eastAsia="zh-CN"/>
              </w:rPr>
            </w:pPr>
            <w:r>
              <w:rPr>
                <w:rFonts w:hint="eastAsia"/>
                <w:lang w:val="en-US" w:eastAsia="zh-CN"/>
              </w:rPr>
              <w:t>木质：整体使用原木，螺穗木、古夷苏木、可乐豆、风车木、刺猬紫檀等同档次材质，且单个骨灰盒只能由一种木材制成。</w:t>
            </w:r>
          </w:p>
        </w:tc>
        <w:tc>
          <w:tcPr>
            <w:tcW w:w="1135" w:type="dxa"/>
            <w:noWrap w:val="0"/>
            <w:vAlign w:val="center"/>
          </w:tcPr>
          <w:p w14:paraId="55F28F37">
            <w:pPr>
              <w:jc w:val="center"/>
              <w:rPr>
                <w:rFonts w:hint="default"/>
                <w:lang w:val="en-US" w:eastAsia="zh-CN"/>
              </w:rPr>
            </w:pPr>
          </w:p>
        </w:tc>
      </w:tr>
      <w:tr w14:paraId="663CA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1991" w:type="dxa"/>
            <w:vMerge w:val="continue"/>
            <w:noWrap w:val="0"/>
            <w:vAlign w:val="center"/>
          </w:tcPr>
          <w:p w14:paraId="13A4B72B">
            <w:pPr>
              <w:jc w:val="center"/>
            </w:pPr>
          </w:p>
        </w:tc>
        <w:tc>
          <w:tcPr>
            <w:tcW w:w="662" w:type="dxa"/>
            <w:vMerge w:val="continue"/>
            <w:noWrap w:val="0"/>
            <w:vAlign w:val="center"/>
          </w:tcPr>
          <w:p w14:paraId="5D487683">
            <w:pPr>
              <w:jc w:val="center"/>
            </w:pPr>
          </w:p>
        </w:tc>
        <w:tc>
          <w:tcPr>
            <w:tcW w:w="1175" w:type="dxa"/>
            <w:noWrap w:val="0"/>
            <w:vAlign w:val="center"/>
          </w:tcPr>
          <w:p w14:paraId="4FDB2CBA">
            <w:pPr>
              <w:jc w:val="center"/>
              <w:rPr>
                <w:rFonts w:hint="default"/>
                <w:lang w:val="en-US" w:eastAsia="zh-CN"/>
              </w:rPr>
            </w:pPr>
            <w:r>
              <w:rPr>
                <w:rFonts w:hint="eastAsia"/>
                <w:lang w:val="en-US" w:eastAsia="zh-CN"/>
              </w:rPr>
              <w:t>1100</w:t>
            </w:r>
          </w:p>
        </w:tc>
        <w:tc>
          <w:tcPr>
            <w:tcW w:w="1561" w:type="dxa"/>
            <w:noWrap w:val="0"/>
            <w:vAlign w:val="center"/>
          </w:tcPr>
          <w:p w14:paraId="3064650A">
            <w:pPr>
              <w:jc w:val="center"/>
              <w:rPr>
                <w:rFonts w:hint="eastAsia"/>
                <w:lang w:val="en-US" w:eastAsia="zh-CN"/>
              </w:rPr>
            </w:pPr>
            <w:r>
              <w:rPr>
                <w:rFonts w:hint="eastAsia"/>
                <w:lang w:val="en-US" w:eastAsia="zh-CN"/>
              </w:rPr>
              <w:t>1</w:t>
            </w:r>
          </w:p>
        </w:tc>
        <w:tc>
          <w:tcPr>
            <w:tcW w:w="3162" w:type="dxa"/>
            <w:vMerge w:val="continue"/>
            <w:noWrap w:val="0"/>
            <w:vAlign w:val="center"/>
          </w:tcPr>
          <w:p w14:paraId="11981A1A">
            <w:pPr>
              <w:jc w:val="left"/>
              <w:rPr>
                <w:rFonts w:hint="eastAsia"/>
                <w:lang w:val="en-US" w:eastAsia="zh-CN"/>
              </w:rPr>
            </w:pPr>
          </w:p>
        </w:tc>
        <w:tc>
          <w:tcPr>
            <w:tcW w:w="1135" w:type="dxa"/>
            <w:noWrap w:val="0"/>
            <w:vAlign w:val="center"/>
          </w:tcPr>
          <w:p w14:paraId="09FF99CA">
            <w:pPr>
              <w:jc w:val="center"/>
              <w:rPr>
                <w:rFonts w:hint="eastAsia"/>
                <w:lang w:val="en-US" w:eastAsia="zh-CN"/>
              </w:rPr>
            </w:pPr>
          </w:p>
        </w:tc>
      </w:tr>
      <w:tr w14:paraId="77D12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991" w:type="dxa"/>
            <w:vMerge w:val="continue"/>
            <w:noWrap w:val="0"/>
            <w:vAlign w:val="center"/>
          </w:tcPr>
          <w:p w14:paraId="255FC0FE">
            <w:pPr>
              <w:jc w:val="center"/>
              <w:rPr>
                <w:rFonts w:hint="eastAsia"/>
                <w:lang w:val="en-US" w:eastAsia="zh-CN"/>
              </w:rPr>
            </w:pPr>
          </w:p>
        </w:tc>
        <w:tc>
          <w:tcPr>
            <w:tcW w:w="662" w:type="dxa"/>
            <w:vMerge w:val="continue"/>
            <w:noWrap w:val="0"/>
            <w:vAlign w:val="center"/>
          </w:tcPr>
          <w:p w14:paraId="5D050B82">
            <w:pPr>
              <w:jc w:val="center"/>
              <w:rPr>
                <w:rFonts w:hint="eastAsia"/>
                <w:lang w:val="en-US" w:eastAsia="zh-CN"/>
              </w:rPr>
            </w:pPr>
          </w:p>
        </w:tc>
        <w:tc>
          <w:tcPr>
            <w:tcW w:w="1175" w:type="dxa"/>
            <w:noWrap w:val="0"/>
            <w:vAlign w:val="center"/>
          </w:tcPr>
          <w:p w14:paraId="53A50A61">
            <w:pPr>
              <w:jc w:val="center"/>
              <w:rPr>
                <w:rFonts w:hint="default"/>
                <w:lang w:val="en-US" w:eastAsia="zh-CN"/>
              </w:rPr>
            </w:pPr>
            <w:r>
              <w:rPr>
                <w:rFonts w:hint="eastAsia"/>
                <w:lang w:val="en-US" w:eastAsia="zh-CN"/>
              </w:rPr>
              <w:t>1200</w:t>
            </w:r>
          </w:p>
        </w:tc>
        <w:tc>
          <w:tcPr>
            <w:tcW w:w="1561" w:type="dxa"/>
            <w:noWrap w:val="0"/>
            <w:vAlign w:val="center"/>
          </w:tcPr>
          <w:p w14:paraId="28A47D51">
            <w:pPr>
              <w:jc w:val="center"/>
              <w:rPr>
                <w:rFonts w:hint="eastAsia"/>
                <w:lang w:val="en-US" w:eastAsia="zh-CN"/>
              </w:rPr>
            </w:pPr>
            <w:r>
              <w:rPr>
                <w:rFonts w:hint="eastAsia"/>
                <w:lang w:val="en-US" w:eastAsia="zh-CN"/>
              </w:rPr>
              <w:t>1</w:t>
            </w:r>
          </w:p>
        </w:tc>
        <w:tc>
          <w:tcPr>
            <w:tcW w:w="3162" w:type="dxa"/>
            <w:vMerge w:val="continue"/>
            <w:noWrap w:val="0"/>
            <w:vAlign w:val="center"/>
          </w:tcPr>
          <w:p w14:paraId="72199421">
            <w:pPr>
              <w:jc w:val="left"/>
              <w:rPr>
                <w:rFonts w:hint="eastAsia"/>
                <w:lang w:val="en-US" w:eastAsia="zh-CN"/>
              </w:rPr>
            </w:pPr>
          </w:p>
        </w:tc>
        <w:tc>
          <w:tcPr>
            <w:tcW w:w="1135" w:type="dxa"/>
            <w:noWrap w:val="0"/>
            <w:vAlign w:val="center"/>
          </w:tcPr>
          <w:p w14:paraId="16B2D991">
            <w:pPr>
              <w:jc w:val="center"/>
              <w:rPr>
                <w:rFonts w:hint="default"/>
                <w:lang w:val="en-US" w:eastAsia="zh-CN"/>
              </w:rPr>
            </w:pPr>
          </w:p>
        </w:tc>
      </w:tr>
      <w:bookmarkEnd w:id="0"/>
      <w:tr w14:paraId="1837D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991" w:type="dxa"/>
            <w:vMerge w:val="continue"/>
            <w:noWrap w:val="0"/>
            <w:vAlign w:val="center"/>
          </w:tcPr>
          <w:p w14:paraId="755F2437">
            <w:pPr>
              <w:rPr>
                <w:rFonts w:hint="eastAsia"/>
                <w:lang w:val="en-US" w:eastAsia="zh-CN"/>
              </w:rPr>
            </w:pPr>
          </w:p>
        </w:tc>
        <w:tc>
          <w:tcPr>
            <w:tcW w:w="662" w:type="dxa"/>
            <w:vMerge w:val="restart"/>
            <w:noWrap w:val="0"/>
            <w:vAlign w:val="center"/>
          </w:tcPr>
          <w:p w14:paraId="2B0C329E">
            <w:pPr>
              <w:jc w:val="center"/>
              <w:rPr>
                <w:rFonts w:hint="eastAsia"/>
                <w:lang w:val="en-US" w:eastAsia="zh-CN"/>
              </w:rPr>
            </w:pPr>
            <w:r>
              <w:rPr>
                <w:rFonts w:hint="eastAsia"/>
                <w:lang w:val="en-US" w:eastAsia="zh-CN"/>
              </w:rPr>
              <w:t>D2</w:t>
            </w:r>
          </w:p>
        </w:tc>
        <w:tc>
          <w:tcPr>
            <w:tcW w:w="1175" w:type="dxa"/>
            <w:noWrap w:val="0"/>
            <w:vAlign w:val="center"/>
          </w:tcPr>
          <w:p w14:paraId="3285C6EE">
            <w:pPr>
              <w:jc w:val="center"/>
              <w:rPr>
                <w:rFonts w:hint="default"/>
                <w:lang w:val="en-US" w:eastAsia="zh-CN"/>
              </w:rPr>
            </w:pPr>
            <w:r>
              <w:rPr>
                <w:rFonts w:hint="eastAsia"/>
                <w:lang w:val="en-US" w:eastAsia="zh-CN"/>
              </w:rPr>
              <w:t>1000</w:t>
            </w:r>
          </w:p>
        </w:tc>
        <w:tc>
          <w:tcPr>
            <w:tcW w:w="1561" w:type="dxa"/>
            <w:noWrap w:val="0"/>
            <w:vAlign w:val="center"/>
          </w:tcPr>
          <w:p w14:paraId="1E3918D9">
            <w:pPr>
              <w:jc w:val="center"/>
              <w:rPr>
                <w:rFonts w:hint="eastAsia"/>
                <w:lang w:val="en-US" w:eastAsia="zh-CN"/>
              </w:rPr>
            </w:pPr>
            <w:r>
              <w:rPr>
                <w:rFonts w:hint="eastAsia"/>
                <w:lang w:val="en-US" w:eastAsia="zh-CN"/>
              </w:rPr>
              <w:t>1</w:t>
            </w:r>
          </w:p>
        </w:tc>
        <w:tc>
          <w:tcPr>
            <w:tcW w:w="3162" w:type="dxa"/>
            <w:vMerge w:val="restart"/>
            <w:noWrap w:val="0"/>
            <w:vAlign w:val="center"/>
          </w:tcPr>
          <w:p w14:paraId="2883910D">
            <w:pPr>
              <w:jc w:val="left"/>
              <w:rPr>
                <w:rFonts w:hint="eastAsia"/>
                <w:lang w:val="en-US" w:eastAsia="zh-CN"/>
              </w:rPr>
            </w:pPr>
            <w:r>
              <w:rPr>
                <w:rFonts w:hint="eastAsia"/>
                <w:lang w:val="en-US" w:eastAsia="zh-CN"/>
              </w:rPr>
              <w:t>石质：整体使用整石镂空，蓝田玉、岫玉等同档次材质、且单个骨灰盒不得使用石质板材粘接或合成材质制作。</w:t>
            </w:r>
          </w:p>
        </w:tc>
        <w:tc>
          <w:tcPr>
            <w:tcW w:w="1135" w:type="dxa"/>
            <w:noWrap w:val="0"/>
            <w:vAlign w:val="center"/>
          </w:tcPr>
          <w:p w14:paraId="0822226C">
            <w:pPr>
              <w:jc w:val="center"/>
              <w:rPr>
                <w:rFonts w:hint="default"/>
                <w:lang w:val="en-US" w:eastAsia="zh-CN"/>
              </w:rPr>
            </w:pPr>
          </w:p>
        </w:tc>
      </w:tr>
      <w:tr w14:paraId="6C66E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91" w:type="dxa"/>
            <w:vMerge w:val="continue"/>
            <w:noWrap w:val="0"/>
            <w:vAlign w:val="center"/>
          </w:tcPr>
          <w:p w14:paraId="6FB5438F">
            <w:pPr>
              <w:jc w:val="center"/>
            </w:pPr>
          </w:p>
        </w:tc>
        <w:tc>
          <w:tcPr>
            <w:tcW w:w="662" w:type="dxa"/>
            <w:vMerge w:val="continue"/>
            <w:noWrap w:val="0"/>
            <w:vAlign w:val="center"/>
          </w:tcPr>
          <w:p w14:paraId="2AD0A0DC">
            <w:pPr>
              <w:jc w:val="center"/>
            </w:pPr>
          </w:p>
        </w:tc>
        <w:tc>
          <w:tcPr>
            <w:tcW w:w="1175" w:type="dxa"/>
            <w:noWrap w:val="0"/>
            <w:vAlign w:val="center"/>
          </w:tcPr>
          <w:p w14:paraId="7093FD43">
            <w:pPr>
              <w:jc w:val="center"/>
              <w:rPr>
                <w:rFonts w:hint="default"/>
                <w:lang w:val="en-US" w:eastAsia="zh-CN"/>
              </w:rPr>
            </w:pPr>
            <w:r>
              <w:rPr>
                <w:rFonts w:hint="eastAsia"/>
                <w:lang w:val="en-US" w:eastAsia="zh-CN"/>
              </w:rPr>
              <w:t>1100</w:t>
            </w:r>
          </w:p>
        </w:tc>
        <w:tc>
          <w:tcPr>
            <w:tcW w:w="1561" w:type="dxa"/>
            <w:noWrap w:val="0"/>
            <w:vAlign w:val="center"/>
          </w:tcPr>
          <w:p w14:paraId="3E2D51BE">
            <w:pPr>
              <w:jc w:val="center"/>
              <w:rPr>
                <w:rFonts w:hint="eastAsia"/>
                <w:lang w:val="en-US" w:eastAsia="zh-CN"/>
              </w:rPr>
            </w:pPr>
            <w:r>
              <w:rPr>
                <w:rFonts w:hint="eastAsia"/>
                <w:lang w:val="en-US" w:eastAsia="zh-CN"/>
              </w:rPr>
              <w:t>1</w:t>
            </w:r>
          </w:p>
        </w:tc>
        <w:tc>
          <w:tcPr>
            <w:tcW w:w="3162" w:type="dxa"/>
            <w:vMerge w:val="continue"/>
            <w:noWrap w:val="0"/>
            <w:vAlign w:val="center"/>
          </w:tcPr>
          <w:p w14:paraId="14FF466C">
            <w:pPr>
              <w:jc w:val="center"/>
              <w:rPr>
                <w:rFonts w:hint="eastAsia"/>
                <w:lang w:val="en-US" w:eastAsia="zh-CN"/>
              </w:rPr>
            </w:pPr>
          </w:p>
        </w:tc>
        <w:tc>
          <w:tcPr>
            <w:tcW w:w="1135" w:type="dxa"/>
            <w:noWrap w:val="0"/>
            <w:vAlign w:val="center"/>
          </w:tcPr>
          <w:p w14:paraId="4ACC231E">
            <w:pPr>
              <w:jc w:val="center"/>
              <w:rPr>
                <w:rFonts w:hint="eastAsia"/>
                <w:lang w:val="en-US" w:eastAsia="zh-CN"/>
              </w:rPr>
            </w:pPr>
          </w:p>
        </w:tc>
      </w:tr>
      <w:tr w14:paraId="50D47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1991" w:type="dxa"/>
            <w:vMerge w:val="continue"/>
            <w:noWrap w:val="0"/>
            <w:vAlign w:val="center"/>
          </w:tcPr>
          <w:p w14:paraId="76474CB5">
            <w:pPr>
              <w:jc w:val="center"/>
              <w:rPr>
                <w:rFonts w:hint="eastAsia"/>
                <w:lang w:val="en-US" w:eastAsia="zh-CN"/>
              </w:rPr>
            </w:pPr>
          </w:p>
        </w:tc>
        <w:tc>
          <w:tcPr>
            <w:tcW w:w="662" w:type="dxa"/>
            <w:vMerge w:val="continue"/>
            <w:noWrap w:val="0"/>
            <w:vAlign w:val="center"/>
          </w:tcPr>
          <w:p w14:paraId="28E453D6">
            <w:pPr>
              <w:jc w:val="center"/>
              <w:rPr>
                <w:rFonts w:hint="eastAsia"/>
                <w:lang w:val="en-US" w:eastAsia="zh-CN"/>
              </w:rPr>
            </w:pPr>
          </w:p>
        </w:tc>
        <w:tc>
          <w:tcPr>
            <w:tcW w:w="1175" w:type="dxa"/>
            <w:noWrap w:val="0"/>
            <w:vAlign w:val="center"/>
          </w:tcPr>
          <w:p w14:paraId="61395347">
            <w:pPr>
              <w:jc w:val="center"/>
              <w:rPr>
                <w:rFonts w:hint="default"/>
                <w:lang w:val="en-US" w:eastAsia="zh-CN"/>
              </w:rPr>
            </w:pPr>
            <w:r>
              <w:rPr>
                <w:rFonts w:hint="eastAsia"/>
                <w:lang w:val="en-US" w:eastAsia="zh-CN"/>
              </w:rPr>
              <w:t>1200</w:t>
            </w:r>
          </w:p>
        </w:tc>
        <w:tc>
          <w:tcPr>
            <w:tcW w:w="1561" w:type="dxa"/>
            <w:noWrap w:val="0"/>
            <w:vAlign w:val="center"/>
          </w:tcPr>
          <w:p w14:paraId="4F69FC19">
            <w:pPr>
              <w:jc w:val="center"/>
              <w:rPr>
                <w:rFonts w:hint="eastAsia"/>
                <w:lang w:val="en-US" w:eastAsia="zh-CN"/>
              </w:rPr>
            </w:pPr>
            <w:r>
              <w:rPr>
                <w:rFonts w:hint="eastAsia"/>
                <w:lang w:val="en-US" w:eastAsia="zh-CN"/>
              </w:rPr>
              <w:t>1</w:t>
            </w:r>
          </w:p>
        </w:tc>
        <w:tc>
          <w:tcPr>
            <w:tcW w:w="3162" w:type="dxa"/>
            <w:vMerge w:val="continue"/>
            <w:noWrap w:val="0"/>
            <w:vAlign w:val="center"/>
          </w:tcPr>
          <w:p w14:paraId="73B020AD">
            <w:pPr>
              <w:jc w:val="center"/>
              <w:rPr>
                <w:rFonts w:hint="eastAsia"/>
                <w:lang w:val="en-US" w:eastAsia="zh-CN"/>
              </w:rPr>
            </w:pPr>
          </w:p>
        </w:tc>
        <w:tc>
          <w:tcPr>
            <w:tcW w:w="1135" w:type="dxa"/>
            <w:noWrap w:val="0"/>
            <w:vAlign w:val="center"/>
          </w:tcPr>
          <w:p w14:paraId="455B1B3C">
            <w:pPr>
              <w:jc w:val="center"/>
              <w:rPr>
                <w:rFonts w:hint="default"/>
                <w:lang w:val="en-US" w:eastAsia="zh-CN"/>
              </w:rPr>
            </w:pPr>
          </w:p>
        </w:tc>
      </w:tr>
      <w:tr w14:paraId="5E777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9686" w:type="dxa"/>
            <w:gridSpan w:val="6"/>
            <w:noWrap w:val="0"/>
            <w:vAlign w:val="center"/>
          </w:tcPr>
          <w:p w14:paraId="2419FC30">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en-US" w:eastAsia="zh-CN"/>
              </w:rPr>
            </w:pPr>
            <w:r>
              <w:rPr>
                <w:rFonts w:hint="eastAsia" w:ascii="仿宋" w:hAnsi="仿宋" w:eastAsia="仿宋" w:cs="仿宋"/>
                <w:b/>
                <w:bCs/>
                <w:color w:val="000000"/>
                <w:sz w:val="24"/>
                <w:szCs w:val="24"/>
                <w:highlight w:val="none"/>
                <w:vertAlign w:val="baseline"/>
                <w:lang w:val="en-US" w:eastAsia="zh-CN"/>
              </w:rPr>
              <w:t>备注：本项目按照优惠率报价，A类惠民款骨灰盒共4个款式统一固定报价不参于折扣。B类、C类、D类常规款骨灰盒共18个款式统一按优惠率报价。否则视为无效报价。</w:t>
            </w:r>
          </w:p>
          <w:p w14:paraId="6E222D08">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en-US" w:eastAsia="zh-CN"/>
              </w:rPr>
            </w:pPr>
            <w:r>
              <w:rPr>
                <w:rFonts w:hint="eastAsia" w:ascii="仿宋" w:hAnsi="仿宋" w:eastAsia="仿宋" w:cs="仿宋"/>
                <w:b/>
                <w:bCs/>
                <w:color w:val="000000"/>
                <w:sz w:val="24"/>
                <w:szCs w:val="24"/>
                <w:highlight w:val="none"/>
                <w:vertAlign w:val="baseline"/>
                <w:lang w:val="en-US" w:eastAsia="zh-CN"/>
              </w:rPr>
              <w:t>说明：1、成交后，中标方需按中标每款产品提供同档次材质的不同款式至少3款由招标人选择最终需要的款式，根据招标人实际需求，可对供货款式设计进行相应调整。</w:t>
            </w:r>
          </w:p>
          <w:p w14:paraId="43CE5D39">
            <w:pPr>
              <w:keepNext w:val="0"/>
              <w:keepLines w:val="0"/>
              <w:pageBreakBefore w:val="0"/>
              <w:widowControl/>
              <w:numPr>
                <w:ilvl w:val="0"/>
                <w:numId w:val="1"/>
              </w:numPr>
              <w:suppressLineNumbers w:val="0"/>
              <w:spacing w:before="0" w:beforeAutospacing="0" w:after="0" w:afterAutospacing="0" w:line="360" w:lineRule="auto"/>
              <w:ind w:left="0" w:right="0"/>
              <w:jc w:val="left"/>
              <w:rPr>
                <w:rFonts w:hint="default"/>
                <w:lang w:val="en-US" w:eastAsia="zh-CN"/>
              </w:rPr>
            </w:pPr>
            <w:r>
              <w:rPr>
                <w:rFonts w:hint="eastAsia" w:ascii="仿宋" w:hAnsi="仿宋" w:eastAsia="仿宋" w:cs="仿宋"/>
                <w:b/>
                <w:bCs/>
                <w:color w:val="000000"/>
                <w:sz w:val="24"/>
                <w:szCs w:val="24"/>
                <w:highlight w:val="none"/>
                <w:vertAlign w:val="baseline"/>
                <w:lang w:val="en-US" w:eastAsia="zh-CN"/>
              </w:rPr>
              <w:t>每个档次的骨灰盒差距恰当(所报价格与该档次使用材质、设计款式相适应)，材质能与价格对应性好，能够完全满足采购需求，不得以次充好，用低档木材冒充高档木材。</w:t>
            </w:r>
          </w:p>
        </w:tc>
      </w:tr>
    </w:tbl>
    <w:p w14:paraId="0140BC39">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zh-CN" w:eastAsia="zh-CN"/>
        </w:rPr>
      </w:pPr>
    </w:p>
    <w:p w14:paraId="2E3478DD">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zh-CN" w:eastAsia="zh-CN"/>
        </w:rPr>
      </w:pPr>
    </w:p>
    <w:p w14:paraId="6B4D762B">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zh-CN" w:eastAsia="zh-CN"/>
        </w:rPr>
      </w:pPr>
    </w:p>
    <w:p w14:paraId="464D36D0">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zh-CN" w:eastAsia="zh-CN"/>
        </w:rPr>
      </w:pPr>
    </w:p>
    <w:p w14:paraId="0F899E34">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zh-CN" w:eastAsia="zh-CN"/>
        </w:rPr>
      </w:pPr>
    </w:p>
    <w:p w14:paraId="1916E71E">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zh-CN" w:eastAsia="zh-CN"/>
        </w:rPr>
      </w:pPr>
    </w:p>
    <w:p w14:paraId="4E93B91B">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zh-CN" w:eastAsia="zh-CN"/>
        </w:rPr>
      </w:pPr>
    </w:p>
    <w:p w14:paraId="00829040">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zh-CN" w:eastAsia="zh-CN"/>
        </w:rPr>
      </w:pPr>
    </w:p>
    <w:p w14:paraId="1FF1DAC3">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color w:val="000000"/>
          <w:sz w:val="24"/>
          <w:szCs w:val="24"/>
          <w:highlight w:val="none"/>
          <w:vertAlign w:val="baseline"/>
          <w:lang w:val="zh-CN" w:eastAsia="zh-CN"/>
        </w:rPr>
      </w:pPr>
    </w:p>
    <w:p w14:paraId="59D79F5B">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b/>
          <w:bCs/>
          <w:color w:val="auto"/>
          <w:sz w:val="32"/>
          <w:szCs w:val="32"/>
          <w:highlight w:val="none"/>
          <w:lang w:val="zh-CN" w:eastAsia="zh-CN"/>
        </w:rPr>
      </w:pPr>
      <w:r>
        <w:rPr>
          <w:rFonts w:hint="eastAsia" w:ascii="仿宋" w:hAnsi="仿宋" w:eastAsia="仿宋" w:cs="仿宋"/>
          <w:b/>
          <w:bCs/>
          <w:color w:val="000000"/>
          <w:sz w:val="24"/>
          <w:szCs w:val="24"/>
          <w:highlight w:val="none"/>
          <w:vertAlign w:val="baseline"/>
          <w:lang w:val="zh-CN" w:eastAsia="zh-CN"/>
        </w:rPr>
        <w:t>（</w:t>
      </w:r>
      <w:r>
        <w:rPr>
          <w:rFonts w:hint="eastAsia" w:ascii="仿宋" w:hAnsi="仿宋" w:eastAsia="仿宋" w:cs="仿宋"/>
          <w:b/>
          <w:bCs/>
          <w:color w:val="000000"/>
          <w:sz w:val="24"/>
          <w:szCs w:val="24"/>
          <w:highlight w:val="none"/>
          <w:vertAlign w:val="baseline"/>
          <w:lang w:val="en-US" w:eastAsia="zh-CN"/>
        </w:rPr>
        <w:t>二</w:t>
      </w:r>
      <w:r>
        <w:rPr>
          <w:rFonts w:hint="eastAsia" w:ascii="仿宋" w:hAnsi="仿宋" w:eastAsia="仿宋" w:cs="仿宋"/>
          <w:b/>
          <w:bCs/>
          <w:color w:val="000000"/>
          <w:sz w:val="24"/>
          <w:szCs w:val="24"/>
          <w:highlight w:val="none"/>
          <w:vertAlign w:val="baseline"/>
          <w:lang w:val="zh-CN" w:eastAsia="zh-CN"/>
        </w:rPr>
        <w:t>）</w:t>
      </w:r>
      <w:r>
        <w:rPr>
          <w:rFonts w:hint="eastAsia"/>
          <w:b/>
          <w:bCs/>
          <w:color w:val="auto"/>
          <w:sz w:val="32"/>
          <w:szCs w:val="32"/>
          <w:highlight w:val="none"/>
          <w:lang w:val="zh-CN" w:eastAsia="zh-CN"/>
        </w:rPr>
        <w:t>项目服务要求及服务内容</w:t>
      </w:r>
    </w:p>
    <w:p w14:paraId="7735455A">
      <w:pPr>
        <w:spacing w:line="360" w:lineRule="auto"/>
        <w:jc w:val="left"/>
        <w:rPr>
          <w:rStyle w:val="10"/>
          <w:rFonts w:hint="eastAsia" w:asciiTheme="majorEastAsia" w:hAnsiTheme="majorEastAsia" w:eastAsiaTheme="majorEastAsia" w:cstheme="majorEastAsia"/>
          <w:b/>
          <w:bCs w:val="0"/>
          <w:color w:val="000000"/>
          <w:kern w:val="0"/>
          <w:sz w:val="28"/>
          <w:szCs w:val="28"/>
        </w:rPr>
      </w:pPr>
      <w:r>
        <w:rPr>
          <w:rStyle w:val="10"/>
          <w:rFonts w:hint="eastAsia" w:asciiTheme="majorEastAsia" w:hAnsiTheme="majorEastAsia" w:eastAsiaTheme="majorEastAsia" w:cstheme="majorEastAsia"/>
          <w:b/>
          <w:bCs w:val="0"/>
          <w:color w:val="000000"/>
          <w:kern w:val="0"/>
          <w:sz w:val="28"/>
          <w:szCs w:val="28"/>
          <w:lang w:val="en-US" w:eastAsia="zh-CN"/>
        </w:rPr>
        <w:t>1、</w:t>
      </w:r>
      <w:r>
        <w:rPr>
          <w:rStyle w:val="10"/>
          <w:rFonts w:hint="eastAsia" w:asciiTheme="majorEastAsia" w:hAnsiTheme="majorEastAsia" w:eastAsiaTheme="majorEastAsia" w:cstheme="majorEastAsia"/>
          <w:b/>
          <w:bCs w:val="0"/>
          <w:color w:val="000000"/>
          <w:kern w:val="0"/>
          <w:sz w:val="28"/>
          <w:szCs w:val="28"/>
        </w:rPr>
        <w:t>采购内容</w:t>
      </w:r>
    </w:p>
    <w:p w14:paraId="7306591C">
      <w:pPr>
        <w:pStyle w:val="11"/>
        <w:spacing w:line="360" w:lineRule="auto"/>
        <w:jc w:val="both"/>
        <w:rPr>
          <w:rFonts w:hint="eastAsia" w:eastAsia="宋体"/>
          <w:b w:val="0"/>
          <w:bCs w:val="0"/>
          <w:sz w:val="24"/>
          <w:szCs w:val="24"/>
          <w:lang w:val="en-US" w:eastAsia="zh-CN"/>
        </w:rPr>
      </w:pPr>
      <w:r>
        <w:rPr>
          <w:rFonts w:hint="eastAsia"/>
          <w:b w:val="0"/>
          <w:bCs w:val="0"/>
          <w:sz w:val="24"/>
          <w:szCs w:val="24"/>
          <w:lang w:eastAsia="zh-CN"/>
        </w:rPr>
        <w:t>（</w:t>
      </w:r>
      <w:r>
        <w:rPr>
          <w:rFonts w:hint="eastAsia"/>
          <w:b w:val="0"/>
          <w:bCs w:val="0"/>
          <w:sz w:val="24"/>
          <w:szCs w:val="24"/>
          <w:lang w:val="en-US" w:eastAsia="zh-CN"/>
        </w:rPr>
        <w:t>1</w:t>
      </w:r>
      <w:r>
        <w:rPr>
          <w:rFonts w:hint="eastAsia"/>
          <w:b w:val="0"/>
          <w:bCs w:val="0"/>
          <w:sz w:val="24"/>
          <w:szCs w:val="24"/>
          <w:lang w:eastAsia="zh-CN"/>
        </w:rPr>
        <w:t>）</w:t>
      </w:r>
      <w:r>
        <w:rPr>
          <w:rFonts w:hint="eastAsia"/>
          <w:b w:val="0"/>
          <w:bCs w:val="0"/>
          <w:sz w:val="24"/>
          <w:szCs w:val="24"/>
          <w:lang w:val="en-US" w:eastAsia="zh-CN"/>
        </w:rPr>
        <w:t>中标后投标供应商</w:t>
      </w:r>
      <w:r>
        <w:rPr>
          <w:rFonts w:hint="eastAsia"/>
          <w:b w:val="0"/>
          <w:bCs w:val="0"/>
          <w:sz w:val="24"/>
          <w:szCs w:val="24"/>
        </w:rPr>
        <w:t>自拟一份供货目录供采购方择优选择</w:t>
      </w:r>
      <w:r>
        <w:rPr>
          <w:rFonts w:hint="eastAsia"/>
          <w:b w:val="0"/>
          <w:bCs w:val="0"/>
          <w:sz w:val="24"/>
          <w:szCs w:val="24"/>
          <w:lang w:eastAsia="zh-CN"/>
        </w:rPr>
        <w:t>。</w:t>
      </w:r>
    </w:p>
    <w:p w14:paraId="237E160C">
      <w:pPr>
        <w:spacing w:line="360" w:lineRule="auto"/>
        <w:rPr>
          <w:rFonts w:hint="eastAsia"/>
          <w:sz w:val="24"/>
          <w:szCs w:val="24"/>
        </w:rPr>
      </w:pPr>
      <w:r>
        <w:rPr>
          <w:rFonts w:hint="eastAsia"/>
          <w:sz w:val="24"/>
          <w:szCs w:val="24"/>
          <w:lang w:eastAsia="zh-CN"/>
        </w:rPr>
        <w:t>（</w:t>
      </w:r>
      <w:r>
        <w:rPr>
          <w:rFonts w:hint="eastAsia"/>
          <w:sz w:val="24"/>
          <w:szCs w:val="24"/>
          <w:lang w:val="en-US" w:eastAsia="zh-CN"/>
        </w:rPr>
        <w:t>2</w:t>
      </w:r>
      <w:r>
        <w:rPr>
          <w:rFonts w:hint="eastAsia"/>
          <w:sz w:val="24"/>
          <w:szCs w:val="24"/>
          <w:lang w:eastAsia="zh-CN"/>
        </w:rPr>
        <w:t>）</w:t>
      </w:r>
      <w:r>
        <w:rPr>
          <w:rFonts w:hint="eastAsia"/>
          <w:sz w:val="24"/>
          <w:szCs w:val="24"/>
        </w:rPr>
        <w:t>供货目录内容含：产品材质（石质、木质）、规格、产品说明及价格。请附相应的彩色图片。</w:t>
      </w:r>
    </w:p>
    <w:p w14:paraId="78727F24">
      <w:pPr>
        <w:spacing w:line="360" w:lineRule="auto"/>
        <w:rPr>
          <w:rFonts w:hint="eastAsia"/>
          <w:sz w:val="24"/>
          <w:szCs w:val="24"/>
          <w:lang w:val="en-US" w:eastAsia="zh-CN"/>
        </w:rPr>
      </w:pPr>
      <w:r>
        <w:rPr>
          <w:rFonts w:hint="eastAsia"/>
          <w:sz w:val="24"/>
          <w:szCs w:val="24"/>
          <w:lang w:eastAsia="zh-CN"/>
        </w:rPr>
        <w:t>（</w:t>
      </w:r>
      <w:r>
        <w:rPr>
          <w:rFonts w:hint="eastAsia"/>
          <w:sz w:val="24"/>
          <w:szCs w:val="24"/>
          <w:lang w:val="en-US" w:eastAsia="zh-CN"/>
        </w:rPr>
        <w:t>3</w:t>
      </w:r>
      <w:r>
        <w:rPr>
          <w:rFonts w:hint="eastAsia"/>
          <w:sz w:val="24"/>
          <w:szCs w:val="24"/>
          <w:lang w:eastAsia="zh-CN"/>
        </w:rPr>
        <w:t>）</w:t>
      </w:r>
      <w:r>
        <w:rPr>
          <w:rFonts w:hint="eastAsia"/>
          <w:sz w:val="24"/>
          <w:szCs w:val="24"/>
          <w:lang w:val="en-US" w:eastAsia="zh-CN"/>
        </w:rPr>
        <w:t>骨灰盒尺寸要求</w:t>
      </w:r>
    </w:p>
    <w:tbl>
      <w:tblPr>
        <w:tblStyle w:val="6"/>
        <w:tblpPr w:leftFromText="180" w:rightFromText="180" w:vertAnchor="text" w:horzAnchor="page" w:tblpX="1095" w:tblpY="43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9"/>
        <w:gridCol w:w="9121"/>
      </w:tblGrid>
      <w:tr w14:paraId="4E2C5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059" w:type="dxa"/>
            <w:noWrap w:val="0"/>
            <w:vAlign w:val="center"/>
          </w:tcPr>
          <w:p w14:paraId="2E0B97AA">
            <w:pPr>
              <w:spacing w:before="50" w:line="360" w:lineRule="auto"/>
              <w:rPr>
                <w:rStyle w:val="10"/>
                <w:rFonts w:ascii="宋体" w:hAnsi="宋体" w:cs="Times New Roman"/>
                <w:sz w:val="24"/>
                <w:szCs w:val="24"/>
              </w:rPr>
            </w:pPr>
            <w:r>
              <w:rPr>
                <w:rStyle w:val="10"/>
                <w:rFonts w:hint="eastAsia" w:ascii="宋体" w:hAnsi="宋体" w:cs="Times New Roman"/>
                <w:sz w:val="24"/>
                <w:szCs w:val="24"/>
              </w:rPr>
              <w:t>款型</w:t>
            </w:r>
          </w:p>
        </w:tc>
        <w:tc>
          <w:tcPr>
            <w:tcW w:w="9121" w:type="dxa"/>
            <w:noWrap w:val="0"/>
            <w:vAlign w:val="center"/>
          </w:tcPr>
          <w:p w14:paraId="597A5512">
            <w:pPr>
              <w:spacing w:before="50" w:line="360" w:lineRule="auto"/>
              <w:rPr>
                <w:rStyle w:val="10"/>
                <w:rFonts w:ascii="宋体" w:hAnsi="宋体" w:cs="Times New Roman"/>
                <w:sz w:val="24"/>
                <w:szCs w:val="24"/>
              </w:rPr>
            </w:pPr>
            <w:r>
              <w:rPr>
                <w:rStyle w:val="10"/>
                <w:rFonts w:hint="eastAsia" w:ascii="宋体" w:hAnsi="宋体" w:cs="Times New Roman"/>
                <w:sz w:val="24"/>
                <w:szCs w:val="24"/>
              </w:rPr>
              <w:t>尺寸限制要求</w:t>
            </w:r>
          </w:p>
        </w:tc>
      </w:tr>
      <w:tr w14:paraId="715B4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059" w:type="dxa"/>
            <w:noWrap w:val="0"/>
            <w:vAlign w:val="center"/>
          </w:tcPr>
          <w:p w14:paraId="71E594D9">
            <w:pPr>
              <w:spacing w:before="50" w:line="360" w:lineRule="auto"/>
              <w:rPr>
                <w:rStyle w:val="10"/>
                <w:rFonts w:ascii="宋体" w:hAnsi="宋体" w:cs="Times New Roman"/>
                <w:sz w:val="24"/>
                <w:szCs w:val="24"/>
              </w:rPr>
            </w:pPr>
            <w:r>
              <w:rPr>
                <w:rStyle w:val="10"/>
                <w:rFonts w:hint="eastAsia" w:ascii="宋体" w:hAnsi="宋体" w:cs="Times New Roman"/>
                <w:sz w:val="24"/>
                <w:szCs w:val="24"/>
              </w:rPr>
              <w:t>棺型</w:t>
            </w:r>
          </w:p>
        </w:tc>
        <w:tc>
          <w:tcPr>
            <w:tcW w:w="9121" w:type="dxa"/>
            <w:noWrap w:val="0"/>
            <w:vAlign w:val="center"/>
          </w:tcPr>
          <w:p w14:paraId="54E394D5">
            <w:pPr>
              <w:spacing w:before="50" w:line="360" w:lineRule="auto"/>
              <w:rPr>
                <w:rStyle w:val="10"/>
                <w:rFonts w:ascii="宋体" w:hAnsi="宋体" w:cs="Times New Roman"/>
                <w:sz w:val="24"/>
                <w:szCs w:val="24"/>
              </w:rPr>
            </w:pPr>
            <w:r>
              <w:rPr>
                <w:rStyle w:val="10"/>
                <w:rFonts w:hint="eastAsia" w:ascii="宋体" w:hAnsi="宋体" w:cs="Times New Roman"/>
                <w:sz w:val="24"/>
                <w:szCs w:val="24"/>
              </w:rPr>
              <w:t>长3</w:t>
            </w:r>
            <w:r>
              <w:rPr>
                <w:rStyle w:val="10"/>
                <w:rFonts w:hint="eastAsia" w:cs="Times New Roman"/>
                <w:sz w:val="24"/>
                <w:szCs w:val="24"/>
                <w:lang w:val="en-US"/>
              </w:rPr>
              <w:t>5</w:t>
            </w:r>
            <w:r>
              <w:rPr>
                <w:rStyle w:val="10"/>
                <w:rFonts w:hint="eastAsia" w:ascii="宋体" w:hAnsi="宋体" w:cs="Times New Roman"/>
                <w:sz w:val="24"/>
                <w:szCs w:val="24"/>
                <w:lang w:val="en-US"/>
              </w:rPr>
              <w:t>cm</w:t>
            </w:r>
            <w:r>
              <w:rPr>
                <w:rStyle w:val="10"/>
                <w:rFonts w:hint="eastAsia" w:ascii="宋体" w:hAnsi="宋体" w:cs="Times New Roman"/>
                <w:sz w:val="24"/>
                <w:szCs w:val="24"/>
              </w:rPr>
              <w:t>*宽2</w:t>
            </w:r>
            <w:r>
              <w:rPr>
                <w:rStyle w:val="10"/>
                <w:rFonts w:hint="eastAsia" w:cs="Times New Roman"/>
                <w:sz w:val="24"/>
                <w:szCs w:val="24"/>
                <w:lang w:val="en-US"/>
              </w:rPr>
              <w:t>5</w:t>
            </w:r>
            <w:r>
              <w:rPr>
                <w:rStyle w:val="10"/>
                <w:rFonts w:hint="eastAsia" w:ascii="宋体" w:hAnsi="宋体" w:cs="Times New Roman"/>
                <w:sz w:val="24"/>
                <w:szCs w:val="24"/>
                <w:lang w:val="en-US"/>
              </w:rPr>
              <w:t>cm</w:t>
            </w:r>
            <w:r>
              <w:rPr>
                <w:rStyle w:val="10"/>
                <w:rFonts w:hint="eastAsia" w:ascii="宋体" w:hAnsi="宋体" w:cs="Times New Roman"/>
                <w:sz w:val="24"/>
                <w:szCs w:val="24"/>
              </w:rPr>
              <w:t>*高25</w:t>
            </w:r>
            <w:r>
              <w:rPr>
                <w:rStyle w:val="10"/>
                <w:rFonts w:hint="eastAsia" w:ascii="宋体" w:hAnsi="宋体" w:cs="Times New Roman"/>
                <w:sz w:val="24"/>
                <w:szCs w:val="24"/>
                <w:lang w:val="en-US"/>
              </w:rPr>
              <w:t>cm</w:t>
            </w:r>
          </w:p>
        </w:tc>
      </w:tr>
      <w:tr w14:paraId="40E70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59" w:type="dxa"/>
            <w:noWrap w:val="0"/>
            <w:vAlign w:val="center"/>
          </w:tcPr>
          <w:p w14:paraId="19E7CDB0">
            <w:pPr>
              <w:spacing w:before="50" w:line="360" w:lineRule="auto"/>
              <w:rPr>
                <w:rStyle w:val="10"/>
                <w:rFonts w:ascii="宋体" w:hAnsi="宋体" w:cs="Times New Roman"/>
                <w:sz w:val="24"/>
                <w:szCs w:val="24"/>
              </w:rPr>
            </w:pPr>
            <w:r>
              <w:rPr>
                <w:rStyle w:val="10"/>
                <w:rFonts w:hint="eastAsia" w:ascii="宋体" w:hAnsi="宋体" w:cs="Times New Roman"/>
                <w:sz w:val="24"/>
                <w:szCs w:val="24"/>
              </w:rPr>
              <w:t>方型</w:t>
            </w:r>
          </w:p>
        </w:tc>
        <w:tc>
          <w:tcPr>
            <w:tcW w:w="9121" w:type="dxa"/>
            <w:noWrap w:val="0"/>
            <w:vAlign w:val="center"/>
          </w:tcPr>
          <w:p w14:paraId="2B5D1C93">
            <w:pPr>
              <w:spacing w:before="50" w:line="360" w:lineRule="auto"/>
              <w:rPr>
                <w:rStyle w:val="10"/>
                <w:rFonts w:ascii="宋体" w:hAnsi="宋体" w:cs="Times New Roman"/>
                <w:sz w:val="24"/>
                <w:szCs w:val="24"/>
              </w:rPr>
            </w:pPr>
            <w:r>
              <w:rPr>
                <w:rStyle w:val="10"/>
                <w:rFonts w:hint="eastAsia" w:ascii="宋体" w:hAnsi="宋体" w:cs="Times New Roman"/>
                <w:sz w:val="24"/>
                <w:szCs w:val="24"/>
              </w:rPr>
              <w:t>长3</w:t>
            </w:r>
            <w:r>
              <w:rPr>
                <w:rStyle w:val="10"/>
                <w:rFonts w:hint="eastAsia" w:cs="Times New Roman"/>
                <w:sz w:val="24"/>
                <w:szCs w:val="24"/>
                <w:lang w:val="en-US"/>
              </w:rPr>
              <w:t>4</w:t>
            </w:r>
            <w:r>
              <w:rPr>
                <w:rStyle w:val="10"/>
                <w:rFonts w:hint="eastAsia" w:ascii="宋体" w:hAnsi="宋体" w:cs="Times New Roman"/>
                <w:sz w:val="24"/>
                <w:szCs w:val="24"/>
                <w:lang w:val="en-US"/>
              </w:rPr>
              <w:t>cm</w:t>
            </w:r>
            <w:r>
              <w:rPr>
                <w:rStyle w:val="10"/>
                <w:rFonts w:hint="eastAsia" w:ascii="宋体" w:hAnsi="宋体" w:cs="Times New Roman"/>
                <w:sz w:val="24"/>
                <w:szCs w:val="24"/>
              </w:rPr>
              <w:t>*宽2</w:t>
            </w:r>
            <w:r>
              <w:rPr>
                <w:rStyle w:val="10"/>
                <w:rFonts w:hint="eastAsia" w:cs="Times New Roman"/>
                <w:sz w:val="24"/>
                <w:szCs w:val="24"/>
                <w:lang w:val="en-US"/>
              </w:rPr>
              <w:t>3</w:t>
            </w:r>
            <w:r>
              <w:rPr>
                <w:rStyle w:val="10"/>
                <w:rFonts w:hint="eastAsia" w:ascii="宋体" w:hAnsi="宋体" w:cs="Times New Roman"/>
                <w:sz w:val="24"/>
                <w:szCs w:val="24"/>
                <w:lang w:val="en-US"/>
              </w:rPr>
              <w:t>cm</w:t>
            </w:r>
            <w:r>
              <w:rPr>
                <w:rStyle w:val="10"/>
                <w:rFonts w:hint="eastAsia" w:ascii="宋体" w:hAnsi="宋体" w:cs="Times New Roman"/>
                <w:sz w:val="24"/>
                <w:szCs w:val="24"/>
              </w:rPr>
              <w:t>*高2</w:t>
            </w:r>
            <w:r>
              <w:rPr>
                <w:rStyle w:val="10"/>
                <w:rFonts w:hint="eastAsia" w:cs="Times New Roman"/>
                <w:sz w:val="24"/>
                <w:szCs w:val="24"/>
                <w:lang w:val="en-US"/>
              </w:rPr>
              <w:t>4</w:t>
            </w:r>
            <w:r>
              <w:rPr>
                <w:rStyle w:val="10"/>
                <w:rFonts w:hint="eastAsia" w:ascii="宋体" w:hAnsi="宋体" w:cs="Times New Roman"/>
                <w:sz w:val="24"/>
                <w:szCs w:val="24"/>
                <w:lang w:val="en-US"/>
              </w:rPr>
              <w:t>cm</w:t>
            </w:r>
          </w:p>
        </w:tc>
      </w:tr>
      <w:tr w14:paraId="2BD0B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0180" w:type="dxa"/>
            <w:gridSpan w:val="2"/>
            <w:noWrap w:val="0"/>
            <w:vAlign w:val="center"/>
          </w:tcPr>
          <w:p w14:paraId="6E7CB3C6">
            <w:pPr>
              <w:spacing w:line="360" w:lineRule="auto"/>
              <w:jc w:val="left"/>
              <w:rPr>
                <w:rStyle w:val="10"/>
                <w:rFonts w:hint="eastAsia" w:ascii="宋体" w:hAnsi="宋体" w:cs="Times New Roman"/>
                <w:sz w:val="24"/>
                <w:szCs w:val="24"/>
              </w:rPr>
            </w:pPr>
            <w:r>
              <w:rPr>
                <w:rStyle w:val="10"/>
                <w:rFonts w:hint="eastAsia" w:ascii="宋体" w:hAnsi="宋体" w:cs="Times New Roman"/>
                <w:b/>
                <w:bCs/>
                <w:sz w:val="24"/>
                <w:szCs w:val="24"/>
              </w:rPr>
              <w:t>注：投标人所投产品尺寸可以和以上尺寸不同，但不应超过各款型对应尺寸限制要求。</w:t>
            </w:r>
          </w:p>
        </w:tc>
      </w:tr>
    </w:tbl>
    <w:p w14:paraId="6CEB9944">
      <w:pPr>
        <w:spacing w:line="360" w:lineRule="auto"/>
        <w:jc w:val="left"/>
        <w:rPr>
          <w:rStyle w:val="10"/>
          <w:rFonts w:hint="eastAsia" w:asciiTheme="majorEastAsia" w:hAnsiTheme="majorEastAsia" w:eastAsiaTheme="majorEastAsia" w:cstheme="majorEastAsia"/>
          <w:b/>
          <w:color w:val="000000"/>
          <w:kern w:val="0"/>
          <w:sz w:val="28"/>
          <w:szCs w:val="28"/>
        </w:rPr>
      </w:pPr>
      <w:r>
        <w:rPr>
          <w:rStyle w:val="10"/>
          <w:rFonts w:hint="eastAsia" w:asciiTheme="majorEastAsia" w:hAnsiTheme="majorEastAsia" w:eastAsiaTheme="majorEastAsia" w:cstheme="majorEastAsia"/>
          <w:b/>
          <w:color w:val="000000"/>
          <w:kern w:val="0"/>
          <w:sz w:val="28"/>
          <w:szCs w:val="28"/>
          <w:lang w:val="en-US" w:eastAsia="zh-CN"/>
        </w:rPr>
        <w:t>2、</w:t>
      </w:r>
      <w:r>
        <w:rPr>
          <w:rStyle w:val="10"/>
          <w:rFonts w:hint="eastAsia" w:asciiTheme="majorEastAsia" w:hAnsiTheme="majorEastAsia" w:eastAsiaTheme="majorEastAsia" w:cstheme="majorEastAsia"/>
          <w:b/>
          <w:color w:val="000000"/>
          <w:kern w:val="0"/>
          <w:sz w:val="28"/>
          <w:szCs w:val="28"/>
        </w:rPr>
        <w:t>采购说明</w:t>
      </w:r>
    </w:p>
    <w:p w14:paraId="367D3970">
      <w:pPr>
        <w:spacing w:line="360" w:lineRule="auto"/>
        <w:jc w:val="left"/>
        <w:rPr>
          <w:rStyle w:val="10"/>
          <w:rFonts w:hint="eastAsia" w:ascii="宋体" w:hAnsi="宋体"/>
          <w:sz w:val="24"/>
          <w:szCs w:val="24"/>
          <w:lang w:val="en-US" w:eastAsia="zh-CN"/>
        </w:rPr>
      </w:pPr>
      <w:r>
        <w:rPr>
          <w:rStyle w:val="10"/>
          <w:rFonts w:hint="eastAsia" w:ascii="宋体" w:hAnsi="宋体"/>
          <w:b/>
          <w:bCs/>
          <w:sz w:val="24"/>
          <w:szCs w:val="24"/>
          <w:lang w:val="en-US" w:eastAsia="zh-CN"/>
        </w:rPr>
        <w:t>（1）</w:t>
      </w:r>
      <w:r>
        <w:rPr>
          <w:rStyle w:val="10"/>
          <w:rFonts w:hint="eastAsia" w:ascii="宋体" w:hAnsi="宋体"/>
          <w:sz w:val="24"/>
          <w:szCs w:val="24"/>
          <w:lang w:val="en-US" w:eastAsia="zh-CN"/>
        </w:rPr>
        <w:t>投标供应商提供的木质骨灰盒要满足国家现行标准《木质骨灰盒通用技术条件》（GB/T23288-2023）。中标供应商提供的骨灰盒要是完整的、质量合格的、全新的产品。每一件供货产品附有商标、品名、规格型号、产品参数、产品简介、厂名、合格标识、文字说明（包含：设计理念及工艺说明）等。骨灰盒外部包装盒两边侧面要清楚标明厂家、品名、材质、规格型号等标识。商品符合运输及销售包装要求。所有骨灰盒在供货、运送、销售、仓库存储及售后质保期内出现的非采购人造成的任何产品质量问题、包装问题或服务不及时、不到位等产生的相关投诉、赔偿，其全部责任及费用均由中标供应商承担。</w:t>
      </w:r>
    </w:p>
    <w:p w14:paraId="190A1FB5">
      <w:pPr>
        <w:spacing w:line="360" w:lineRule="auto"/>
        <w:jc w:val="left"/>
        <w:rPr>
          <w:rStyle w:val="10"/>
          <w:rFonts w:hint="eastAsia" w:ascii="宋体" w:hAnsi="宋体" w:eastAsia="宋体" w:cs="宋体"/>
          <w:b/>
          <w:bCs/>
          <w:sz w:val="24"/>
          <w:szCs w:val="24"/>
          <w:lang w:val="en-US" w:eastAsia="zh-CN"/>
        </w:rPr>
      </w:pPr>
      <w:r>
        <w:rPr>
          <w:rStyle w:val="10"/>
          <w:rFonts w:hint="eastAsia" w:ascii="宋体" w:hAnsi="宋体" w:eastAsia="宋体" w:cs="宋体"/>
          <w:b/>
          <w:bCs/>
          <w:sz w:val="24"/>
          <w:szCs w:val="24"/>
          <w:lang w:val="en-US" w:eastAsia="zh-CN"/>
        </w:rPr>
        <w:t>（2）木质骨灰盒质量要求</w:t>
      </w:r>
    </w:p>
    <w:p w14:paraId="02A9DF03">
      <w:pPr>
        <w:keepNext w:val="0"/>
        <w:keepLines w:val="0"/>
        <w:widowControl/>
        <w:suppressLineNumbers w:val="0"/>
        <w:spacing w:line="360" w:lineRule="auto"/>
        <w:jc w:val="left"/>
      </w:pPr>
      <w:r>
        <w:rPr>
          <w:rStyle w:val="10"/>
          <w:rFonts w:hint="eastAsia" w:cs="宋体"/>
          <w:sz w:val="24"/>
          <w:szCs w:val="24"/>
          <w:lang w:val="en-US" w:eastAsia="zh-CN"/>
        </w:rPr>
        <w:t>①</w:t>
      </w:r>
      <w:r>
        <w:rPr>
          <w:rFonts w:ascii="宋体" w:hAnsi="宋体" w:eastAsia="宋体" w:cs="宋体"/>
          <w:kern w:val="0"/>
          <w:sz w:val="24"/>
          <w:szCs w:val="24"/>
          <w:lang w:val="en-US" w:eastAsia="zh-CN" w:bidi="ar"/>
        </w:rPr>
        <w:t>主材采用天然实木，严禁使用密度板、刨花板、贴皮板、复合板及回收木材，材质需与标识一致</w:t>
      </w:r>
      <w:r>
        <w:rPr>
          <w:rFonts w:hint="eastAsia" w:ascii="宋体" w:hAnsi="宋体" w:eastAsia="宋体" w:cs="宋体"/>
          <w:kern w:val="0"/>
          <w:sz w:val="24"/>
          <w:szCs w:val="24"/>
          <w:lang w:val="en-US" w:eastAsia="zh-CN" w:bidi="ar"/>
        </w:rPr>
        <w:t>；木材质量：无贯通裂缝、虫蛀、树脂囊、腐朽材、死节；面板和底板采用无拼接、无边材的独板，面板厚度≥10mm（不含雕花厚度），底板厚度≥6mm。</w:t>
      </w:r>
    </w:p>
    <w:p w14:paraId="3089C913">
      <w:pPr>
        <w:keepNext w:val="0"/>
        <w:keepLines w:val="0"/>
        <w:widowControl/>
        <w:suppressLineNumbers w:val="0"/>
        <w:spacing w:line="360" w:lineRule="auto"/>
        <w:jc w:val="left"/>
        <w:rPr>
          <w:highlight w:val="none"/>
        </w:rPr>
      </w:pPr>
      <w:r>
        <w:rPr>
          <w:rStyle w:val="10"/>
          <w:rFonts w:hint="eastAsia" w:cs="宋体"/>
          <w:b w:val="0"/>
          <w:bCs w:val="0"/>
          <w:sz w:val="24"/>
          <w:szCs w:val="24"/>
          <w:highlight w:val="none"/>
          <w:lang w:val="en-US" w:eastAsia="zh-CN"/>
        </w:rPr>
        <w:t>②</w:t>
      </w:r>
      <w:r>
        <w:rPr>
          <w:rFonts w:ascii="宋体" w:hAnsi="宋体" w:eastAsia="宋体" w:cs="宋体"/>
          <w:b w:val="0"/>
          <w:bCs w:val="0"/>
          <w:kern w:val="0"/>
          <w:sz w:val="24"/>
          <w:szCs w:val="24"/>
          <w:highlight w:val="none"/>
          <w:lang w:val="en-US" w:eastAsia="zh-CN" w:bidi="ar"/>
        </w:rPr>
        <w:t>干燥处理：木材需经专业干燥处理，含水率控制在</w:t>
      </w:r>
      <w:r>
        <w:rPr>
          <w:rFonts w:hint="eastAsia" w:cs="宋体"/>
          <w:b w:val="0"/>
          <w:bCs w:val="0"/>
          <w:kern w:val="0"/>
          <w:sz w:val="24"/>
          <w:szCs w:val="24"/>
          <w:highlight w:val="none"/>
          <w:lang w:val="en-US" w:eastAsia="zh-CN" w:bidi="ar"/>
        </w:rPr>
        <w:t>8</w:t>
      </w:r>
      <w:r>
        <w:rPr>
          <w:rFonts w:ascii="宋体" w:hAnsi="宋体" w:eastAsia="宋体" w:cs="宋体"/>
          <w:b w:val="0"/>
          <w:bCs w:val="0"/>
          <w:kern w:val="0"/>
          <w:sz w:val="24"/>
          <w:szCs w:val="24"/>
          <w:highlight w:val="none"/>
          <w:lang w:val="en-US" w:eastAsia="zh-CN" w:bidi="ar"/>
        </w:rPr>
        <w:t>%～产品所在地区年平均木材平衡含水率，允许偏差±1%，全国各地区年平均木材平衡含水率按相关规范执行</w:t>
      </w:r>
      <w:r>
        <w:rPr>
          <w:rFonts w:hint="eastAsia" w:ascii="宋体" w:hAnsi="宋体" w:eastAsia="宋体" w:cs="宋体"/>
          <w:kern w:val="0"/>
          <w:sz w:val="24"/>
          <w:szCs w:val="24"/>
          <w:highlight w:val="none"/>
          <w:lang w:val="en-US" w:eastAsia="zh-CN" w:bidi="ar"/>
        </w:rPr>
        <w:t>。</w:t>
      </w:r>
    </w:p>
    <w:p w14:paraId="78174356">
      <w:pPr>
        <w:spacing w:line="360" w:lineRule="auto"/>
        <w:jc w:val="left"/>
        <w:rPr>
          <w:rStyle w:val="10"/>
          <w:rFonts w:hint="eastAsia" w:cs="宋体"/>
          <w:sz w:val="24"/>
          <w:szCs w:val="24"/>
          <w:highlight w:val="none"/>
          <w:lang w:val="en-US" w:eastAsia="zh-CN"/>
        </w:rPr>
      </w:pPr>
      <w:r>
        <w:rPr>
          <w:rStyle w:val="10"/>
          <w:rFonts w:hint="eastAsia" w:cs="宋体"/>
          <w:sz w:val="24"/>
          <w:szCs w:val="24"/>
          <w:lang w:val="en-US" w:eastAsia="zh-CN"/>
        </w:rPr>
        <w:t>③防虫防腐处理：采用环保防虫防腐药剂（无甲醛、无重金属），经真空加压渗透处理，确保木材内部无虫卵、无蛀虫隐患，同时不污染骨灰及存放环境，药剂符合国家环保标准；</w:t>
      </w:r>
      <w:r>
        <w:rPr>
          <w:rFonts w:hint="eastAsia" w:ascii="宋体" w:hAnsi="宋体" w:eastAsia="宋体" w:cs="宋体"/>
          <w:b w:val="0"/>
          <w:bCs w:val="0"/>
          <w:kern w:val="0"/>
          <w:sz w:val="24"/>
          <w:szCs w:val="24"/>
          <w:highlight w:val="none"/>
          <w:lang w:val="en-US" w:eastAsia="zh-CN" w:bidi="ar"/>
        </w:rPr>
        <w:t>内外表面经多道精细打磨手感光滑细腻，无毛刺、无木刺、无明显加工痕迹</w:t>
      </w:r>
      <w:r>
        <w:rPr>
          <w:rStyle w:val="10"/>
          <w:rFonts w:hint="eastAsia" w:cs="宋体"/>
          <w:sz w:val="24"/>
          <w:szCs w:val="24"/>
          <w:highlight w:val="none"/>
          <w:lang w:val="en-US" w:eastAsia="zh-CN"/>
        </w:rPr>
        <w:t>。</w:t>
      </w:r>
    </w:p>
    <w:p w14:paraId="4B475C7E">
      <w:pPr>
        <w:spacing w:line="360" w:lineRule="auto"/>
        <w:jc w:val="left"/>
        <w:rPr>
          <w:rStyle w:val="10"/>
          <w:rFonts w:hint="eastAsia" w:cs="宋体"/>
          <w:sz w:val="24"/>
          <w:szCs w:val="24"/>
          <w:lang w:val="en-US" w:eastAsia="zh-CN"/>
        </w:rPr>
      </w:pPr>
      <w:r>
        <w:rPr>
          <w:rStyle w:val="10"/>
          <w:rFonts w:hint="eastAsia" w:cs="宋体"/>
          <w:sz w:val="24"/>
          <w:szCs w:val="24"/>
          <w:lang w:val="en-US" w:eastAsia="zh-CN"/>
        </w:rPr>
        <w:t>④胶黏剂：采用环保水性胶，无甲醛释放，甲醛释放量（符合GB 18584—2024规定），粘结强度高，胶缝严密，外表无明显胶缝；油漆采用高聚脂漆或生漆等，颜色均匀，漆质饱满，无皱皮、发粘和漏漆现象；</w:t>
      </w:r>
      <w:r>
        <w:rPr>
          <w:rFonts w:hint="eastAsia" w:ascii="宋体" w:hAnsi="宋体" w:eastAsia="宋体" w:cs="Times New Roman"/>
          <w:sz w:val="24"/>
          <w:lang w:val="en-US" w:eastAsia="zh-CN"/>
        </w:rPr>
        <w:t>采用木榫接，接头处应涂胶，不得使用金属钉子；盒盖与盒口吻合严密，采用榫卯结构固定，榫卯结合处严密牢固，无崩茬、动榫、断榫；用塞尺检测，缝隙均匀，无局部过大现象。</w:t>
      </w:r>
    </w:p>
    <w:p w14:paraId="7851538B">
      <w:pPr>
        <w:spacing w:line="360" w:lineRule="auto"/>
        <w:jc w:val="left"/>
        <w:rPr>
          <w:rFonts w:hint="eastAsia" w:ascii="宋体" w:hAnsi="宋体" w:eastAsia="宋体" w:cs="Times New Roman"/>
          <w:sz w:val="24"/>
          <w:lang w:val="en-US" w:eastAsia="zh-CN"/>
        </w:rPr>
      </w:pPr>
      <w:r>
        <w:rPr>
          <w:rFonts w:hint="eastAsia" w:ascii="宋体" w:hAnsi="宋体" w:eastAsia="宋体" w:cs="Times New Roman"/>
          <w:sz w:val="24"/>
          <w:lang w:val="en-US" w:eastAsia="zh-CN"/>
        </w:rPr>
        <w:t>⑤整体外观：无断裂、裂纹、虫蛀、霉斑、变形、翘曲；内外表面清洁，无胶迹、污迹、灰尘，内衬无脏物、无损坏；配饰和照相框无损坏，图案设计庄重，不涉及封建迷信；木材纹理清晰自然，色泽均匀，无色差。</w:t>
      </w:r>
    </w:p>
    <w:p w14:paraId="118796F3">
      <w:pPr>
        <w:spacing w:line="360" w:lineRule="auto"/>
        <w:jc w:val="left"/>
        <w:rPr>
          <w:rFonts w:hint="eastAsia" w:eastAsia="宋体"/>
          <w:lang w:val="en-US" w:eastAsia="zh-CN"/>
        </w:rPr>
      </w:pPr>
      <w:r>
        <w:rPr>
          <w:rFonts w:hint="eastAsia" w:ascii="宋体" w:hAnsi="宋体" w:eastAsia="宋体" w:cs="Times New Roman"/>
          <w:sz w:val="24"/>
          <w:lang w:val="en-US" w:eastAsia="zh-CN"/>
        </w:rPr>
        <w:t>⑥</w:t>
      </w:r>
      <w:r>
        <w:rPr>
          <w:rFonts w:ascii="宋体" w:hAnsi="宋体" w:eastAsia="宋体" w:cs="宋体"/>
          <w:kern w:val="0"/>
          <w:sz w:val="24"/>
          <w:szCs w:val="24"/>
          <w:lang w:val="en-US" w:eastAsia="zh-CN" w:bidi="ar"/>
        </w:rPr>
        <w:t>涂层无皱皮、发粘、漏漆现象，无明显划痕、雾光、白楞、白点、鼓泡、油白、流挂、缩孔、刷毛、积粉、杂渣；内部涂刷均匀，色泽基本一致</w:t>
      </w:r>
      <w:r>
        <w:rPr>
          <w:rFonts w:hint="eastAsia" w:ascii="宋体" w:hAnsi="宋体" w:eastAsia="宋体" w:cs="宋体"/>
          <w:kern w:val="0"/>
          <w:sz w:val="24"/>
          <w:szCs w:val="24"/>
          <w:lang w:val="en-US" w:eastAsia="zh-CN" w:bidi="ar"/>
        </w:rPr>
        <w:t>；雕刻图案、文字清晰完整，线条流畅，层次分明，对称部位对称；凹凸大挖、过桥、棱角、圆弧等处无缺角，铲底平整，各部位无锤印或毛刺；纹饰、文字端正，无歪斜、错刻、漏刻；描金/着色采用环保材料，附着力强无脱落，无溢色、晕染。</w:t>
      </w:r>
    </w:p>
    <w:p w14:paraId="37D0F33B">
      <w:pPr>
        <w:numPr>
          <w:ilvl w:val="0"/>
          <w:numId w:val="0"/>
        </w:numPr>
        <w:spacing w:line="360" w:lineRule="auto"/>
        <w:jc w:val="left"/>
        <w:rPr>
          <w:rStyle w:val="10"/>
          <w:rFonts w:hint="eastAsia" w:ascii="宋体" w:hAnsi="宋体" w:eastAsia="宋体" w:cs="宋体"/>
          <w:b/>
          <w:bCs/>
          <w:sz w:val="24"/>
          <w:szCs w:val="24"/>
          <w:lang w:val="en-US" w:eastAsia="zh-CN"/>
        </w:rPr>
      </w:pPr>
      <w:r>
        <w:rPr>
          <w:rStyle w:val="10"/>
          <w:rFonts w:hint="eastAsia" w:cs="宋体"/>
          <w:b/>
          <w:bCs/>
          <w:sz w:val="24"/>
          <w:szCs w:val="24"/>
          <w:lang w:val="en-US" w:eastAsia="zh-CN"/>
        </w:rPr>
        <w:t>（3）</w:t>
      </w:r>
      <w:r>
        <w:rPr>
          <w:rStyle w:val="10"/>
          <w:rFonts w:hint="eastAsia" w:ascii="宋体" w:hAnsi="宋体" w:eastAsia="宋体" w:cs="宋体"/>
          <w:b/>
          <w:bCs/>
          <w:sz w:val="24"/>
          <w:szCs w:val="24"/>
          <w:lang w:val="en-US" w:eastAsia="zh-CN"/>
        </w:rPr>
        <w:t>石材骨灰盒质量要求</w:t>
      </w:r>
    </w:p>
    <w:p w14:paraId="1E3E3BB6">
      <w:pPr>
        <w:numPr>
          <w:ilvl w:val="0"/>
          <w:numId w:val="0"/>
        </w:numPr>
        <w:spacing w:line="360" w:lineRule="auto"/>
        <w:jc w:val="left"/>
        <w:rPr>
          <w:rStyle w:val="10"/>
          <w:rFonts w:hint="default" w:ascii="宋体" w:hAnsi="宋体" w:eastAsia="宋体" w:cs="宋体"/>
          <w:sz w:val="24"/>
          <w:szCs w:val="24"/>
          <w:lang w:val="en-US" w:eastAsia="zh-CN"/>
        </w:rPr>
      </w:pPr>
      <w:r>
        <w:rPr>
          <w:rStyle w:val="10"/>
          <w:rFonts w:hint="eastAsia" w:cs="宋体"/>
          <w:sz w:val="24"/>
          <w:szCs w:val="24"/>
          <w:lang w:val="en-US" w:eastAsia="zh-CN"/>
        </w:rPr>
        <w:t>①主体采用天然石材，质地致密、耐久性强的石材，材质需与产品标识完全一致，严禁以次充好、石质均匀，无裂纹、暗裂、夹层、风化层、色斑、砂眼</w:t>
      </w:r>
      <w:r>
        <w:rPr>
          <w:rStyle w:val="9"/>
          <w:rFonts w:hint="eastAsia" w:ascii="宋体" w:hAnsi="宋体" w:eastAsia="宋体" w:cs="宋体"/>
          <w:b/>
          <w:bCs/>
          <w:color w:val="1F2329"/>
          <w:sz w:val="24"/>
          <w:szCs w:val="24"/>
          <w:highlight w:val="none"/>
          <w:lang w:eastAsia="zh-CN"/>
        </w:rPr>
        <w:t>；</w:t>
      </w:r>
      <w:r>
        <w:rPr>
          <w:rFonts w:ascii="宋体" w:hAnsi="宋体" w:eastAsia="宋体" w:cs="宋体"/>
          <w:sz w:val="24"/>
          <w:szCs w:val="24"/>
        </w:rPr>
        <w:t>粘接胶</w:t>
      </w:r>
      <w:r>
        <w:rPr>
          <w:rFonts w:ascii="宋体" w:hAnsi="宋体" w:eastAsia="宋体" w:cs="宋体"/>
          <w:b w:val="0"/>
          <w:bCs w:val="0"/>
          <w:sz w:val="24"/>
          <w:szCs w:val="24"/>
        </w:rPr>
        <w:t>采用</w:t>
      </w:r>
      <w:r>
        <w:rPr>
          <w:rStyle w:val="9"/>
          <w:rFonts w:ascii="宋体" w:hAnsi="宋体" w:eastAsia="宋体" w:cs="宋体"/>
          <w:b w:val="0"/>
          <w:bCs w:val="0"/>
          <w:color w:val="1F2329"/>
          <w:sz w:val="24"/>
          <w:szCs w:val="24"/>
        </w:rPr>
        <w:t>石材专用</w:t>
      </w:r>
      <w:r>
        <w:rPr>
          <w:rFonts w:ascii="宋体" w:hAnsi="宋体" w:eastAsia="宋体" w:cs="宋体"/>
          <w:b w:val="0"/>
          <w:bCs w:val="0"/>
          <w:sz w:val="24"/>
          <w:szCs w:val="24"/>
        </w:rPr>
        <w:t>，环保无毒、防水防霉、耐酸碱，无甲醛重金属，粘结牢固不脱胶</w:t>
      </w:r>
      <w:r>
        <w:rPr>
          <w:rFonts w:hint="eastAsia" w:ascii="宋体" w:hAnsi="宋体" w:eastAsia="宋体" w:cs="宋体"/>
          <w:b w:val="0"/>
          <w:bCs w:val="0"/>
          <w:sz w:val="24"/>
          <w:szCs w:val="24"/>
          <w:lang w:val="en-US" w:eastAsia="zh-CN"/>
        </w:rPr>
        <w:t>无漏胶、溢胶、空鼓、气泡；溢胶需彻底清理，无胶痕、胶渍，不影响产品外观</w:t>
      </w:r>
      <w:r>
        <w:rPr>
          <w:rFonts w:hint="eastAsia" w:ascii="宋体" w:hAnsi="宋体" w:eastAsia="宋体" w:cs="宋体"/>
          <w:b w:val="0"/>
          <w:bCs w:val="0"/>
          <w:sz w:val="24"/>
          <w:szCs w:val="24"/>
          <w:lang w:eastAsia="zh-CN"/>
        </w:rPr>
        <w:t>；</w:t>
      </w:r>
      <w:r>
        <w:rPr>
          <w:rFonts w:ascii="宋体" w:hAnsi="宋体" w:eastAsia="宋体" w:cs="宋体"/>
          <w:b w:val="0"/>
          <w:bCs w:val="0"/>
          <w:sz w:val="24"/>
          <w:szCs w:val="24"/>
        </w:rPr>
        <w:t>严禁使用人造石、染色石、</w:t>
      </w:r>
      <w:r>
        <w:rPr>
          <w:rFonts w:ascii="宋体" w:hAnsi="宋体" w:eastAsia="宋体" w:cs="宋体"/>
          <w:sz w:val="24"/>
          <w:szCs w:val="24"/>
        </w:rPr>
        <w:t>碎料拼接劣质石材</w:t>
      </w:r>
      <w:r>
        <w:rPr>
          <w:rStyle w:val="10"/>
          <w:rFonts w:hint="eastAsia" w:cs="宋体"/>
          <w:sz w:val="24"/>
          <w:szCs w:val="24"/>
          <w:lang w:val="en-US" w:eastAsia="zh-CN"/>
        </w:rPr>
        <w:t>。</w:t>
      </w:r>
    </w:p>
    <w:p w14:paraId="6397901A">
      <w:pPr>
        <w:numPr>
          <w:ilvl w:val="0"/>
          <w:numId w:val="0"/>
        </w:numPr>
        <w:spacing w:line="360" w:lineRule="auto"/>
        <w:jc w:val="left"/>
        <w:rPr>
          <w:rFonts w:ascii="宋体" w:hAnsi="宋体" w:eastAsia="宋体" w:cs="宋体"/>
          <w:sz w:val="24"/>
          <w:szCs w:val="24"/>
        </w:rPr>
      </w:pPr>
      <w:r>
        <w:rPr>
          <w:rStyle w:val="10"/>
          <w:rFonts w:hint="eastAsia" w:cs="宋体"/>
          <w:sz w:val="24"/>
          <w:szCs w:val="24"/>
          <w:lang w:val="en-US" w:eastAsia="zh-CN"/>
        </w:rPr>
        <w:t>②</w:t>
      </w:r>
      <w:r>
        <w:rPr>
          <w:rFonts w:ascii="宋体" w:hAnsi="宋体" w:eastAsia="宋体" w:cs="宋体"/>
          <w:sz w:val="24"/>
          <w:szCs w:val="24"/>
          <w:lang w:val="en-US" w:eastAsia="zh-CN"/>
        </w:rPr>
        <w:t>优先采用整块大料一体成型</w:t>
      </w:r>
      <w:r>
        <w:rPr>
          <w:rFonts w:hint="eastAsia" w:cs="宋体"/>
          <w:sz w:val="24"/>
          <w:szCs w:val="24"/>
          <w:lang w:val="en-US" w:eastAsia="zh-CN"/>
        </w:rPr>
        <w:t>，</w:t>
      </w:r>
      <w:r>
        <w:rPr>
          <w:rFonts w:hint="eastAsia" w:ascii="宋体" w:hAnsi="宋体" w:eastAsia="宋体" w:cs="宋体"/>
          <w:sz w:val="24"/>
          <w:szCs w:val="24"/>
          <w:lang w:eastAsia="zh-CN"/>
        </w:rPr>
        <w:t>盒盖与盒口贴合严密，缝隙均匀，开合顺畅，倒置不脱落；</w:t>
      </w:r>
      <w:r>
        <w:rPr>
          <w:rFonts w:ascii="宋体" w:hAnsi="宋体" w:eastAsia="宋体" w:cs="宋体"/>
          <w:sz w:val="24"/>
          <w:szCs w:val="24"/>
        </w:rPr>
        <w:t>边角圆弧打磨，无尖锐棱角；壁厚均匀，整体承重稳定，平放无翘曲。</w:t>
      </w:r>
    </w:p>
    <w:p w14:paraId="73B436E6">
      <w:pPr>
        <w:pStyle w:val="5"/>
        <w:spacing w:line="360" w:lineRule="auto"/>
        <w:ind w:left="0" w:leftChars="0" w:firstLine="0" w:firstLineChars="0"/>
        <w:rPr>
          <w:rFonts w:hint="eastAsia" w:ascii="宋体" w:hAnsi="宋体" w:eastAsia="宋体" w:cs="宋体"/>
          <w:sz w:val="24"/>
          <w:szCs w:val="24"/>
          <w:lang w:val="en-US" w:eastAsia="zh-CN" w:bidi="zh-CN"/>
        </w:rPr>
      </w:pPr>
      <w:r>
        <w:rPr>
          <w:rFonts w:hint="eastAsia" w:ascii="宋体" w:hAnsi="宋体" w:eastAsia="宋体" w:cs="宋体"/>
          <w:sz w:val="24"/>
          <w:szCs w:val="24"/>
          <w:lang w:val="en-US" w:eastAsia="zh-CN" w:bidi="zh-CN"/>
        </w:rPr>
        <w:t>③外观质量：表面精细抛光/哑光打磨，光洁均匀，无划痕、缺角、掉碴、麻点、裂纹</w:t>
      </w:r>
      <w:r>
        <w:rPr>
          <w:rFonts w:hint="eastAsia" w:ascii="宋体" w:hAnsi="宋体" w:eastAsia="宋体" w:cs="宋体"/>
          <w:sz w:val="24"/>
          <w:szCs w:val="24"/>
          <w:lang w:val="zh-CN" w:eastAsia="zh-CN" w:bidi="zh-CN"/>
        </w:rPr>
        <w:t>；</w:t>
      </w:r>
      <w:r>
        <w:rPr>
          <w:rFonts w:ascii="宋体" w:hAnsi="宋体" w:eastAsia="宋体" w:cs="宋体"/>
          <w:sz w:val="24"/>
          <w:szCs w:val="24"/>
          <w:lang w:val="zh-CN" w:eastAsia="zh-CN" w:bidi="zh-CN"/>
        </w:rPr>
        <w:t>色泽自然均匀，无人工大面积染色、无褪色隐患</w:t>
      </w:r>
      <w:r>
        <w:rPr>
          <w:rFonts w:hint="eastAsia" w:ascii="宋体" w:hAnsi="宋体" w:eastAsia="宋体" w:cs="宋体"/>
          <w:sz w:val="24"/>
          <w:szCs w:val="24"/>
          <w:lang w:val="zh-CN" w:eastAsia="zh-CN" w:bidi="zh-CN"/>
        </w:rPr>
        <w:t>；整体方正对称，垂直度、平整度符合石材加工精度要求</w:t>
      </w:r>
      <w:r>
        <w:rPr>
          <w:rFonts w:hint="eastAsia" w:ascii="宋体" w:hAnsi="宋体" w:eastAsia="宋体" w:cs="宋体"/>
          <w:sz w:val="24"/>
          <w:szCs w:val="24"/>
          <w:lang w:val="en-US" w:eastAsia="zh-CN" w:bidi="zh-CN"/>
        </w:rPr>
        <w:t>。</w:t>
      </w:r>
    </w:p>
    <w:p w14:paraId="4AD8E5F5">
      <w:pPr>
        <w:pStyle w:val="5"/>
        <w:spacing w:line="360" w:lineRule="auto"/>
        <w:ind w:left="0" w:leftChars="0" w:firstLine="0" w:firstLineChars="0"/>
        <w:rPr>
          <w:rFonts w:hint="default"/>
          <w:lang w:val="en-US" w:eastAsia="zh-CN"/>
        </w:rPr>
      </w:pPr>
      <w:r>
        <w:rPr>
          <w:rFonts w:hint="eastAsia" w:ascii="宋体" w:hAnsi="宋体" w:eastAsia="宋体" w:cs="宋体"/>
          <w:sz w:val="24"/>
          <w:szCs w:val="24"/>
          <w:lang w:val="en-US" w:eastAsia="zh-CN" w:bidi="zh-CN"/>
        </w:rPr>
        <w:t>④雕刻图案、文字清晰完整，线条流畅，层次分明，深浅一致，无毛刺、无残缺、无断笔；对称部位对称，无歪斜、无变形；刻字要求：文字端正，无歪斜、错刻、漏刻，字体清晰，笔画流畅，无模糊、无断笔；描金/着色采用环保材料，附着力强、无脱落，无溢色、晕染；雕刻边缘光滑，无崩边、无毛刺，与石材表面过渡自然，无突兀感；雕刻深度均匀，无深浅不一现象。</w:t>
      </w:r>
    </w:p>
    <w:p w14:paraId="1A753E18">
      <w:pPr>
        <w:pStyle w:val="5"/>
        <w:spacing w:line="360" w:lineRule="auto"/>
        <w:ind w:left="0" w:leftChars="0" w:firstLine="0" w:firstLineChars="0"/>
        <w:rPr>
          <w:rStyle w:val="10"/>
          <w:rFonts w:hint="eastAsia" w:ascii="宋体" w:hAnsi="宋体" w:eastAsia="宋体" w:cs="宋体"/>
          <w:sz w:val="24"/>
          <w:szCs w:val="24"/>
          <w:lang w:val="en-US" w:eastAsia="zh-CN"/>
        </w:rPr>
      </w:pPr>
      <w:r>
        <w:rPr>
          <w:rStyle w:val="10"/>
          <w:rFonts w:hint="eastAsia" w:cs="宋体"/>
          <w:sz w:val="24"/>
          <w:szCs w:val="24"/>
          <w:lang w:val="en-US" w:eastAsia="zh-CN"/>
        </w:rPr>
        <w:t>⑤</w:t>
      </w:r>
      <w:r>
        <w:rPr>
          <w:rFonts w:ascii="宋体" w:hAnsi="宋体" w:eastAsia="宋体" w:cs="宋体"/>
          <w:kern w:val="0"/>
          <w:sz w:val="24"/>
          <w:szCs w:val="24"/>
          <w:lang w:val="en-US" w:eastAsia="zh-CN" w:bidi="ar"/>
        </w:rPr>
        <w:t>整体外观：无裂纹、暗裂、崩边、缺角、掉碴；表面清洁，无污渍、无胶痕、无灰尘；整体庄重、规整，符合殡葬用品的外观要求，无低俗、违规纹饰。</w:t>
      </w:r>
    </w:p>
    <w:p w14:paraId="428B6494">
      <w:pPr>
        <w:numPr>
          <w:ilvl w:val="0"/>
          <w:numId w:val="0"/>
        </w:numPr>
        <w:snapToGrid w:val="0"/>
        <w:spacing w:line="360" w:lineRule="auto"/>
        <w:rPr>
          <w:rStyle w:val="10"/>
          <w:rFonts w:hint="eastAsia" w:ascii="宋体" w:hAnsi="宋体" w:eastAsia="宋体" w:cs="宋体"/>
          <w:b/>
          <w:bCs/>
          <w:sz w:val="24"/>
          <w:szCs w:val="24"/>
          <w:lang w:val="en-US" w:eastAsia="zh-CN"/>
        </w:rPr>
      </w:pPr>
      <w:r>
        <w:rPr>
          <w:rStyle w:val="10"/>
          <w:rFonts w:hint="eastAsia" w:cs="宋体"/>
          <w:b/>
          <w:bCs/>
          <w:sz w:val="24"/>
          <w:szCs w:val="24"/>
          <w:lang w:val="en-US" w:eastAsia="zh-CN"/>
        </w:rPr>
        <w:t>3、</w:t>
      </w:r>
      <w:r>
        <w:rPr>
          <w:rStyle w:val="10"/>
          <w:rFonts w:hint="eastAsia" w:ascii="宋体" w:hAnsi="宋体" w:eastAsia="宋体" w:cs="宋体"/>
          <w:b/>
          <w:bCs/>
          <w:sz w:val="24"/>
          <w:szCs w:val="24"/>
          <w:lang w:val="en-US" w:eastAsia="zh-CN"/>
        </w:rPr>
        <w:t>服务要求</w:t>
      </w:r>
    </w:p>
    <w:p w14:paraId="2ABD8B20">
      <w:pPr>
        <w:numPr>
          <w:ilvl w:val="0"/>
          <w:numId w:val="0"/>
        </w:numPr>
        <w:snapToGrid w:val="0"/>
        <w:spacing w:line="360" w:lineRule="auto"/>
        <w:rPr>
          <w:rFonts w:hint="eastAsia" w:ascii="宋体" w:hAnsi="宋体" w:eastAsia="宋体" w:cs="Times New Roman"/>
          <w:sz w:val="24"/>
          <w:lang w:val="en-US" w:eastAsia="zh-CN"/>
        </w:rPr>
      </w:pPr>
      <w:r>
        <w:rPr>
          <w:rFonts w:hint="eastAsia" w:cs="Times New Roman"/>
          <w:sz w:val="24"/>
          <w:lang w:val="en-US" w:eastAsia="zh-CN"/>
        </w:rPr>
        <w:t>（1）</w:t>
      </w:r>
      <w:r>
        <w:rPr>
          <w:rFonts w:hint="eastAsia" w:ascii="宋体" w:hAnsi="宋体" w:eastAsia="宋体" w:cs="Times New Roman"/>
          <w:sz w:val="24"/>
          <w:lang w:val="en-US" w:eastAsia="zh-CN"/>
        </w:rPr>
        <w:t xml:space="preserve">中标骨灰盒一律实行代销。 </w:t>
      </w:r>
    </w:p>
    <w:p w14:paraId="21ADA921">
      <w:pPr>
        <w:snapToGrid w:val="0"/>
        <w:spacing w:line="360" w:lineRule="auto"/>
        <w:rPr>
          <w:rFonts w:hint="eastAsia" w:ascii="宋体" w:hAnsi="宋体" w:eastAsia="宋体" w:cs="Times New Roman"/>
          <w:color w:val="auto"/>
          <w:sz w:val="24"/>
          <w:lang w:val="en-US" w:eastAsia="zh-CN"/>
        </w:rPr>
      </w:pPr>
      <w:r>
        <w:rPr>
          <w:rFonts w:hint="eastAsia" w:cs="Times New Roman"/>
          <w:color w:val="auto"/>
          <w:sz w:val="24"/>
          <w:lang w:val="en-US" w:eastAsia="zh-CN"/>
        </w:rPr>
        <w:t>（2）</w:t>
      </w:r>
      <w:r>
        <w:rPr>
          <w:rFonts w:hint="eastAsia" w:ascii="宋体" w:hAnsi="宋体" w:eastAsia="宋体" w:cs="Times New Roman"/>
          <w:color w:val="auto"/>
          <w:sz w:val="24"/>
          <w:lang w:val="en-US" w:eastAsia="zh-CN"/>
        </w:rPr>
        <w:t>中标人中标货物的供货量由招标人根据实际的销售情况确定，招标人负责代销。招标人不向中标人保证最低供货量。</w:t>
      </w:r>
    </w:p>
    <w:p w14:paraId="216A1742">
      <w:pPr>
        <w:snapToGrid w:val="0"/>
        <w:spacing w:line="360" w:lineRule="auto"/>
        <w:rPr>
          <w:rFonts w:hint="eastAsia" w:ascii="宋体" w:hAnsi="宋体" w:eastAsia="宋体" w:cs="Times New Roman"/>
          <w:sz w:val="24"/>
          <w:lang w:val="en-US" w:eastAsia="zh-CN"/>
        </w:rPr>
      </w:pPr>
      <w:r>
        <w:rPr>
          <w:rFonts w:hint="eastAsia" w:cs="Times New Roman"/>
          <w:sz w:val="24"/>
          <w:lang w:val="en-US" w:eastAsia="zh-CN"/>
        </w:rPr>
        <w:t>（3）</w:t>
      </w:r>
      <w:r>
        <w:rPr>
          <w:rFonts w:hint="eastAsia" w:ascii="宋体" w:hAnsi="宋体" w:eastAsia="宋体" w:cs="Times New Roman"/>
          <w:sz w:val="24"/>
          <w:lang w:val="en-US" w:eastAsia="zh-CN"/>
        </w:rPr>
        <w:t>中标人在接到招标人的供货通知电话或传真后</w:t>
      </w:r>
      <w:r>
        <w:rPr>
          <w:rFonts w:hint="eastAsia" w:cs="Times New Roman"/>
          <w:sz w:val="24"/>
          <w:lang w:val="en-US" w:eastAsia="zh-CN"/>
        </w:rPr>
        <w:t>48小时</w:t>
      </w:r>
      <w:r>
        <w:rPr>
          <w:rFonts w:hint="eastAsia" w:ascii="宋体" w:hAnsi="宋体" w:eastAsia="宋体" w:cs="Times New Roman"/>
          <w:sz w:val="24"/>
          <w:lang w:val="en-US" w:eastAsia="zh-CN"/>
        </w:rPr>
        <w:t xml:space="preserve">内应将招标人所需货物保质保量送到招标人指定地点。 </w:t>
      </w:r>
    </w:p>
    <w:p w14:paraId="372C9F2D">
      <w:pPr>
        <w:snapToGrid w:val="0"/>
        <w:spacing w:line="360" w:lineRule="auto"/>
        <w:rPr>
          <w:rFonts w:hint="eastAsia" w:ascii="宋体" w:hAnsi="宋体" w:eastAsia="宋体" w:cs="Times New Roman"/>
          <w:sz w:val="24"/>
          <w:lang w:val="en-US" w:eastAsia="zh-CN"/>
        </w:rPr>
      </w:pPr>
      <w:r>
        <w:rPr>
          <w:rFonts w:hint="eastAsia" w:cs="Times New Roman"/>
          <w:sz w:val="24"/>
          <w:lang w:val="en-US" w:eastAsia="zh-CN"/>
        </w:rPr>
        <w:t>（4）</w:t>
      </w:r>
      <w:r>
        <w:rPr>
          <w:rFonts w:hint="eastAsia" w:ascii="宋体" w:hAnsi="宋体" w:eastAsia="宋体" w:cs="Times New Roman"/>
          <w:sz w:val="24"/>
          <w:lang w:val="en-US" w:eastAsia="zh-CN"/>
        </w:rPr>
        <w:t>供应商须保证所供货物全新、正宗、原包装、出具合格证(含外观、尺寸、盒盖开闭、平稳度</w:t>
      </w:r>
      <w:r>
        <w:rPr>
          <w:rFonts w:hint="eastAsia" w:cs="Times New Roman"/>
          <w:sz w:val="24"/>
          <w:lang w:val="en-US" w:eastAsia="zh-CN"/>
        </w:rPr>
        <w:t>等</w:t>
      </w:r>
      <w:r>
        <w:rPr>
          <w:rFonts w:hint="eastAsia" w:ascii="宋体" w:hAnsi="宋体" w:eastAsia="宋体" w:cs="Times New Roman"/>
          <w:sz w:val="24"/>
          <w:lang w:val="en-US" w:eastAsia="zh-CN"/>
        </w:rPr>
        <w:t xml:space="preserve">)。若事后发现所供货物不符要求并引起纠纷的，由供应商负责赔偿和处理争议或纠纷，招标人保留对中标人索赔的权利。 </w:t>
      </w:r>
    </w:p>
    <w:p w14:paraId="048BCB47">
      <w:pPr>
        <w:snapToGrid w:val="0"/>
        <w:spacing w:line="360" w:lineRule="auto"/>
        <w:rPr>
          <w:rFonts w:hint="eastAsia" w:ascii="宋体" w:hAnsi="宋体" w:eastAsia="宋体" w:cs="Times New Roman"/>
          <w:sz w:val="24"/>
          <w:highlight w:val="none"/>
          <w:lang w:val="en-US" w:eastAsia="zh-CN"/>
        </w:rPr>
      </w:pPr>
      <w:r>
        <w:rPr>
          <w:rFonts w:hint="eastAsia" w:cs="Times New Roman"/>
          <w:sz w:val="24"/>
          <w:highlight w:val="none"/>
          <w:lang w:val="en-US" w:eastAsia="zh-CN"/>
        </w:rPr>
        <w:t>（5）采</w:t>
      </w:r>
      <w:r>
        <w:rPr>
          <w:rFonts w:hint="eastAsia" w:ascii="宋体" w:hAnsi="宋体" w:eastAsia="宋体" w:cs="Times New Roman"/>
          <w:sz w:val="24"/>
          <w:highlight w:val="none"/>
          <w:lang w:val="en-US" w:eastAsia="zh-CN"/>
        </w:rPr>
        <w:t>购人将定期或不定期对骨灰盒进行检查，如采购人发现供应商交付的骨灰盒与封存的样品不一致，或骨灰盒出现缺陷、瑕疵、没有按照招标文件要求供应的</w:t>
      </w:r>
      <w:r>
        <w:rPr>
          <w:rFonts w:hint="eastAsia" w:cs="Times New Roman"/>
          <w:sz w:val="24"/>
          <w:highlight w:val="none"/>
          <w:lang w:val="en-US" w:eastAsia="zh-CN"/>
        </w:rPr>
        <w:t>，</w:t>
      </w:r>
      <w:r>
        <w:rPr>
          <w:rFonts w:hint="eastAsia" w:ascii="宋体" w:hAnsi="宋体" w:eastAsia="宋体" w:cs="Times New Roman"/>
          <w:sz w:val="24"/>
          <w:highlight w:val="none"/>
          <w:lang w:val="en-US" w:eastAsia="zh-CN"/>
        </w:rPr>
        <w:t>对检查中发现有产品存在以次充好等违法违规行为的供应商可直接解除合同，并报有关部门依法依规处置，采购人有权把中标供应商拉入政府采购黑名单。</w:t>
      </w:r>
    </w:p>
    <w:p w14:paraId="44D12ED8">
      <w:pPr>
        <w:snapToGrid w:val="0"/>
        <w:spacing w:line="360" w:lineRule="auto"/>
        <w:rPr>
          <w:rFonts w:hint="eastAsia" w:ascii="宋体" w:hAnsi="宋体" w:eastAsia="宋体" w:cs="Times New Roman"/>
          <w:sz w:val="24"/>
          <w:lang w:val="en-US" w:eastAsia="zh-CN"/>
        </w:rPr>
      </w:pPr>
      <w:r>
        <w:rPr>
          <w:rFonts w:hint="eastAsia" w:cs="Times New Roman"/>
          <w:sz w:val="24"/>
          <w:lang w:val="en-US" w:eastAsia="zh-CN"/>
        </w:rPr>
        <w:t>（6）</w:t>
      </w:r>
      <w:r>
        <w:rPr>
          <w:rFonts w:hint="eastAsia" w:ascii="宋体" w:hAnsi="宋体" w:eastAsia="宋体" w:cs="Times New Roman"/>
          <w:sz w:val="24"/>
          <w:lang w:val="en-US" w:eastAsia="zh-CN"/>
        </w:rPr>
        <w:t xml:space="preserve">中标人对中标商品的命名如与移风易俗有冲突的，招标人有权更改为适宜的命名。  </w:t>
      </w:r>
    </w:p>
    <w:p w14:paraId="41C175BA">
      <w:pPr>
        <w:snapToGrid w:val="0"/>
        <w:spacing w:line="360" w:lineRule="auto"/>
        <w:rPr>
          <w:rFonts w:hint="eastAsia" w:ascii="宋体" w:hAnsi="宋体" w:eastAsia="宋体" w:cs="Times New Roman"/>
          <w:color w:val="auto"/>
          <w:sz w:val="24"/>
          <w:lang w:val="en-US" w:eastAsia="zh-CN"/>
        </w:rPr>
      </w:pPr>
      <w:r>
        <w:rPr>
          <w:rFonts w:hint="eastAsia" w:cs="Times New Roman"/>
          <w:color w:val="auto"/>
          <w:sz w:val="24"/>
          <w:lang w:val="en-US" w:eastAsia="zh-CN"/>
        </w:rPr>
        <w:t>（7）</w:t>
      </w:r>
      <w:r>
        <w:rPr>
          <w:rFonts w:hint="eastAsia" w:ascii="宋体" w:hAnsi="宋体" w:eastAsia="宋体" w:cs="Times New Roman"/>
          <w:color w:val="auto"/>
          <w:sz w:val="24"/>
          <w:lang w:val="en-US" w:eastAsia="zh-CN"/>
        </w:rPr>
        <w:t>招标人随时保留对中标供应商每款产品破坏性检测的权利(包含自由落体检测和权威机构检测)，所产生的费用由中标人</w:t>
      </w:r>
      <w:r>
        <w:rPr>
          <w:rFonts w:hint="eastAsia" w:cs="Times New Roman"/>
          <w:color w:val="auto"/>
          <w:sz w:val="24"/>
          <w:lang w:val="en-US" w:eastAsia="zh-CN"/>
        </w:rPr>
        <w:t>承担</w:t>
      </w:r>
      <w:r>
        <w:rPr>
          <w:rFonts w:hint="eastAsia" w:ascii="宋体" w:hAnsi="宋体" w:eastAsia="宋体" w:cs="Times New Roman"/>
          <w:color w:val="auto"/>
          <w:sz w:val="24"/>
          <w:lang w:val="en-US" w:eastAsia="zh-CN"/>
        </w:rPr>
        <w:t>。</w:t>
      </w:r>
    </w:p>
    <w:p w14:paraId="69B3B2F6">
      <w:pPr>
        <w:adjustRightInd w:val="0"/>
        <w:snapToGrid w:val="0"/>
        <w:spacing w:line="360" w:lineRule="auto"/>
        <w:rPr>
          <w:rFonts w:hint="eastAsia" w:ascii="宋体" w:hAnsi="宋体" w:eastAsia="宋体" w:cs="宋体"/>
          <w:color w:val="auto"/>
          <w:sz w:val="24"/>
          <w:szCs w:val="24"/>
          <w:highlight w:val="none"/>
        </w:rPr>
      </w:pPr>
      <w:r>
        <w:rPr>
          <w:rFonts w:hint="eastAsia" w:cs="Times New Roman"/>
          <w:color w:val="auto"/>
          <w:sz w:val="24"/>
          <w:lang w:val="en-US" w:eastAsia="zh-CN"/>
        </w:rPr>
        <w:t>（8）</w:t>
      </w:r>
      <w:r>
        <w:rPr>
          <w:rFonts w:hint="eastAsia" w:ascii="宋体" w:hAnsi="宋体" w:eastAsia="宋体" w:cs="宋体"/>
          <w:color w:val="auto"/>
          <w:sz w:val="24"/>
          <w:szCs w:val="24"/>
          <w:highlight w:val="none"/>
        </w:rPr>
        <w:t>中标人提供的骨灰盒应符合国家环保标准，如提供的骨灰盒造成采购人员工身体伤害的，中标人应承担相应的经济赔偿。</w:t>
      </w:r>
    </w:p>
    <w:p w14:paraId="12ABDBD1">
      <w:pPr>
        <w:spacing w:line="360" w:lineRule="auto"/>
        <w:jc w:val="left"/>
        <w:rPr>
          <w:rFonts w:hint="default" w:ascii="宋体" w:hAnsi="宋体" w:eastAsia="宋体" w:cs="宋体"/>
          <w:sz w:val="24"/>
        </w:rPr>
      </w:pPr>
      <w:r>
        <w:rPr>
          <w:rFonts w:hint="eastAsia" w:ascii="宋体" w:hAnsi="宋体" w:eastAsia="宋体" w:cs="宋体"/>
          <w:sz w:val="24"/>
          <w:lang w:val="en-US" w:eastAsia="zh-CN"/>
        </w:rPr>
        <w:t>（10）</w:t>
      </w:r>
      <w:r>
        <w:rPr>
          <w:rFonts w:hint="default" w:ascii="宋体" w:hAnsi="宋体" w:eastAsia="宋体" w:cs="宋体"/>
          <w:sz w:val="24"/>
        </w:rPr>
        <w:t>招标人可根据市场实际需求在同等材质情况下对供货量和供货款式进行调整，根据调整后的需求另行签订补充协议。</w:t>
      </w:r>
    </w:p>
    <w:p w14:paraId="6210AB43">
      <w:pPr>
        <w:widowControl/>
        <w:spacing w:line="360" w:lineRule="auto"/>
        <w:rPr>
          <w:rFonts w:hint="eastAsia"/>
          <w:b/>
          <w:bCs/>
          <w:color w:val="000000"/>
          <w:sz w:val="36"/>
          <w:szCs w:val="36"/>
          <w:lang w:val="en-US" w:eastAsia="zh-CN"/>
        </w:rPr>
      </w:pPr>
      <w:r>
        <w:rPr>
          <w:rFonts w:hint="eastAsia"/>
          <w:b/>
          <w:bCs/>
          <w:color w:val="000000"/>
          <w:sz w:val="28"/>
          <w:szCs w:val="28"/>
          <w:lang w:val="en-US"/>
        </w:rPr>
        <w:t>注：以上</w:t>
      </w:r>
      <w:r>
        <w:rPr>
          <w:rFonts w:hint="eastAsia"/>
          <w:b/>
          <w:bCs/>
          <w:color w:val="000000"/>
          <w:sz w:val="28"/>
          <w:szCs w:val="28"/>
          <w:lang w:val="en-US" w:eastAsia="zh-CN"/>
        </w:rPr>
        <w:t>技术</w:t>
      </w:r>
      <w:r>
        <w:rPr>
          <w:rFonts w:hint="eastAsia"/>
          <w:b/>
          <w:bCs/>
          <w:color w:val="000000"/>
          <w:sz w:val="28"/>
          <w:szCs w:val="28"/>
          <w:lang w:val="en-US"/>
        </w:rPr>
        <w:t>要求必须完全满足</w:t>
      </w:r>
      <w:r>
        <w:rPr>
          <w:rFonts w:hint="eastAsia"/>
          <w:b/>
          <w:bCs/>
          <w:color w:val="000000"/>
          <w:sz w:val="28"/>
          <w:szCs w:val="28"/>
          <w:lang w:val="en-US" w:eastAsia="zh-CN"/>
        </w:rPr>
        <w:t>或者优于</w:t>
      </w:r>
      <w:r>
        <w:rPr>
          <w:rFonts w:hint="eastAsia"/>
          <w:b/>
          <w:bCs/>
          <w:color w:val="000000"/>
          <w:sz w:val="28"/>
          <w:szCs w:val="28"/>
          <w:lang w:val="en-US"/>
        </w:rPr>
        <w:t xml:space="preserve">；否则，视为无效响应。 </w:t>
      </w:r>
    </w:p>
    <w:p w14:paraId="7E389533">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64926D"/>
    <w:multiLevelType w:val="singleLevel"/>
    <w:tmpl w:val="0764926D"/>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F23281"/>
    <w:rsid w:val="2EF232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10"/>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qFormat/>
    <w:uiPriority w:val="1"/>
    <w:pPr>
      <w:ind w:left="3631"/>
      <w:outlineLvl w:val="1"/>
    </w:pPr>
    <w:rPr>
      <w:b/>
      <w:bCs/>
      <w:sz w:val="28"/>
      <w:szCs w:val="28"/>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next w:val="1"/>
    <w:qFormat/>
    <w:uiPriority w:val="1"/>
    <w:rPr>
      <w:sz w:val="24"/>
      <w:szCs w:val="24"/>
    </w:rPr>
  </w:style>
  <w:style w:type="paragraph" w:styleId="4">
    <w:name w:val="Body Text Indent"/>
    <w:basedOn w:val="1"/>
    <w:qFormat/>
    <w:uiPriority w:val="0"/>
    <w:pPr>
      <w:spacing w:after="120"/>
      <w:ind w:left="420" w:leftChars="200"/>
    </w:pPr>
  </w:style>
  <w:style w:type="paragraph" w:styleId="5">
    <w:name w:val="Body Text First Indent 2"/>
    <w:basedOn w:val="4"/>
    <w:qFormat/>
    <w:uiPriority w:val="0"/>
    <w:pPr>
      <w:tabs>
        <w:tab w:val="left" w:pos="900"/>
      </w:tabs>
      <w:ind w:firstLine="420" w:firstLineChars="200"/>
    </w:p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0"/>
    <w:rPr>
      <w:rFonts w:ascii="微软雅黑" w:hAnsi="微软雅黑" w:eastAsia="微软雅黑" w:cs="微软雅黑"/>
      <w:b/>
      <w:sz w:val="18"/>
      <w:szCs w:val="18"/>
    </w:rPr>
  </w:style>
  <w:style w:type="character" w:customStyle="1" w:styleId="10">
    <w:name w:val="NormalCharacter"/>
    <w:link w:val="1"/>
    <w:autoRedefine/>
    <w:semiHidden/>
    <w:qFormat/>
    <w:uiPriority w:val="0"/>
    <w:rPr>
      <w:rFonts w:ascii="宋体" w:hAnsi="宋体" w:eastAsia="宋体" w:cs="宋体"/>
      <w:sz w:val="22"/>
      <w:szCs w:val="22"/>
      <w:lang w:val="zh-CN" w:eastAsia="zh-CN" w:bidi="zh-CN"/>
    </w:rPr>
  </w:style>
  <w:style w:type="paragraph" w:customStyle="1" w:styleId="11">
    <w:name w:val="Heading1"/>
    <w:basedOn w:val="1"/>
    <w:next w:val="1"/>
    <w:qFormat/>
    <w:uiPriority w:val="0"/>
    <w:pPr>
      <w:keepNext/>
      <w:jc w:val="center"/>
      <w:textAlignment w:val="baseline"/>
    </w:pPr>
    <w:rPr>
      <w:b/>
      <w:bCs/>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2026-06-18T03:06:00Z</dcterms:created>
  <dc:creator>Administrator</dc:creator>
  <cp:lastModifiedBy>Administrator</cp:lastModifiedBy>
  <dcterms:modified xsi:type="dcterms:W3CDTF">2026-06-18T03:07:37Z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8AEDA64794F047CFBD6F4002AA702A6E_11</vt:lpwstr>
  </property>
  <property fmtid="{D5CDD505-2E9C-101B-9397-08002B2CF9AE}" pid="4" name="KSOTemplateDocerSaveRecord">
    <vt:lpwstr>eyJoZGlkIjoiMTQxNzdmN2RkZTVkM2IyODQ0NGM3N2IyZjk4N2JiYmMiLCJ1c2VySWQiOiIyMTE1NDc4NzIifQ==</vt:lpwstr>
  </property>
</Properties>
</file>