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E12D86">
      <w:pPr>
        <w:kinsoku/>
        <w:spacing w:line="360" w:lineRule="auto"/>
        <w:ind w:firstLine="723" w:firstLineChars="200"/>
        <w:jc w:val="center"/>
        <w:rPr>
          <w:rFonts w:hint="default" w:ascii="宋体" w:hAnsi="宋体" w:eastAsia="宋体" w:cs="宋体"/>
          <w:b/>
          <w:bCs/>
          <w:sz w:val="36"/>
          <w:szCs w:val="36"/>
          <w:lang w:val="en-US" w:eastAsia="zh-CN"/>
        </w:rPr>
      </w:pPr>
      <w:r>
        <w:rPr>
          <w:rFonts w:hint="eastAsia" w:ascii="宋体" w:hAnsi="宋体" w:cs="宋体"/>
          <w:b/>
          <w:bCs/>
          <w:sz w:val="36"/>
          <w:szCs w:val="36"/>
          <w:lang w:val="en-US" w:eastAsia="zh-CN"/>
        </w:rPr>
        <w:t>服务需求</w:t>
      </w:r>
      <w:bookmarkStart w:id="0" w:name="_GoBack"/>
      <w:bookmarkEnd w:id="0"/>
    </w:p>
    <w:p w14:paraId="13E1C857">
      <w:pPr>
        <w:kinsoku/>
        <w:spacing w:line="360" w:lineRule="auto"/>
        <w:ind w:firstLine="482" w:firstLineChars="200"/>
        <w:jc w:val="both"/>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一、项目概况</w:t>
      </w:r>
    </w:p>
    <w:p w14:paraId="07B39107">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为建立健全政府公示地价体系，加强土地市场管理，实现土地资源合理配置提供决策依据，根据</w:t>
      </w:r>
      <w:r>
        <w:rPr>
          <w:rFonts w:hint="eastAsia" w:ascii="宋体" w:hAnsi="宋体" w:eastAsia="宋体" w:cs="宋体"/>
          <w:spacing w:val="10"/>
          <w:sz w:val="24"/>
          <w:szCs w:val="24"/>
          <w:lang w:eastAsia="zh-CN"/>
        </w:rPr>
        <w:t>《江西省自然资源厅办公室关于做好2023年度政府公示地价制定更新工作的通知》(赣自然资办发〔2023〕100号)、《江西省自然资源厅办公室关于做好政府公示地价制定更新工作的通知》(2024年9月4日)等</w:t>
      </w:r>
      <w:r>
        <w:rPr>
          <w:rFonts w:hint="eastAsia" w:ascii="宋体" w:hAnsi="宋体" w:eastAsia="宋体" w:cs="宋体"/>
          <w:sz w:val="24"/>
          <w:szCs w:val="24"/>
          <w:lang w:eastAsia="zh-CN"/>
        </w:rPr>
        <w:t>文件精神及鹰潭市自然资源局的工作部署，余江区需开展乡镇(街道)集体建设用地基准地价评估工作。</w:t>
      </w:r>
    </w:p>
    <w:p w14:paraId="3802563C">
      <w:pPr>
        <w:kinsoku/>
        <w:spacing w:line="360" w:lineRule="auto"/>
        <w:ind w:firstLine="482" w:firstLineChars="200"/>
        <w:jc w:val="both"/>
        <w:rPr>
          <w:rFonts w:hint="eastAsia" w:ascii="宋体" w:hAnsi="宋体" w:eastAsia="宋体" w:cs="宋体"/>
          <w:sz w:val="24"/>
          <w:szCs w:val="24"/>
          <w:lang w:eastAsia="zh-CN"/>
        </w:rPr>
      </w:pPr>
      <w:r>
        <w:rPr>
          <w:rFonts w:hint="eastAsia" w:ascii="宋体" w:hAnsi="宋体" w:eastAsia="宋体" w:cs="宋体"/>
          <w:b/>
          <w:bCs/>
          <w:sz w:val="24"/>
          <w:szCs w:val="24"/>
          <w:lang w:eastAsia="zh-CN"/>
        </w:rPr>
        <w:t>二、技术要求</w:t>
      </w:r>
    </w:p>
    <w:p w14:paraId="4098DC2E">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以《农村集体土地定级与估价技术指南》、《农村集体建设用地定级与估价技术规范》为技术依据，在统一的基准地价内涵前提下，借助现代计算机技术，在土地综合定级的基础上，测算确定均质地域区片(段)价格及分类基准地价，并建立宗地地价修正体系。</w:t>
      </w:r>
    </w:p>
    <w:p w14:paraId="34EDCD86">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1. 按照集体建设用地土地分等定级规程要求，完成余江区各乡镇(街道)集体建设用地综合定级工作。</w:t>
      </w:r>
    </w:p>
    <w:p w14:paraId="252BEE15">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2. 按照集体建设用地土地估价技术指南的要求，根据土地定级结果完成余江区各乡镇(街道)集体建设用地基准地价评估工作，并制定相应的基准地价及其修正体系。</w:t>
      </w:r>
    </w:p>
    <w:p w14:paraId="458A04CE">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3. 形成集体建设用地土地定级与基准地价评估工作报告、技术报告等文字文本成果，各类用地基准地价级别图等图件成果。</w:t>
      </w:r>
    </w:p>
    <w:p w14:paraId="3738AA3E">
      <w:pPr>
        <w:kinsoku/>
        <w:spacing w:line="360" w:lineRule="auto"/>
        <w:ind w:firstLine="482" w:firstLineChars="200"/>
        <w:jc w:val="both"/>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三、工作依据</w:t>
      </w:r>
    </w:p>
    <w:p w14:paraId="5BBAF40B">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开展评估工作需严格遵循以下法律法规、行业规范及相关文件要求，确保技术流程合规、成果准确：</w:t>
      </w:r>
    </w:p>
    <w:p w14:paraId="1C574F6B">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1. 《中华人民共和国土地管理法》、《中华人民共和国资产评估法》；</w:t>
      </w:r>
    </w:p>
    <w:p w14:paraId="36DFA87B">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2. 《农村集体土地定级与估价技术指南》T/CREVA1201—2021；</w:t>
      </w:r>
    </w:p>
    <w:p w14:paraId="3166AA6A">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3. 《城镇土地分等定级规程》GB/T 18507—2014、《城镇土地估价规程》GB/T 18508—2014、《自然资源价格评估通则》TD/T 1061；</w:t>
      </w:r>
    </w:p>
    <w:p w14:paraId="7FDBF828">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4. 江西省、鹰潭市及余江区关于集体建设用地管理、基准地价评估的相关政策文件、规划资料；</w:t>
      </w:r>
    </w:p>
    <w:p w14:paraId="645963C2">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5. 余江区集体建设用地权属登记、交易案例、土地利用现状等相关基础资料；</w:t>
      </w:r>
    </w:p>
    <w:p w14:paraId="6FE74469">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6. 其他相关法律法规、行业规范及采购方要求。</w:t>
      </w:r>
    </w:p>
    <w:p w14:paraId="291EF99B">
      <w:pPr>
        <w:kinsoku/>
        <w:spacing w:line="360" w:lineRule="auto"/>
        <w:ind w:firstLine="482" w:firstLineChars="200"/>
        <w:jc w:val="both"/>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四、评估原则</w:t>
      </w:r>
    </w:p>
    <w:p w14:paraId="5C02BB47">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严格遵循目标导向、权益保护、差异化、合法、公平、公正、公开、替代、预期收益等原则，充分考虑余江区农村产业发展、生态宜居等需求，尊重农村集体产权制度，体现区域差异和集体建设用地特色化、多元化利用特征，确保评估结果客观、合理、符合实际。</w:t>
      </w:r>
    </w:p>
    <w:p w14:paraId="5D419855">
      <w:pPr>
        <w:kinsoku/>
        <w:spacing w:line="360" w:lineRule="auto"/>
        <w:ind w:firstLine="482" w:firstLineChars="200"/>
        <w:jc w:val="both"/>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五、工作成果</w:t>
      </w:r>
    </w:p>
    <w:p w14:paraId="7847917E">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1. 各乡镇(街道)集体建设用地土地定级与基准地价评估报告(工作报告、技术报告)；</w:t>
      </w:r>
    </w:p>
    <w:p w14:paraId="77A9F4A0">
      <w:pPr>
        <w:kinsoku/>
        <w:spacing w:line="360" w:lineRule="auto"/>
        <w:ind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2. 各乡镇(街道)集体建设用地土地定级与基准地价评估图件及文本；</w:t>
      </w:r>
    </w:p>
    <w:p w14:paraId="485062DE">
      <w:pPr>
        <w:kinsoku/>
        <w:spacing w:line="360" w:lineRule="auto"/>
        <w:ind w:firstLine="480" w:firstLineChars="200"/>
        <w:jc w:val="both"/>
        <w:rPr>
          <w:rFonts w:ascii="宋体" w:hAnsi="宋体" w:eastAsia="宋体" w:cs="宋体"/>
          <w:sz w:val="24"/>
          <w:szCs w:val="24"/>
          <w:lang w:eastAsia="zh-CN"/>
        </w:rPr>
      </w:pPr>
      <w:r>
        <w:rPr>
          <w:rFonts w:hint="eastAsia" w:ascii="宋体" w:hAnsi="宋体" w:eastAsia="宋体" w:cs="宋体"/>
          <w:sz w:val="24"/>
          <w:szCs w:val="24"/>
          <w:lang w:eastAsia="zh-CN"/>
        </w:rPr>
        <w:t>3. 各乡镇(街道)集体建设用地宗地地价修正系数表。</w:t>
      </w:r>
    </w:p>
    <w:p w14:paraId="4C62195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0B41C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2026-06-18T02:07:55Z</dcterms:created>
  <dc:creator>Administrator</dc:creator>
  <cp:lastModifiedBy>Administrator</cp:lastModifiedBy>
  <dcterms:modified xsi:type="dcterms:W3CDTF">2026-06-18T02:08:16Z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eyJoZGlkIjoiNDY4YTcxMzg5ZDY5M2ExZWY0YTcwOGU2MDU3NjVmZjIiLCJ1c2VySWQiOiIxNjcwODU2MjM2In0=</vt:lpwstr>
  </property>
  <property fmtid="{D5CDD505-2E9C-101B-9397-08002B2CF9AE}" pid="4" name="ICV">
    <vt:lpwstr>5910E9818E51436A81710CF5192FAABE_12</vt:lpwstr>
  </property>
</Properties>
</file>