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0FDD07">
      <w:pPr>
        <w:numPr>
          <w:numId w:val="0"/>
        </w:numPr>
        <w:spacing w:line="440" w:lineRule="exact"/>
        <w:ind w:leftChars="0"/>
        <w:jc w:val="center"/>
        <w:rPr>
          <w:rFonts w:asciiTheme="minorEastAsia" w:hAnsiTheme="minorEastAsia" w:eastAsiaTheme="minorEastAsia" w:cstheme="minorEastAsia"/>
          <w:b/>
          <w:bCs/>
          <w:sz w:val="32"/>
          <w:highlight w:val="none"/>
        </w:rPr>
      </w:pPr>
      <w:bookmarkStart w:id="1" w:name="_GoBack"/>
      <w:bookmarkEnd w:id="1"/>
      <w:r>
        <w:rPr>
          <w:rFonts w:hint="eastAsia" w:asciiTheme="minorEastAsia" w:hAnsiTheme="minorEastAsia" w:eastAsiaTheme="minorEastAsia" w:cstheme="minorEastAsia"/>
          <w:b/>
          <w:bCs/>
          <w:sz w:val="32"/>
          <w:highlight w:val="none"/>
        </w:rPr>
        <w:t>采购要求</w:t>
      </w:r>
    </w:p>
    <w:p w14:paraId="07E16D8B">
      <w:pPr>
        <w:pStyle w:val="2"/>
        <w:widowControl w:val="0"/>
        <w:numPr>
          <w:ilvl w:val="0"/>
          <w:numId w:val="1"/>
        </w:numPr>
        <w:spacing w:before="99" w:line="362" w:lineRule="auto"/>
        <w:ind w:right="1798"/>
        <w:jc w:val="both"/>
        <w:rPr>
          <w:rFonts w:hint="eastAsia" w:ascii="宋体" w:hAnsi="宋体" w:eastAsia="宋体" w:cs="宋体"/>
          <w:b/>
          <w:bCs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/>
          <w:color w:val="auto"/>
          <w:kern w:val="2"/>
          <w:sz w:val="24"/>
          <w:szCs w:val="24"/>
          <w:lang w:val="en-US" w:eastAsia="zh-CN" w:bidi="ar-SA"/>
        </w:rPr>
        <w:t>规划范围</w:t>
      </w:r>
    </w:p>
    <w:p w14:paraId="6E341D00">
      <w:pPr>
        <w:pStyle w:val="2"/>
        <w:widowControl w:val="0"/>
        <w:tabs>
          <w:tab w:val="left" w:pos="462"/>
        </w:tabs>
        <w:spacing w:before="19"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本次规划范围为共青城行政管辖范围，面积为287.16平方公里。</w:t>
      </w:r>
    </w:p>
    <w:p w14:paraId="604968FB">
      <w:pPr>
        <w:pStyle w:val="2"/>
        <w:widowControl w:val="0"/>
        <w:spacing w:before="99" w:line="362" w:lineRule="auto"/>
        <w:ind w:right="1798"/>
        <w:jc w:val="both"/>
        <w:rPr>
          <w:rFonts w:hint="eastAsia" w:ascii="宋体" w:hAnsi="宋体" w:eastAsia="宋体" w:cs="宋体"/>
          <w:b/>
          <w:bCs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/>
          <w:color w:val="auto"/>
          <w:kern w:val="2"/>
          <w:sz w:val="24"/>
          <w:szCs w:val="24"/>
          <w:lang w:val="en-US" w:eastAsia="zh-CN" w:bidi="ar-SA"/>
        </w:rPr>
        <w:t>二、工作层次和内容</w:t>
      </w:r>
    </w:p>
    <w:p w14:paraId="7B4D593F">
      <w:pPr>
        <w:pStyle w:val="2"/>
        <w:widowControl w:val="0"/>
        <w:tabs>
          <w:tab w:val="left" w:pos="462"/>
        </w:tabs>
        <w:spacing w:before="19"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1、工作层次</w:t>
      </w:r>
    </w:p>
    <w:p w14:paraId="152291D5">
      <w:pPr>
        <w:pStyle w:val="2"/>
        <w:widowControl w:val="0"/>
        <w:tabs>
          <w:tab w:val="left" w:pos="462"/>
        </w:tabs>
        <w:spacing w:before="19"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县级总规包括全域、中心城区两个层次。具体要求如下：</w:t>
      </w:r>
    </w:p>
    <w:p w14:paraId="76C26A73">
      <w:pPr>
        <w:pStyle w:val="2"/>
        <w:widowControl w:val="0"/>
        <w:tabs>
          <w:tab w:val="left" w:pos="462"/>
        </w:tabs>
        <w:spacing w:before="19"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全域层面突出统筹协调、上下传导，重点落实上位国土空间规划要求的重要跨区域协调事项，统筹全域全要素的规划管理，侧重全域国土空间开发保护的战略部署和总体格局、对“三条控制线”、资源优化配置和重大基础设施布局提出管控与传导要求；</w:t>
      </w:r>
    </w:p>
    <w:p w14:paraId="3D00E5EE">
      <w:pPr>
        <w:pStyle w:val="2"/>
        <w:widowControl w:val="0"/>
        <w:tabs>
          <w:tab w:val="left" w:pos="462"/>
        </w:tabs>
        <w:spacing w:before="19"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中心城区层面要细化土地使用和空间布局，侧重功能完善和结构优化，合理确定人口规模、空间结构和用地布局，明确道路网络、社区生活圈配套与重要设施布局要求，落实重要管控要素的系统传导和衔接；</w:t>
      </w:r>
    </w:p>
    <w:p w14:paraId="14C13C52">
      <w:pPr>
        <w:pStyle w:val="2"/>
        <w:widowControl w:val="0"/>
        <w:tabs>
          <w:tab w:val="left" w:pos="462"/>
        </w:tabs>
        <w:spacing w:before="19"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2、规划内容：</w:t>
      </w:r>
    </w:p>
    <w:p w14:paraId="16B158A9">
      <w:pPr>
        <w:pStyle w:val="2"/>
        <w:widowControl w:val="0"/>
        <w:tabs>
          <w:tab w:val="left" w:pos="462"/>
        </w:tabs>
        <w:spacing w:before="19"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结合共青城发展现状和需求，以国土空间总体规划实施评估为基础，依据《江西省市县级国土空间总体规划动态调整完善方案编制指南》的要求，对共青城市国土空间总体规划（2021-2035年）进行规划修改。</w:t>
      </w:r>
    </w:p>
    <w:p w14:paraId="62669FBE">
      <w:pPr>
        <w:pStyle w:val="2"/>
        <w:widowControl w:val="0"/>
        <w:tabs>
          <w:tab w:val="left" w:pos="462"/>
        </w:tabs>
        <w:spacing w:before="19"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3、 成果要求</w:t>
      </w:r>
    </w:p>
    <w:p w14:paraId="0B7C1AEF">
      <w:pPr>
        <w:pStyle w:val="2"/>
        <w:widowControl w:val="0"/>
        <w:tabs>
          <w:tab w:val="left" w:pos="462"/>
        </w:tabs>
        <w:spacing w:before="19"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落实</w:t>
      </w:r>
      <w:bookmarkStart w:id="0" w:name="OLE_LINK4"/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《江西省市县级国土空间总体规划动态调整完善方案编制指南》的要求</w:t>
      </w:r>
      <w:bookmarkEnd w:id="0"/>
      <w:r>
        <w:rPr>
          <w:rFonts w:hint="eastAsia" w:ascii="宋体" w:hAnsi="宋体" w:eastAsia="宋体" w:cs="宋体"/>
          <w:b w:val="0"/>
          <w:bCs w:val="0"/>
          <w:snapToGrid/>
          <w:color w:val="auto"/>
          <w:kern w:val="2"/>
          <w:sz w:val="24"/>
          <w:szCs w:val="24"/>
          <w:lang w:val="en-US" w:eastAsia="zh-CN" w:bidi="ar-SA"/>
        </w:rPr>
        <w:t>，规划修改成果包含规划文本（含附表）、图件、说明、专题研究报告、国土空间规划“一张图”数据库、国土空间规划“一张图”信息系统评估报告（市级提供）、相关附件材料等。</w:t>
      </w:r>
    </w:p>
    <w:p w14:paraId="50CD31F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7F3185D"/>
    <w:multiLevelType w:val="singleLevel"/>
    <w:tmpl w:val="87F3185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BE6FB2"/>
    <w:rsid w:val="08BE6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2026-06-18T01:30:00Z</dcterms:created>
  <dc:creator>Administrator</dc:creator>
  <cp:lastModifiedBy>Administrator</cp:lastModifiedBy>
  <dcterms:modified xsi:type="dcterms:W3CDTF">2026-06-18T01:31:12Z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6678F42F75944A1A992A420587E489AD_11</vt:lpwstr>
  </property>
  <property fmtid="{D5CDD505-2E9C-101B-9397-08002B2CF9AE}" pid="4" name="KSOTemplateDocerSaveRecord">
    <vt:lpwstr>eyJoZGlkIjoiOWMyYzZlMDhjMDdiMDVhZDI5OGJiNzMxYWM3MjI0NTkiLCJ1c2VySWQiOiI2MDQzMDE3MTEifQ==</vt:lpwstr>
  </property>
</Properties>
</file>