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39B2D2">
      <w:pPr>
        <w:widowControl w:val="0"/>
        <w:spacing w:before="78" w:line="220" w:lineRule="auto"/>
        <w:outlineLvl w:val="1"/>
        <w:rPr>
          <w:rFonts w:cs="宋体" w:asciiTheme="minorEastAsia" w:hAnsiTheme="minorEastAsia" w:eastAsiaTheme="minorEastAsia"/>
          <w:color w:val="auto"/>
          <w:sz w:val="28"/>
          <w:szCs w:val="28"/>
        </w:rPr>
      </w:pPr>
      <w:bookmarkStart w:id="0" w:name="_Toc30145"/>
      <w:bookmarkStart w:id="1" w:name="_Toc230186026"/>
      <w:r>
        <w:rPr>
          <w:rFonts w:hint="eastAsia" w:cs="宋体" w:asciiTheme="minorEastAsia" w:hAnsiTheme="minorEastAsia" w:eastAsiaTheme="minorEastAsia"/>
          <w:color w:val="auto"/>
          <w:sz w:val="28"/>
          <w:szCs w:val="28"/>
        </w:rPr>
        <w:t>一、</w:t>
      </w:r>
      <w:r>
        <w:rPr>
          <w:rFonts w:hint="eastAsia" w:cs="宋体" w:asciiTheme="minorEastAsia" w:hAnsiTheme="minorEastAsia" w:eastAsiaTheme="minorEastAsia"/>
          <w:color w:val="auto"/>
          <w:sz w:val="28"/>
          <w:szCs w:val="28"/>
          <w:lang w:eastAsia="zh-CN"/>
        </w:rPr>
        <w:t>货物</w:t>
      </w:r>
      <w:r>
        <w:rPr>
          <w:rFonts w:hint="eastAsia" w:cs="宋体" w:asciiTheme="minorEastAsia" w:hAnsiTheme="minorEastAsia" w:eastAsiaTheme="minorEastAsia"/>
          <w:color w:val="auto"/>
          <w:sz w:val="28"/>
          <w:szCs w:val="28"/>
        </w:rPr>
        <w:t>需求表</w:t>
      </w:r>
      <w:bookmarkEnd w:id="0"/>
      <w:bookmarkEnd w:id="1"/>
    </w:p>
    <w:tbl>
      <w:tblPr>
        <w:tblStyle w:val="4"/>
        <w:tblpPr w:leftFromText="180" w:rightFromText="180" w:vertAnchor="text" w:horzAnchor="page" w:tblpX="1392" w:tblpY="255"/>
        <w:tblOverlap w:val="never"/>
        <w:tblW w:w="9101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7"/>
        <w:gridCol w:w="1101"/>
        <w:gridCol w:w="6263"/>
      </w:tblGrid>
      <w:tr w14:paraId="1F63AD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</w:trPr>
        <w:tc>
          <w:tcPr>
            <w:tcW w:w="1737" w:type="dxa"/>
            <w:tcBorders>
              <w:right w:val="nil"/>
            </w:tcBorders>
            <w:vAlign w:val="center"/>
          </w:tcPr>
          <w:p w14:paraId="00DB2AC3">
            <w:pPr>
              <w:widowControl w:val="0"/>
              <w:spacing w:line="480" w:lineRule="exact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bookmarkStart w:id="7" w:name="_GoBack"/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16510</wp:posOffset>
                  </wp:positionH>
                  <wp:positionV relativeFrom="paragraph">
                    <wp:posOffset>10160</wp:posOffset>
                  </wp:positionV>
                  <wp:extent cx="1748790" cy="1304925"/>
                  <wp:effectExtent l="0" t="0" r="3810" b="952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8790" cy="1304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7"/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</w:rPr>
              <w:t>名</w:t>
            </w:r>
          </w:p>
          <w:p w14:paraId="1C32E8C2">
            <w:pPr>
              <w:pStyle w:val="6"/>
              <w:widowControl w:val="0"/>
              <w:spacing w:line="480" w:lineRule="exact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</w:p>
          <w:p w14:paraId="03C52D37">
            <w:pPr>
              <w:widowControl w:val="0"/>
              <w:spacing w:line="480" w:lineRule="exact"/>
              <w:ind w:firstLine="240" w:firstLineChars="100"/>
              <w:jc w:val="both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</w:rPr>
              <w:t>内</w:t>
            </w:r>
          </w:p>
          <w:p w14:paraId="2E4CA817">
            <w:pPr>
              <w:widowControl w:val="0"/>
              <w:spacing w:line="480" w:lineRule="exact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</w:rPr>
              <w:t>容</w:t>
            </w:r>
          </w:p>
        </w:tc>
        <w:tc>
          <w:tcPr>
            <w:tcW w:w="1101" w:type="dxa"/>
            <w:tcBorders>
              <w:left w:val="nil"/>
            </w:tcBorders>
            <w:vAlign w:val="center"/>
          </w:tcPr>
          <w:p w14:paraId="6A54FFDA">
            <w:pPr>
              <w:widowControl w:val="0"/>
              <w:spacing w:line="480" w:lineRule="exact"/>
              <w:jc w:val="both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</w:rPr>
              <w:t>称</w:t>
            </w:r>
          </w:p>
        </w:tc>
        <w:tc>
          <w:tcPr>
            <w:tcW w:w="6263" w:type="dxa"/>
            <w:vAlign w:val="center"/>
          </w:tcPr>
          <w:p w14:paraId="73B83EAA">
            <w:pPr>
              <w:pStyle w:val="6"/>
              <w:widowControl w:val="0"/>
              <w:spacing w:line="480" w:lineRule="exact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  <w:t>景德镇陶瓷大学2026重大设备更新项目（机电学院项目3）</w:t>
            </w:r>
          </w:p>
        </w:tc>
      </w:tr>
      <w:tr w14:paraId="625906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2838" w:type="dxa"/>
            <w:gridSpan w:val="2"/>
            <w:vAlign w:val="center"/>
          </w:tcPr>
          <w:p w14:paraId="4D43716E">
            <w:pPr>
              <w:widowControl w:val="0"/>
              <w:spacing w:line="480" w:lineRule="exact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</w:rPr>
              <w:t>数量</w:t>
            </w:r>
          </w:p>
        </w:tc>
        <w:tc>
          <w:tcPr>
            <w:tcW w:w="6263" w:type="dxa"/>
            <w:vAlign w:val="center"/>
          </w:tcPr>
          <w:p w14:paraId="609EF970">
            <w:pPr>
              <w:pStyle w:val="6"/>
              <w:widowControl w:val="0"/>
              <w:spacing w:line="480" w:lineRule="exact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  <w:t>1批，详见第五章中的“采购清单明细表”</w:t>
            </w:r>
          </w:p>
        </w:tc>
      </w:tr>
      <w:tr w14:paraId="07701E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2838" w:type="dxa"/>
            <w:gridSpan w:val="2"/>
            <w:vAlign w:val="center"/>
          </w:tcPr>
          <w:p w14:paraId="2005224E">
            <w:pPr>
              <w:widowControl w:val="0"/>
              <w:spacing w:line="480" w:lineRule="exact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  <w:t>交付(</w:t>
            </w: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</w:rPr>
              <w:t>交货</w:t>
            </w: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  <w:t>)时间</w:t>
            </w:r>
          </w:p>
        </w:tc>
        <w:tc>
          <w:tcPr>
            <w:tcW w:w="6263" w:type="dxa"/>
            <w:vAlign w:val="center"/>
          </w:tcPr>
          <w:p w14:paraId="3E57FC62">
            <w:pPr>
              <w:pStyle w:val="6"/>
              <w:widowControl w:val="0"/>
              <w:spacing w:line="480" w:lineRule="exact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  <w:t>详见第五章中的“商务条件”</w:t>
            </w:r>
          </w:p>
        </w:tc>
      </w:tr>
      <w:tr w14:paraId="7AA88B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2838" w:type="dxa"/>
            <w:gridSpan w:val="2"/>
            <w:vAlign w:val="center"/>
          </w:tcPr>
          <w:p w14:paraId="4EFFD64C">
            <w:pPr>
              <w:widowControl w:val="0"/>
              <w:spacing w:line="480" w:lineRule="exact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  <w:t>实施</w:t>
            </w: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</w:rPr>
              <w:t>地点</w:t>
            </w:r>
          </w:p>
        </w:tc>
        <w:tc>
          <w:tcPr>
            <w:tcW w:w="6263" w:type="dxa"/>
            <w:vAlign w:val="center"/>
          </w:tcPr>
          <w:p w14:paraId="7E6654AD">
            <w:pPr>
              <w:pStyle w:val="6"/>
              <w:widowControl w:val="0"/>
              <w:spacing w:line="480" w:lineRule="exact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  <w:t>详见第五章中的“商务条件”</w:t>
            </w:r>
          </w:p>
        </w:tc>
      </w:tr>
      <w:tr w14:paraId="67EADA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2838" w:type="dxa"/>
            <w:gridSpan w:val="2"/>
            <w:vAlign w:val="center"/>
          </w:tcPr>
          <w:p w14:paraId="0D480DDE">
            <w:pPr>
              <w:widowControl w:val="0"/>
              <w:spacing w:line="480" w:lineRule="exact"/>
              <w:jc w:val="center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</w:rPr>
              <w:t>备注</w:t>
            </w:r>
          </w:p>
        </w:tc>
        <w:tc>
          <w:tcPr>
            <w:tcW w:w="6263" w:type="dxa"/>
            <w:vAlign w:val="center"/>
          </w:tcPr>
          <w:p w14:paraId="1885FB37">
            <w:pPr>
              <w:pStyle w:val="6"/>
              <w:widowControl w:val="0"/>
              <w:spacing w:line="480" w:lineRule="exact"/>
              <w:ind w:firstLine="564" w:firstLineChars="235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  <w:t>（1）本项目为交钥匙项目报价，所有货物、材料、运输、转运、辅材、安装、施工、调试、验收、培训、税金等费用均包含在投标总价中。对于进口产品，所投产品经申报可免征进口相应税费，请在投标报价时予以考虑。</w:t>
            </w:r>
          </w:p>
          <w:p w14:paraId="1D55ECCE">
            <w:pPr>
              <w:pStyle w:val="6"/>
              <w:widowControl w:val="0"/>
              <w:spacing w:line="480" w:lineRule="exact"/>
              <w:ind w:firstLine="564" w:firstLineChars="235"/>
              <w:rPr>
                <w:rFonts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color w:val="auto"/>
                <w:sz w:val="24"/>
                <w:szCs w:val="24"/>
                <w:lang w:eastAsia="zh-CN"/>
              </w:rPr>
              <w:t>（2）</w:t>
            </w:r>
            <w:r>
              <w:rPr>
                <w:rFonts w:hint="eastAsia" w:cs="宋体" w:asciiTheme="minorEastAsia" w:hAnsiTheme="minorEastAsia" w:eastAsiaTheme="minorEastAsia"/>
                <w:b/>
                <w:color w:val="auto"/>
                <w:sz w:val="24"/>
                <w:szCs w:val="24"/>
                <w:lang w:eastAsia="zh-CN"/>
              </w:rPr>
              <w:t>未注明进口产品的，均为国产产品，不允许提供进口产品参与采购活动</w:t>
            </w:r>
            <w:r>
              <w:rPr>
                <w:rFonts w:cs="宋体" w:asciiTheme="minorEastAsia" w:hAnsiTheme="minorEastAsia" w:eastAsiaTheme="minorEastAsia"/>
                <w:b/>
                <w:color w:val="auto"/>
                <w:sz w:val="24"/>
                <w:szCs w:val="24"/>
                <w:lang w:eastAsia="zh-CN"/>
              </w:rPr>
              <w:t>;</w:t>
            </w:r>
            <w:r>
              <w:rPr>
                <w:rFonts w:hint="eastAsia" w:cs="宋体" w:asciiTheme="minorEastAsia" w:hAnsiTheme="minorEastAsia" w:eastAsiaTheme="minorEastAsia"/>
                <w:b/>
                <w:color w:val="auto"/>
                <w:sz w:val="24"/>
                <w:szCs w:val="24"/>
                <w:lang w:eastAsia="zh-CN"/>
              </w:rPr>
              <w:t>注明进口产品的，不限制符合条件的国产产品可以参与采购活动</w:t>
            </w:r>
            <w:r>
              <w:rPr>
                <w:rFonts w:cs="宋体" w:asciiTheme="minorEastAsia" w:hAnsiTheme="minorEastAsia" w:eastAsiaTheme="minorEastAsia"/>
                <w:b/>
                <w:color w:val="auto"/>
                <w:sz w:val="24"/>
                <w:szCs w:val="24"/>
                <w:lang w:eastAsia="zh-CN"/>
              </w:rPr>
              <w:t>.</w:t>
            </w:r>
          </w:p>
        </w:tc>
      </w:tr>
    </w:tbl>
    <w:p w14:paraId="1CE5F729">
      <w:pPr>
        <w:widowControl w:val="0"/>
        <w:rPr>
          <w:rFonts w:cs="宋体" w:asciiTheme="minorEastAsia" w:hAnsiTheme="minorEastAsia" w:eastAsiaTheme="minorEastAsia"/>
          <w:color w:val="auto"/>
          <w:lang w:eastAsia="zh-CN"/>
        </w:rPr>
        <w:sectPr>
          <w:footerReference r:id="rId3" w:type="default"/>
          <w:pgSz w:w="11906" w:h="16839"/>
          <w:pgMar w:top="1429" w:right="1587" w:bottom="1429" w:left="1587" w:header="0" w:footer="994" w:gutter="0"/>
          <w:cols w:space="720" w:num="1"/>
        </w:sectPr>
      </w:pPr>
    </w:p>
    <w:p w14:paraId="245943FA">
      <w:pPr>
        <w:widowControl w:val="0"/>
        <w:spacing w:before="78" w:line="220" w:lineRule="auto"/>
        <w:jc w:val="center"/>
        <w:outlineLvl w:val="1"/>
        <w:rPr>
          <w:rFonts w:cs="宋体" w:asciiTheme="minorEastAsia" w:hAnsiTheme="minorEastAsia" w:eastAsiaTheme="minorEastAsia"/>
          <w:color w:val="auto"/>
          <w:sz w:val="28"/>
          <w:szCs w:val="28"/>
          <w:lang w:eastAsia="zh-CN"/>
        </w:rPr>
      </w:pPr>
      <w:bookmarkStart w:id="2" w:name="bookmark81"/>
      <w:bookmarkEnd w:id="2"/>
      <w:bookmarkStart w:id="3" w:name="_Toc5632"/>
      <w:bookmarkStart w:id="4" w:name="_Toc230186027"/>
      <w:r>
        <w:rPr>
          <w:rFonts w:hint="eastAsia" w:cs="宋体" w:asciiTheme="minorEastAsia" w:hAnsiTheme="minorEastAsia" w:eastAsiaTheme="minorEastAsia"/>
          <w:color w:val="auto"/>
          <w:sz w:val="28"/>
          <w:szCs w:val="28"/>
          <w:lang w:eastAsia="zh-CN"/>
        </w:rPr>
        <w:t>二、采购需求</w:t>
      </w:r>
      <w:bookmarkEnd w:id="3"/>
      <w:bookmarkEnd w:id="4"/>
    </w:p>
    <w:p w14:paraId="4D1CB49C">
      <w:pPr>
        <w:widowControl w:val="0"/>
        <w:spacing w:before="78" w:line="240" w:lineRule="exact"/>
        <w:jc w:val="center"/>
        <w:outlineLvl w:val="1"/>
        <w:rPr>
          <w:rFonts w:cs="宋体" w:asciiTheme="minorEastAsia" w:hAnsiTheme="minorEastAsia" w:eastAsiaTheme="minorEastAsia"/>
          <w:color w:val="auto"/>
          <w:sz w:val="28"/>
          <w:szCs w:val="28"/>
          <w:lang w:eastAsia="zh-CN"/>
        </w:rPr>
      </w:pPr>
    </w:p>
    <w:p w14:paraId="28D708E6">
      <w:pPr>
        <w:spacing w:line="360" w:lineRule="auto"/>
        <w:jc w:val="center"/>
        <w:rPr>
          <w:rFonts w:asciiTheme="minorEastAsia" w:hAnsiTheme="minorEastAsia" w:eastAsiaTheme="minorEastAsia"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8"/>
          <w:szCs w:val="28"/>
          <w:lang w:eastAsia="zh-CN"/>
        </w:rPr>
        <w:t>（一） 技术需求</w:t>
      </w:r>
    </w:p>
    <w:p w14:paraId="27E0E8FE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</w:t>
      </w:r>
      <w:r>
        <w:rPr>
          <w:rFonts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采购标的需实现的功能或者目标</w:t>
      </w:r>
    </w:p>
    <w:p w14:paraId="3A9C5BA9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1.1</w:t>
      </w:r>
      <w:r>
        <w:rPr>
          <w:rFonts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采购标的需实现的功能</w:t>
      </w:r>
    </w:p>
    <w:p w14:paraId="33781D76"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000000" w:themeColor="text1"/>
          <w:sz w:val="24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color w:val="000000" w:themeColor="text1"/>
          <w:sz w:val="24"/>
          <w:szCs w:val="32"/>
          <w:lang w:eastAsia="zh-CN"/>
          <w14:textFill>
            <w14:solidFill>
              <w14:schemeClr w14:val="tx1"/>
            </w14:solidFill>
          </w14:textFill>
        </w:rPr>
        <w:t>落实学院学科建设规划，优化科研平台布局，补齐高端精密检测设备短板，强化科研、教学、人才培养与产业服务的协同联动，助力航空、陶瓷领域关键零部件检测技术升级，更好支撑科研教学与产业服务高质量发展。</w:t>
      </w:r>
    </w:p>
    <w:p w14:paraId="6A0121FB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 xml:space="preserve">1.2 </w:t>
      </w:r>
      <w:r>
        <w:rPr>
          <w:rFonts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采购标的需实现的目标</w:t>
      </w:r>
    </w:p>
    <w:p w14:paraId="4BD50F98"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000000" w:themeColor="text1"/>
          <w:sz w:val="24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color w:val="000000" w:themeColor="text1"/>
          <w:sz w:val="24"/>
          <w:szCs w:val="32"/>
          <w:lang w:eastAsia="zh-CN"/>
          <w14:textFill>
            <w14:solidFill>
              <w14:schemeClr w14:val="tx1"/>
            </w14:solidFill>
          </w14:textFill>
        </w:rPr>
        <w:t>契合学科建设规划，完善科研平台布局，筑牢学科发展根基；支撑人才培养提质，助力硕博士点申报，夯实学科人才储备；推动科研创新突破，提升科研产出质量，增强项目申报竞争力；赋能区域产业升级，强化社会服务能力，彰显学科特色优势。</w:t>
      </w:r>
    </w:p>
    <w:p w14:paraId="3E7E834E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</w:t>
      </w:r>
      <w:r>
        <w:rPr>
          <w:rFonts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、</w:t>
      </w:r>
      <w:bookmarkStart w:id="5" w:name="OLE_LINK8"/>
      <w:r>
        <w:rPr>
          <w:rFonts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采购标的需执行的国家相关标准、行业标准、地方标准或者其他标准、规范</w:t>
      </w:r>
      <w:bookmarkEnd w:id="5"/>
    </w:p>
    <w:p w14:paraId="24E9109B"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000000" w:themeColor="text1"/>
          <w:sz w:val="24"/>
          <w:szCs w:val="32"/>
          <w:lang w:eastAsia="zh-CN"/>
          <w14:textFill>
            <w14:solidFill>
              <w14:schemeClr w14:val="tx1"/>
            </w14:solidFill>
          </w14:textFill>
        </w:rPr>
      </w:pPr>
      <w:bookmarkStart w:id="6" w:name="OLE_LINK9"/>
      <w:r>
        <w:rPr>
          <w:rFonts w:hint="eastAsia" w:asciiTheme="minorEastAsia" w:hAnsiTheme="minorEastAsia" w:eastAsiaTheme="minorEastAsia"/>
          <w:color w:val="000000" w:themeColor="text1"/>
          <w:sz w:val="24"/>
          <w:szCs w:val="32"/>
          <w:lang w:eastAsia="zh-CN"/>
          <w14:textFill>
            <w14:solidFill>
              <w14:schemeClr w14:val="tx1"/>
            </w14:solidFill>
          </w14:textFill>
        </w:rPr>
        <w:t>投标人应提供符合技术要求</w:t>
      </w:r>
      <w:r>
        <w:rPr>
          <w:rFonts w:hint="eastAsia" w:ascii="宋体" w:hAnsi="宋体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ascii="宋体" w:hAnsi="宋体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国家标准、行业规范和合同等相关文件要求</w:t>
      </w:r>
      <w:r>
        <w:rPr>
          <w:rFonts w:hint="eastAsia" w:asciiTheme="minorEastAsia" w:hAnsiTheme="minorEastAsia" w:eastAsiaTheme="minorEastAsia"/>
          <w:color w:val="000000" w:themeColor="text1"/>
          <w:sz w:val="24"/>
          <w:szCs w:val="32"/>
          <w:lang w:eastAsia="zh-CN"/>
          <w14:textFill>
            <w14:solidFill>
              <w14:schemeClr w14:val="tx1"/>
            </w14:solidFill>
          </w14:textFill>
        </w:rPr>
        <w:t>的优质产品。</w:t>
      </w:r>
    </w:p>
    <w:bookmarkEnd w:id="6"/>
    <w:p w14:paraId="5DCA55B9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Theme="minorEastAsia" w:hAnsiTheme="minorEastAsia" w:eastAsiaTheme="minorEastAsia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、采购标的需满足的性能、材料、结构、外观、质量、安全、技术规格、物理特性等要求</w:t>
      </w:r>
    </w:p>
    <w:p w14:paraId="4599F698">
      <w:pPr>
        <w:spacing w:line="360" w:lineRule="auto"/>
        <w:rPr>
          <w:rFonts w:asciiTheme="minorEastAsia" w:hAnsiTheme="minorEastAsia"/>
          <w:b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/>
          <w:b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序号1：</w:t>
      </w:r>
      <w:r>
        <w:rPr>
          <w:rFonts w:hint="eastAsia" w:asciiTheme="minorEastAsia" w:hAnsiTheme="minorEastAsia"/>
          <w:b/>
          <w:color w:val="000000" w:themeColor="text1"/>
          <w:sz w:val="24"/>
          <w:u w:val="single"/>
          <w:lang w:eastAsia="zh-CN"/>
          <w14:textFill>
            <w14:solidFill>
              <w14:schemeClr w14:val="tx1"/>
            </w14:solidFill>
          </w14:textFill>
        </w:rPr>
        <w:t>磁控溅射机</w:t>
      </w:r>
    </w:p>
    <w:p w14:paraId="64B3EAEF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具体参数如下：</w:t>
      </w:r>
    </w:p>
    <w:p w14:paraId="34B663D8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1、设备主机规格</w:t>
      </w:r>
    </w:p>
    <w:p w14:paraId="1456177B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1) 反应腔有效工作直径≥8英寸(约200mm)，兼容8英寸及以下多种尺寸样品的装载与处理;投标人需提供适配不同尺寸样品的夹具、托盘或载具方案。</w:t>
      </w:r>
    </w:p>
    <w:p w14:paraId="7833CED5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2) 设备本底真空&lt;1 Pa，设备漏率≤ 5×10⁻⁶ Pa·L/s;</w:t>
      </w:r>
    </w:p>
    <w:p w14:paraId="7B0B7063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3) 控制方式：PLC+触摸屏，控制系统应具备数据存储、工艺配方保存及故障自诊断功能，触摸屏界面支持中文操作。</w:t>
      </w:r>
    </w:p>
    <w:p w14:paraId="1749B253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4) 多种模式:快速模式、充分暴露模式和多元掺杂模式。</w:t>
      </w:r>
    </w:p>
    <w:p w14:paraId="536B881B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2、反应腔系统:</w:t>
      </w:r>
    </w:p>
    <w:p w14:paraId="58AD18B1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1)</w:t>
      </w:r>
      <w:r>
        <w:rPr>
          <w:rFonts w:hint="eastAsia" w:ascii="Times New Roman" w:hAnsi="Times New Roman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反应腔主体及底座材质应为优质316L不锈钢；底座应采用</w:t>
      </w:r>
      <w:r>
        <w:rPr>
          <w:rFonts w:hint="eastAsia" w:ascii="Times New Roman" w:hAnsi="Times New Roman" w:eastAsia="宋体" w:cs="Times New Roman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整体机械加工或整体锻造</w:t>
      </w:r>
      <w:r>
        <w:rPr>
          <w:rFonts w:hint="eastAsia" w:ascii="Times New Roman" w:hAnsi="Times New Roman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而成，以确保结构强度和真空稳定性；腔体内表面需经过精细抛光或电解抛光处理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shd w:val="clear" w:color="auto" w:fill="F8F8F8"/>
          <w:lang w:eastAsia="zh-CN"/>
          <w14:textFill>
            <w14:solidFill>
              <w14:schemeClr w14:val="tx1"/>
            </w14:solidFill>
          </w14:textFill>
        </w:rPr>
        <w:t>，以减少颗粒产生并提高耐腐蚀性。</w:t>
      </w:r>
    </w:p>
    <w:p w14:paraId="447D048D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2) 密封方式：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shd w:val="clear" w:color="auto" w:fill="F8F8F8"/>
          <w:lang w:eastAsia="zh-CN"/>
          <w14:textFill>
            <w14:solidFill>
              <w14:schemeClr w14:val="tx1"/>
            </w14:solidFill>
          </w14:textFill>
        </w:rPr>
        <w:t>密封方式：应采用成熟可靠的真空密封结构（如法兰密封、卡箍密封或其他等效结构），确保在极限真空及高温工况下无泄漏；密封圈材质应为全氟醚橡胶（FFKM）或同等耐腐蚀、耐高温材料，以适应反应气体环境。</w:t>
      </w:r>
    </w:p>
    <w:p w14:paraId="38C18890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3) 样品台尺寸：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shd w:val="clear" w:color="auto" w:fill="F8F8F8"/>
          <w:lang w:eastAsia="zh-CN"/>
          <w14:textFill>
            <w14:solidFill>
              <w14:schemeClr w14:val="tx1"/>
            </w14:solidFill>
          </w14:textFill>
        </w:rPr>
        <w:t>样品台有效加热区域直径≥200mm（8 英寸），并能兼容更小尺寸样品的固定与加热（需提供相应夹具方案）。</w:t>
      </w:r>
    </w:p>
    <w:p w14:paraId="5487C4E8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 xml:space="preserve">4) 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shd w:val="clear" w:color="auto" w:fill="F8F8F8"/>
          <w:lang w:eastAsia="zh-CN"/>
          <w14:textFill>
            <w14:solidFill>
              <w14:schemeClr w14:val="tx1"/>
            </w14:solidFill>
          </w14:textFill>
        </w:rPr>
        <w:t>样品台最高加热温度≥400°C；采用高精度 PID 闭环控制方式，控温精度≤±1°C，温度均匀性≤±2°C。</w:t>
      </w:r>
    </w:p>
    <w:p w14:paraId="48C6562D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5) 反应腔应具备全自动安全保护系统，包括：超压自动报警并切断气源、紧急情况下自动充入保护气体（如 N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vertAlign w:val="subscript"/>
          <w:lang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）至常压的功能；压力传感器精度应满足工艺监控需求。</w:t>
      </w:r>
    </w:p>
    <w:p w14:paraId="35D32664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3、前驱体源输送系统</w:t>
      </w:r>
    </w:p>
    <w:p w14:paraId="1BC16736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1) 配备不少于5 路金属前驱体源输送管路。管路配置应灵活，至少包含1 路常温源接口和 3 路独立控温的加热源接口，并预留至少 1 路备用接口（可用作常温或加热）。投标人需提供管路布局图及切换逻辑说明。</w:t>
      </w:r>
    </w:p>
    <w:p w14:paraId="26EB4625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2) 前驱体输送管路加热温度范围RT-200°C，控制精度±1°C;</w:t>
      </w:r>
    </w:p>
    <w:p w14:paraId="25B16A70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3) 常温源:配备专用阀门、源手动阀、等效容量的标准源瓶;</w:t>
      </w:r>
    </w:p>
    <w:p w14:paraId="10E78D55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4) 加热源:配备专用阀门、源手动阀、或等效容量的标准源瓶，源瓶温度范围RT-200°C;</w:t>
      </w:r>
    </w:p>
    <w:p w14:paraId="4EFD4C12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 xml:space="preserve">5) </w:t>
      </w:r>
      <w:r>
        <w:rPr>
          <w:rFonts w:ascii="Times New Roman" w:hAnsi="Times New Roman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管路及接头均采用316 EP级电解抛光不锈钢材料，所有气体管路连接处采用金属面密封（如 VCR）；载气管路采用N</w:t>
      </w:r>
      <w:r>
        <w:rPr>
          <w:rFonts w:ascii="Cambria Math" w:hAnsi="Cambria Math" w:eastAsia="宋体" w:cs="Cambria Math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₂</w:t>
      </w:r>
      <w:r>
        <w:rPr>
          <w:rFonts w:ascii="Times New Roman" w:hAnsi="Times New Roman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或者Ar气体，通过质量流量控制器（MFC）控制；配备PLC控制的惰性气体</w:t>
      </w:r>
      <w:r>
        <w:rPr>
          <w:rFonts w:ascii="Times New Roman" w:hAnsi="Times New Roman" w:eastAsia="宋体" w:cs="Times New Roman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管路自动吹扫清洗</w:t>
      </w:r>
      <w:r>
        <w:rPr>
          <w:rFonts w:ascii="Times New Roman" w:hAnsi="Times New Roman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系统，在控制界面中可以设置自动清洗的次数。</w:t>
      </w:r>
    </w:p>
    <w:p w14:paraId="67AB88E3">
      <w:pPr>
        <w:spacing w:beforeLines="20" w:line="360" w:lineRule="auto"/>
        <w:ind w:firstLine="480" w:firstLineChars="200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6) 系统中所有阀门以及真空阀配备电磁阀，电磁阀响应时间≤100 ms，带过电压保护回路，带动作指示灯。</w:t>
      </w:r>
    </w:p>
    <w:p w14:paraId="2B82737F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4、真空系统:</w:t>
      </w:r>
    </w:p>
    <w:p w14:paraId="46816996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1) 真空泵采用双级油封式真空泵，抽速不低于14m3/h;</w:t>
      </w:r>
    </w:p>
    <w:p w14:paraId="75D9ADC5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2) 真空测量:压力传感器，检测范围:1*10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vertAlign w:val="superscript"/>
          <w:lang w:eastAsia="zh-CN"/>
          <w14:textFill>
            <w14:solidFill>
              <w14:schemeClr w14:val="tx1"/>
            </w14:solidFill>
          </w14:textFill>
        </w:rPr>
        <w:t>-4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-1*105 Pa;</w:t>
      </w:r>
    </w:p>
    <w:p w14:paraId="0B3B8066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3) 真空抽气管道可以烘烤至150°C，且真空泵前级配置热阱，温度范围RT-250°C，控制精度±2°C;</w:t>
      </w:r>
    </w:p>
    <w:p w14:paraId="2E597747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5、控制系统</w:t>
      </w:r>
    </w:p>
    <w:p w14:paraId="0444A568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1) 控制系统应采用‘高性能 PLC+ 工业级触摸屏’的架构，。触摸屏尺寸≥15 英寸，分辨率不低于 1920×1080，并具备防尘、防腐蚀特性，适应实验室环境。;</w:t>
      </w:r>
    </w:p>
    <w:p w14:paraId="5B37FEE9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2) PLC采用工业以太网控制方式，支持灵活扩展DeviceNet、CANopen、PROFIBUS DP等通信方式;</w:t>
      </w:r>
    </w:p>
    <w:p w14:paraId="4CB3BA3E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3) 系统可实现配方编辑、保存、读取等功能，阀门及管路具备自动排空和清洗功能，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阀门切换及管路清洗流程由系统自动控制，单步动作切换延迟≤ 100 ms</w:t>
      </w:r>
    </w:p>
    <w:p w14:paraId="0EA283AC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 xml:space="preserve">4) 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系统应具备可视化的工艺参数设置界面，支持采购人自定义前驱体名称、属性及工艺步骤参数</w:t>
      </w:r>
    </w:p>
    <w:p w14:paraId="31930AAA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5) 系统可实时监测动力气体压力值、系统压力值、加热状态、阀门开关状态和镀膜进度，当发生异常时触发报警并做出响应，报警日志可进行回看;</w:t>
      </w:r>
    </w:p>
    <w:p w14:paraId="34F148DC">
      <w:pPr>
        <w:numPr>
          <w:ilvl w:val="0"/>
          <w:numId w:val="1"/>
        </w:numPr>
        <w:spacing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验收指标:厂家须提供氧化铝薄膜的标准工艺配方，前驱体为三甲基铝+水。按以下内容进行现场制备与验收：薄膜均匀性:在8英寸晶圆上沉积300cycle氧化铝，以晶圆上5个均匀分散点(上、下、左、右、中心5点）进行椭偏仪测试膜厚，8英寸晶圆上薄膜不均匀性≤2%。</w:t>
      </w:r>
    </w:p>
    <w:p w14:paraId="2DDFB8D1">
      <w:pPr>
        <w:spacing w:line="360" w:lineRule="auto"/>
        <w:rPr>
          <w:rFonts w:ascii="宋体" w:hAnsi="宋体" w:eastAsia="宋体" w:cs="宋体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序号2：</w:t>
      </w:r>
      <w:r>
        <w:rPr>
          <w:rFonts w:hint="eastAsia" w:ascii="宋体" w:hAnsi="宋体" w:eastAsia="宋体" w:cs="宋体"/>
          <w:b/>
          <w:color w:val="000000" w:themeColor="text1"/>
          <w:sz w:val="24"/>
          <w:szCs w:val="24"/>
          <w:u w:val="single"/>
          <w:lang w:eastAsia="zh-CN"/>
          <w14:textFill>
            <w14:solidFill>
              <w14:schemeClr w14:val="tx1"/>
            </w14:solidFill>
          </w14:textFill>
        </w:rPr>
        <w:t>微纳光电传感器件微区量子效率测试系统</w:t>
      </w:r>
    </w:p>
    <w:p w14:paraId="110E4A39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详细参数如下：</w:t>
      </w:r>
    </w:p>
    <w:p w14:paraId="5FAAFDE1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1.采集模式：</w:t>
      </w:r>
      <w:r>
        <w:rPr>
          <w:rFonts w:ascii="Times New Roman" w:hAnsi="Times New Roman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配备高灵敏度探测器（如光电倍增管或背照式CCD），含必要的制冷模块和信号处理电路。在激发波长350nm，狭缝宽度5nm，积分时间1s条件下，水拉曼信噪比≥8000:1。含系统光谱校正功能；可探测波长范围至少覆盖200nm-1200nm，搭配发射光谱仪，可兼容发射光谱采集和量子寿命测量。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；</w:t>
      </w:r>
    </w:p>
    <w:p w14:paraId="5CE5C26C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2.75W氙灯光源，光谱范围：250-2000nm，椭球灯杯，光斑尺寸可根据样品调节，最大覆盖面积≥4*4 cm，光强不均匀度≤5%；</w:t>
      </w:r>
    </w:p>
    <w:p w14:paraId="03A3ECAD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3.</w:t>
      </w:r>
      <w:r>
        <w:rPr>
          <w:rFonts w:ascii="Times New Roman" w:hAnsi="Times New Roman" w:eastAsia="宋体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激发光谱仪：焦距≥300mm的影像校正单色仪，光谱范围至少覆盖200-1100nm，双入口，双出口，配置二块光栅（1200g/mm@300nm闪耀，200-600nm，600g/mm@500nm闪耀，330-1000nm），覆盖范围：200-1000nm。</w:t>
      </w:r>
    </w:p>
    <w:p w14:paraId="4C2F6212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4.多功能宏光路样品室,透镜聚焦光路,标配比色皿样品架，粉末、薄膜平移-旋转样品架；</w:t>
      </w:r>
    </w:p>
    <w:p w14:paraId="043582AA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5.荧光发射光谱仪。C-T式结构。光谱仪焦距≥200mm，具备多端口扩展能力（支持双入口或可通过切换模块实现多路输入输出），配置不少于 3 块自动切换光栅，覆盖范围需涵盖 200-</w:t>
      </w:r>
      <w:r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25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00nm。三块光栅配置如下：1200g/mm@500nm闪耀，200-1000nm；600g/mm@750nm闪耀，500-1500nm；300g/mm@1250nm闪耀，800-2500nm）</w:t>
      </w:r>
    </w:p>
    <w:p w14:paraId="0F8205C7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6.数据采集器：时间相关单光子计数系统，分辨率兼容：16/32/64/128/256/512/1024 ps等时间窗口，死时间&lt;100 ns，计数率：100Mcps，通道数：≥65535，分辨率：16ps/128ps-1.024ns /2.048ns--33.55us 输入信号：±触发沿，高阻/50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Ω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，阈值±2V可调，兼容稳态瞬态测试，寿命拟合，保证最短拟合寿命≤500ps</w:t>
      </w:r>
    </w:p>
    <w:p w14:paraId="05AE9C19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Times New Roman" w:hAnsi="Times New Roman" w:eastAsia="宋体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用于时间分辨测量的高灵敏度探测器，工作范围至少覆盖</w:t>
      </w:r>
      <w:r>
        <w:rPr>
          <w:rFonts w:hint="eastAsia" w:ascii="Times New Roman" w:hAnsi="Times New Roman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185</w:t>
      </w:r>
      <w:r>
        <w:rPr>
          <w:rFonts w:hint="eastAsia" w:ascii="Times New Roman" w:hAnsi="Times New Roman" w:eastAsia="宋体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-</w:t>
      </w:r>
      <w:r>
        <w:rPr>
          <w:rFonts w:hint="eastAsia" w:ascii="Times New Roman" w:hAnsi="Times New Roman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Times New Roman" w:hAnsi="Times New Roman" w:eastAsia="宋体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00nm</w:t>
      </w:r>
      <w:r>
        <w:rPr>
          <w:rFonts w:ascii="Times New Roman" w:hAnsi="Times New Roman" w:eastAsia="宋体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，仪器响应函数（IRF）半高宽≤1.0ns，暗计数率≤100CPS（@-10</w:t>
      </w:r>
      <w:r>
        <w:rPr>
          <w:rFonts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℃</w:t>
      </w:r>
      <w:r>
        <w:rPr>
          <w:rFonts w:ascii="Times New Roman" w:hAnsi="Times New Roman" w:eastAsia="宋体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或等效制冷条件下），含高压稳压电源及制冷驱动器。</w:t>
      </w:r>
    </w:p>
    <w:p w14:paraId="6F903207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8.激光器外挂附件，用于各类激光器耦合进样品室；</w:t>
      </w:r>
    </w:p>
    <w:p w14:paraId="675DE05E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9.皮秒脉冲激光器2套</w:t>
      </w:r>
    </w:p>
    <w:p w14:paraId="613E7541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9.1  375nm 激光器：“波长375±5nm，脉宽≤50ps，峰值功率≥800mW"。；最大重频：≥50MHz。"。</w:t>
      </w:r>
    </w:p>
    <w:p w14:paraId="4BB61943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9.2  510nm 激光器：“波长 510±10nm，脉宽≤100ps，峰值功率≥200mW；最大重频：≥50MHz。</w:t>
      </w:r>
    </w:p>
    <w:p w14:paraId="233E9EFA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10.数据采集软件：稳态测试功能：激发扫描，发射扫描，同步扫描，三维扫描；瞬态测试功能：动力学扫描，寿命扫描，时间分辨光谱扫描；数据处理功能：量子产率计算；TRES Slicing；光谱校正；温度控制扫描；支持导出通用数据格式，如 Excel (.xlsx/.csv), Text (.txt), Spe (.spe) 等，并提供 API 接口或脚本支持采购人二次开发，支持实时通信等</w:t>
      </w:r>
    </w:p>
    <w:p w14:paraId="5F2BED38">
      <w:pPr>
        <w:spacing w:beforeLines="20" w:line="360" w:lineRule="auto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62937C8B">
      <w:pPr>
        <w:spacing w:line="360" w:lineRule="auto"/>
        <w:rPr>
          <w:rFonts w:ascii="宋体" w:hAnsi="宋体" w:eastAsia="宋体" w:cs="宋体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序号3：</w:t>
      </w:r>
      <w:r>
        <w:rPr>
          <w:rFonts w:hint="eastAsia" w:ascii="宋体" w:hAnsi="宋体" w:eastAsia="宋体" w:cs="宋体"/>
          <w:b/>
          <w:color w:val="000000" w:themeColor="text1"/>
          <w:sz w:val="24"/>
          <w:szCs w:val="24"/>
          <w:u w:val="single"/>
          <w:lang w:eastAsia="zh-CN"/>
          <w14:textFill>
            <w14:solidFill>
              <w14:schemeClr w14:val="tx1"/>
            </w14:solidFill>
          </w14:textFill>
        </w:rPr>
        <w:t>半导体器件参数分析仪</w:t>
      </w:r>
    </w:p>
    <w:p w14:paraId="49B4A33E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具体参数如下：</w:t>
      </w:r>
    </w:p>
    <w:p w14:paraId="31AA992C">
      <w:pPr>
        <w:numPr>
          <w:ilvl w:val="0"/>
          <w:numId w:val="2"/>
        </w:num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测量半导体材料的塞贝克系数和电阻率。系统通过镀金红外加热炉精确控制温度；再通过对样品加热生成一个最大50℃的温度梯度，可自动测量探针间产生的电动势，获得塞贝克系数；并可同时通过四探针法测量电阻率。</w:t>
      </w:r>
    </w:p>
    <w:p w14:paraId="52190498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2.主机主要参数</w:t>
      </w:r>
    </w:p>
    <w:p w14:paraId="0C8A4C52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2.1塞贝克系数测量</w:t>
      </w:r>
    </w:p>
    <w:p w14:paraId="44C892D3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1）塞贝克系数测量方法：静态直流方式</w:t>
      </w:r>
    </w:p>
    <w:p w14:paraId="714418A2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2）塞贝克系数测量精度：≤±7%，（验收需至少测试标样在50℃和800℃环境温度下的测量精度）</w:t>
      </w:r>
    </w:p>
    <w:p w14:paraId="0C180DF1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3）塞贝克系数测量范围（理论值）：1~3000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μ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V/K</w:t>
      </w:r>
    </w:p>
    <w:p w14:paraId="438A76E4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2.2电阻测量</w:t>
      </w:r>
    </w:p>
    <w:p w14:paraId="09815A7B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1）电阻测量方法：四点法方式</w:t>
      </w:r>
    </w:p>
    <w:p w14:paraId="255D0B8A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2）电阻率测量测量精度：≤±7%，（验收需至少测试标样在50℃和800℃环境温度下的测量精度）</w:t>
      </w:r>
    </w:p>
    <w:p w14:paraId="74624226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3）电导率测量范围（理论值）：1~2×10^5 S/cm</w:t>
      </w:r>
    </w:p>
    <w:p w14:paraId="577FBA02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3.主机各部分参数</w:t>
      </w:r>
    </w:p>
    <w:p w14:paraId="0E92887A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3.1加热样品单元</w:t>
      </w:r>
    </w:p>
    <w:p w14:paraId="789F6A46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1）控制方法：PID方式</w:t>
      </w:r>
    </w:p>
    <w:p w14:paraId="7DB350BC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2）红外线加热炉：加热区长≥130mm, 总长≥220mm</w:t>
      </w:r>
    </w:p>
    <w:p w14:paraId="16F23A44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3）温度范围：室温～800℃。</w:t>
      </w:r>
    </w:p>
    <w:p w14:paraId="2384B7FE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4）样品尺寸：固体2～4mm方型或圆型，长度6～22mm</w:t>
      </w:r>
    </w:p>
    <w:p w14:paraId="02BEC94B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5）电极单元：电极由热电偶和氧化铝陶瓷管组成管。样品夹在两个电极间，进行测量样品的温度差和电压差。</w:t>
      </w:r>
    </w:p>
    <w:p w14:paraId="079619BB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6）探针测试间距可调，具备不少于3种固定间距模式</w:t>
      </w:r>
    </w:p>
    <w:p w14:paraId="49AC5F97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3.2程序控温单元</w:t>
      </w:r>
    </w:p>
    <w:p w14:paraId="2D52F076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1）温度控制点：样品气氛温度和样品两面温度差</w:t>
      </w:r>
    </w:p>
    <w:p w14:paraId="709DBDE0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2）设定温度的step值：软件设置无限制</w:t>
      </w:r>
    </w:p>
    <w:p w14:paraId="0842B18F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3）通信端口：</w:t>
      </w:r>
      <w:r>
        <w:rPr>
          <w:rFonts w:ascii="Times New Roman" w:hAnsi="Times New Roman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具备标准通信接口（如RS-232C、USB或LAN）</w:t>
      </w:r>
    </w:p>
    <w:p w14:paraId="2DF5E675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4）配置高精度热电偶（如 R 型或 S 型用于高温，K 型用于温差符合国际通用标准（IEC 或同等）。</w:t>
      </w:r>
    </w:p>
    <w:p w14:paraId="3008CBA2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5）控制电流：具备高精度的温度控制能力，支持 PID 算法</w:t>
      </w:r>
    </w:p>
    <w:p w14:paraId="4274946F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3.3电气控制单元</w:t>
      </w:r>
    </w:p>
    <w:p w14:paraId="168A96E0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1）数字多功能测试仪：检测上下端加热区的温度信号和两个电极间的电压差信号</w:t>
      </w:r>
    </w:p>
    <w:p w14:paraId="67D433AA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2）测量方式：扫描方式</w:t>
      </w:r>
    </w:p>
    <w:p w14:paraId="60629699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3）具备标准通信接口（如 USB、LAN、RS-232 或 GPIB）</w:t>
      </w:r>
    </w:p>
    <w:p w14:paraId="6EDFCD3D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3.4气氛控制单元：配备机械泵，机械泵速度≥50L/min</w:t>
      </w:r>
    </w:p>
    <w:p w14:paraId="43739535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3.5数据处理单元</w:t>
      </w:r>
    </w:p>
    <w:p w14:paraId="068F9D22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1）带有计算机控制单元与显示器</w:t>
      </w:r>
    </w:p>
    <w:p w14:paraId="792FA7B2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2）测量条件输入：</w:t>
      </w:r>
    </w:p>
    <w:p w14:paraId="4992A957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a)电阻率测试的电流设置：手动和自动两种方式</w:t>
      </w:r>
    </w:p>
    <w:p w14:paraId="1379EE92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b)电阻率测量法：极性反转/阶跃</w:t>
      </w:r>
    </w:p>
    <w:p w14:paraId="6C7B7848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c)电流设置：具备智能电流优化功能，可根据 V-I 特性自动推荐或设定最佳测试电流</w:t>
      </w:r>
    </w:p>
    <w:p w14:paraId="0A01B578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3)数据分析功能：塞贝克系数、电阻率、功率因子的计算及其图形显示；</w:t>
      </w:r>
    </w:p>
    <w:p w14:paraId="7E39357A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4)电阻率测量重分析功能：可通过在软件修改样品形状、尺寸和探针间距进行重分析</w:t>
      </w:r>
    </w:p>
    <w:p w14:paraId="48A3ECDB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3.6配置薄膜测量适配器1套，适用于金属及合金薄膜样品（如尺寸 2-4mm 方形或直径&gt;2mm 圆形）</w:t>
      </w:r>
    </w:p>
    <w:p w14:paraId="110A2DD9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20D90987">
      <w:pPr>
        <w:spacing w:line="360" w:lineRule="auto"/>
        <w:rPr>
          <w:rFonts w:ascii="宋体" w:hAnsi="宋体" w:eastAsia="宋体" w:cs="宋体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序号4：</w:t>
      </w:r>
      <w:r>
        <w:rPr>
          <w:rFonts w:hint="eastAsia" w:ascii="宋体" w:hAnsi="宋体" w:eastAsia="宋体" w:cs="宋体"/>
          <w:b/>
          <w:color w:val="000000" w:themeColor="text1"/>
          <w:sz w:val="24"/>
          <w:szCs w:val="24"/>
          <w:u w:val="single"/>
          <w:lang w:eastAsia="zh-CN"/>
          <w14:textFill>
            <w14:solidFill>
              <w14:schemeClr w14:val="tx1"/>
            </w14:solidFill>
          </w14:textFill>
        </w:rPr>
        <w:t>阻抗分析仪（阻抗-荧光一体综合分析系统）</w:t>
      </w:r>
    </w:p>
    <w:p w14:paraId="549ACDA0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具体参数如下：</w:t>
      </w:r>
    </w:p>
    <w:p w14:paraId="51785064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1、测试频率：20Hz—50MHz；</w:t>
      </w:r>
    </w:p>
    <w:p w14:paraId="6ED2FAB5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2、测试激励电平：0至2Vrms/0至20mArms；</w:t>
      </w:r>
    </w:p>
    <w:p w14:paraId="6EEF8A81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3、测试指标：Cp-D, Cp-Q, Cp-G, Cp-Rp, Cs-D, Cs-Q, Cs-Rs, Lp-D, Lp-Q, Lp-G, Lp-Rp, Lp-Rdc ,Ls-D, Ls-Q, Ls-Rs, Ls-Rdc,R-X,Z-θd, Z-θr,G-B,Y-θd, Y-θr,Vdc-Idc；</w:t>
      </w:r>
    </w:p>
    <w:p w14:paraId="4CD96A4D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4、基本测量精度 ≤ 0.08%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（典型值 @ 1kHz）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；</w:t>
      </w:r>
    </w:p>
    <w:p w14:paraId="39E66B6C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5、测量时间：</w:t>
      </w:r>
      <w:r>
        <w:rPr>
          <w:rFonts w:ascii="Times New Roman" w:hAnsi="Times New Roman" w:eastAsia="宋体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快速模式≤20ms，中速模式≤150ms，长速模式≤500ms（@1MHz）。</w:t>
      </w:r>
    </w:p>
    <w:p w14:paraId="1F8223B9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6、电阻范围：阻抗测量范围：10m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Ω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 xml:space="preserve"> – 100M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Ω</w:t>
      </w:r>
    </w:p>
    <w:p w14:paraId="59BAAA95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7、支持ALC自动电平控制；</w:t>
      </w:r>
    </w:p>
    <w:p w14:paraId="6C538A35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8、可支持500点的扫频测量，可编程，可任意设置频率，测量范围以及激励条件并自动绘制显示阻抗随频率变化曲线；</w:t>
      </w:r>
    </w:p>
    <w:p w14:paraId="698A8795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9、支持线缆夹具补偿校准以及电缆延长补偿功能；</w:t>
      </w:r>
    </w:p>
    <w:p w14:paraId="5E127497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10、光源：150W无臭氧氙灯，密封的激发光路，确保最好的紫外性能；</w:t>
      </w:r>
    </w:p>
    <w:p w14:paraId="4DD72541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11、单色器焦长：≥200mm；</w:t>
      </w:r>
    </w:p>
    <w:p w14:paraId="516DCC4E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12、激发侧光谱范围：230-900nm；</w:t>
      </w:r>
    </w:p>
    <w:p w14:paraId="1707BF24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13、发射侧光谱范围：230-870nm；</w:t>
      </w:r>
    </w:p>
    <w:p w14:paraId="0CF4A337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14、光谱带宽（激发/发射）：0-30nm，软件控制连续可调；</w:t>
      </w:r>
    </w:p>
    <w:p w14:paraId="45EF975F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15、波长准确度（激发/发射）：±0.5nm；</w:t>
      </w:r>
    </w:p>
    <w:p w14:paraId="4ED7E7E8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16、</w:t>
      </w:r>
      <w:r>
        <w:rPr>
          <w:rFonts w:ascii="Times New Roman" w:hAnsi="Times New Roman" w:eastAsia="宋体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发射检测器：高灵敏度光电倍增管（如R928P或同等性能型号），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光谱范围230-870nm，半导体制冷，暗噪声≤200cps；</w:t>
      </w:r>
    </w:p>
    <w:p w14:paraId="06D79447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17、参比检测器：紫外扩展的硅光二极管；</w:t>
      </w:r>
    </w:p>
    <w:p w14:paraId="3F400E69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18、吸收检测器：紫外扩展的硅光二极管；</w:t>
      </w:r>
    </w:p>
    <w:p w14:paraId="2C911FC9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19、标配自动滤光片轮，软件控制，自动滤除来自激发光的高级散射峰。</w:t>
      </w:r>
    </w:p>
    <w:p w14:paraId="38B084EB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20、水拉曼信噪比：≥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,000:1,计算公式：S/N=(I397-I450）/(I450)1/2；</w:t>
      </w:r>
    </w:p>
    <w:p w14:paraId="3581AAC0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21、荧光寿命；</w:t>
      </w:r>
    </w:p>
    <w:p w14:paraId="2F0C1E4F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21.1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范围：150ps-10us；</w:t>
      </w:r>
    </w:p>
    <w:p w14:paraId="12A43E7F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21.2、光源：375nm脉冲激光器，脉宽：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≤100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ps，频率20 kHz - 20 MHz；</w:t>
      </w:r>
    </w:p>
    <w:p w14:paraId="67D02FB6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21.3、检测模式：TCSPC（时间相关单光子计数技术）；</w:t>
      </w:r>
    </w:p>
    <w:p w14:paraId="38761662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21.4、最大时间通道数：8192；</w:t>
      </w:r>
    </w:p>
    <w:p w14:paraId="18F9057A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21.5、时间窗口2.5ns-50us；</w:t>
      </w:r>
    </w:p>
    <w:p w14:paraId="1B3AE5A8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 xml:space="preserve">21.6、最小时间分辨率：≤10ps；计算方法：最小测试时间宽度/最大通道数； </w:t>
      </w:r>
    </w:p>
    <w:p w14:paraId="7CC5D123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22、量子产率附件：</w:t>
      </w:r>
    </w:p>
    <w:p w14:paraId="20D48060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22.1、用于量子产率及发光色度分析 ；</w:t>
      </w:r>
    </w:p>
    <w:p w14:paraId="16B9C0EC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22.2、测量对象：薄膜、粉末和液体；</w:t>
      </w:r>
    </w:p>
    <w:p w14:paraId="7660BA79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22.3、积分球直径≥150mm；内部涂层为聚四氟乙烯；直接光路，无需光纤导光，避免光纤对光信号的衰减，特别适合弱发光样品量子产率测试；</w:t>
      </w:r>
    </w:p>
    <w:p w14:paraId="4FAE70F8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 xml:space="preserve">22.4、带有PLQY软件，完成量子产率、色度及标准误差的计算； </w:t>
      </w:r>
    </w:p>
    <w:p w14:paraId="09C86DAB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22.5、液体测量采用标准10mm光程4ml荧光池；</w:t>
      </w:r>
    </w:p>
    <w:p w14:paraId="63895003">
      <w:pPr>
        <w:spacing w:beforeLines="20" w:line="360" w:lineRule="auto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23、软件具备阻抗参数测量、扫频分析、等效电路拟合及数据导出功能。</w:t>
      </w:r>
    </w:p>
    <w:p w14:paraId="4CB76F90">
      <w:pPr>
        <w:spacing w:line="460" w:lineRule="exact"/>
        <w:ind w:firstLine="482" w:firstLineChars="200"/>
        <w:rPr>
          <w:rFonts w:cs="仿宋_GB2312" w:asciiTheme="minorEastAsia" w:hAnsiTheme="minorEastAsia" w:eastAsiaTheme="minorEastAsia"/>
          <w:b/>
          <w:color w:val="auto"/>
          <w:sz w:val="24"/>
          <w:szCs w:val="32"/>
          <w:lang w:eastAsia="zh-CN"/>
        </w:rPr>
      </w:pPr>
      <w:r>
        <w:rPr>
          <w:rFonts w:hint="eastAsia" w:cs="仿宋_GB2312" w:asciiTheme="minorEastAsia" w:hAnsiTheme="minorEastAsia" w:eastAsiaTheme="minorEastAsia"/>
          <w:b/>
          <w:color w:val="auto"/>
          <w:sz w:val="24"/>
          <w:szCs w:val="32"/>
          <w:lang w:eastAsia="zh-CN"/>
        </w:rPr>
        <w:t>注：以上技术条款为必须满足或优于项，否则作无效投标处理。</w:t>
      </w:r>
    </w:p>
    <w:p w14:paraId="6AFC341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4D7962">
    <w:pPr>
      <w:pStyle w:val="3"/>
      <w:rPr>
        <w:lang w:eastAsia="zh-CN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AF75B04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LNJWO7QAAAABQEAAA8AAAAAAAAAAQAgAAAAIgAAAGRycy9kb3ducmV2Lnht&#10;bFBLAQIUABQAAAAIAIdO4kDIehZUOgIAAHEEAAAOAAAAAAAAAAEAIAAAAB8BAABkcnMvZTJvRG9j&#10;LnhtbFBLBQYAAAAABgAGAFkBAADLBQAAAAA=&#10;">
              <v:path/>
              <v:fill on="f" focussize="0,0"/>
              <v:stroke on="f" weight="0.5pt" joinstyle="miter"/>
              <v:imagedata o:title=""/>
              <o:lock v:ext="edit"/>
              <v:textbox inset="0mm,0mm,0mm,0mm" style="mso-fit-shape-to-text:t;">
                <w:txbxContent>
                  <w:p w14:paraId="2AF75B04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1A5A1A"/>
    <w:multiLevelType w:val="singleLevel"/>
    <w:tmpl w:val="8F1A5A1A"/>
    <w:lvl w:ilvl="0" w:tentative="0">
      <w:start w:val="6"/>
      <w:numFmt w:val="decimal"/>
      <w:suff w:val="nothing"/>
      <w:lvlText w:val="%1、"/>
      <w:lvlJc w:val="left"/>
    </w:lvl>
  </w:abstractNum>
  <w:abstractNum w:abstractNumId="1">
    <w:nsid w:val="75C977FB"/>
    <w:multiLevelType w:val="singleLevel"/>
    <w:tmpl w:val="75C977F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2C2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Indent"/>
    <w:basedOn w:val="1"/>
    <w:qFormat/>
    <w:uiPriority w:val="0"/>
    <w:pPr>
      <w:spacing w:line="312" w:lineRule="atLeast"/>
      <w:ind w:firstLine="420"/>
    </w:pPr>
    <w:rPr>
      <w:rFonts w:ascii="Calibri" w:hAnsi="Calibri"/>
      <w:szCs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6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2026-06-17T10:40:22Z</dcterms:created>
  <dc:creator>Administrator</dc:creator>
  <cp:lastModifiedBy>Administrator</cp:lastModifiedBy>
  <dcterms:modified xsi:type="dcterms:W3CDTF">2026-06-17T10:40:39Z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eyJoZGlkIjoiMGE5MmMzMjVmNmQ5ZDM5ZDg3YjMyMmNjZDlhNmZlM2UiLCJ1c2VySWQiOiI1OTEyMDM3OTQifQ==</vt:lpwstr>
  </property>
  <property fmtid="{D5CDD505-2E9C-101B-9397-08002B2CF9AE}" pid="4" name="ICV">
    <vt:lpwstr>96BC7A5EBE70461598C6C5DD3A08A7BA_12</vt:lpwstr>
  </property>
</Properties>
</file>