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C42DB0">
      <w:pPr>
        <w:pStyle w:val="2"/>
        <w:jc w:val="center"/>
        <w:rPr>
          <w:color w:val="auto"/>
          <w:highlight w:val="none"/>
          <w:lang w:eastAsia="zh-CN"/>
        </w:rPr>
      </w:pPr>
      <w:bookmarkStart w:id="0" w:name="_Toc19935"/>
      <w:bookmarkStart w:id="1" w:name="_Toc507597381"/>
      <w:bookmarkStart w:id="2" w:name="_Toc1739"/>
      <w:r>
        <w:rPr>
          <w:rFonts w:hint="eastAsia"/>
          <w:color w:val="auto"/>
          <w:highlight w:val="none"/>
          <w:lang w:val="en-US" w:eastAsia="zh-CN"/>
        </w:rPr>
        <w:t>第一节</w:t>
      </w:r>
      <w:r>
        <w:rPr>
          <w:rFonts w:hint="eastAsia"/>
          <w:color w:val="auto"/>
          <w:highlight w:val="none"/>
          <w:lang w:eastAsia="zh-CN"/>
        </w:rPr>
        <w:t>、</w:t>
      </w:r>
      <w:bookmarkEnd w:id="0"/>
      <w:bookmarkEnd w:id="1"/>
      <w:r>
        <w:rPr>
          <w:rFonts w:hint="eastAsia"/>
          <w:color w:val="auto"/>
          <w:highlight w:val="none"/>
          <w:lang w:eastAsia="zh-CN"/>
        </w:rPr>
        <w:t>标的清单</w:t>
      </w:r>
      <w:bookmarkEnd w:id="2"/>
    </w:p>
    <w:tbl>
      <w:tblPr>
        <w:tblStyle w:val="6"/>
        <w:tblW w:w="9364"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39"/>
        <w:gridCol w:w="4023"/>
        <w:gridCol w:w="720"/>
        <w:gridCol w:w="765"/>
        <w:gridCol w:w="3317"/>
      </w:tblGrid>
      <w:tr w14:paraId="6BD5A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539" w:type="dxa"/>
            <w:vAlign w:val="center"/>
          </w:tcPr>
          <w:p w14:paraId="71FED6E4">
            <w:pPr>
              <w:wordWrap w:val="0"/>
              <w:topLinePunct/>
              <w:jc w:val="center"/>
              <w:rPr>
                <w:rFonts w:asciiTheme="majorEastAsia" w:hAnsiTheme="majorEastAsia" w:eastAsiaTheme="majorEastAsia" w:cstheme="majorEastAsia"/>
                <w:b/>
                <w:bCs/>
                <w:color w:val="auto"/>
                <w:highlight w:val="none"/>
              </w:rPr>
            </w:pPr>
            <w:bookmarkStart w:id="3" w:name="_Hlk99191854"/>
            <w:r>
              <w:rPr>
                <w:rFonts w:hint="eastAsia" w:asciiTheme="majorEastAsia" w:hAnsiTheme="majorEastAsia" w:eastAsiaTheme="majorEastAsia" w:cstheme="majorEastAsia"/>
                <w:b/>
                <w:bCs/>
                <w:color w:val="auto"/>
                <w:highlight w:val="none"/>
              </w:rPr>
              <w:t>序号</w:t>
            </w:r>
          </w:p>
        </w:tc>
        <w:tc>
          <w:tcPr>
            <w:tcW w:w="4023" w:type="dxa"/>
            <w:vAlign w:val="center"/>
          </w:tcPr>
          <w:p w14:paraId="2200039A">
            <w:pPr>
              <w:wordWrap w:val="0"/>
              <w:topLinePunct/>
              <w:jc w:val="center"/>
              <w:rPr>
                <w:rFonts w:asciiTheme="majorEastAsia" w:hAnsiTheme="majorEastAsia" w:eastAsiaTheme="majorEastAsia" w:cstheme="majorEastAsia"/>
                <w:b/>
                <w:bCs/>
                <w:color w:val="auto"/>
                <w:highlight w:val="none"/>
                <w:lang w:eastAsia="zh-CN"/>
              </w:rPr>
            </w:pPr>
            <w:bookmarkStart w:id="4" w:name="_Toc4137"/>
            <w:r>
              <w:rPr>
                <w:rFonts w:hint="eastAsia"/>
                <w:b/>
                <w:bCs/>
                <w:color w:val="auto"/>
                <w:szCs w:val="24"/>
                <w:highlight w:val="none"/>
                <w:lang w:eastAsia="zh-CN"/>
              </w:rPr>
              <w:t>采购标的名称</w:t>
            </w:r>
            <w:bookmarkEnd w:id="4"/>
          </w:p>
        </w:tc>
        <w:tc>
          <w:tcPr>
            <w:tcW w:w="720" w:type="dxa"/>
            <w:vAlign w:val="center"/>
          </w:tcPr>
          <w:p w14:paraId="27F1F578">
            <w:pPr>
              <w:wordWrap w:val="0"/>
              <w:topLinePunct/>
              <w:jc w:val="center"/>
              <w:rPr>
                <w:rFonts w:asciiTheme="majorEastAsia" w:hAnsiTheme="majorEastAsia" w:eastAsiaTheme="majorEastAsia" w:cstheme="majorEastAsia"/>
                <w:b/>
                <w:bCs/>
                <w:color w:val="auto"/>
                <w:highlight w:val="none"/>
              </w:rPr>
            </w:pPr>
            <w:r>
              <w:rPr>
                <w:rFonts w:hint="eastAsia" w:asciiTheme="majorEastAsia" w:hAnsiTheme="majorEastAsia" w:eastAsiaTheme="majorEastAsia" w:cstheme="majorEastAsia"/>
                <w:b/>
                <w:bCs/>
                <w:color w:val="auto"/>
                <w:highlight w:val="none"/>
              </w:rPr>
              <w:t>数量</w:t>
            </w:r>
          </w:p>
        </w:tc>
        <w:tc>
          <w:tcPr>
            <w:tcW w:w="765" w:type="dxa"/>
            <w:vAlign w:val="center"/>
          </w:tcPr>
          <w:p w14:paraId="1C2AEAD4">
            <w:pPr>
              <w:wordWrap w:val="0"/>
              <w:topLinePunct/>
              <w:jc w:val="center"/>
              <w:rPr>
                <w:rFonts w:asciiTheme="majorEastAsia" w:hAnsiTheme="majorEastAsia" w:eastAsiaTheme="majorEastAsia" w:cstheme="majorEastAsia"/>
                <w:b/>
                <w:bCs/>
                <w:color w:val="auto"/>
                <w:highlight w:val="none"/>
              </w:rPr>
            </w:pPr>
            <w:r>
              <w:rPr>
                <w:rFonts w:hint="eastAsia" w:asciiTheme="majorEastAsia" w:hAnsiTheme="majorEastAsia" w:eastAsiaTheme="majorEastAsia" w:cstheme="majorEastAsia"/>
                <w:b/>
                <w:bCs/>
                <w:color w:val="auto"/>
                <w:highlight w:val="none"/>
              </w:rPr>
              <w:t>单位</w:t>
            </w:r>
          </w:p>
        </w:tc>
        <w:tc>
          <w:tcPr>
            <w:tcW w:w="3317" w:type="dxa"/>
            <w:vAlign w:val="center"/>
          </w:tcPr>
          <w:p w14:paraId="62E651DB">
            <w:pPr>
              <w:wordWrap w:val="0"/>
              <w:topLinePunct/>
              <w:jc w:val="center"/>
              <w:rPr>
                <w:rFonts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采购标的对应的</w:t>
            </w:r>
          </w:p>
          <w:p w14:paraId="1F953F65">
            <w:pPr>
              <w:wordWrap w:val="0"/>
              <w:topLinePunct/>
              <w:jc w:val="center"/>
              <w:rPr>
                <w:rFonts w:asciiTheme="majorEastAsia" w:hAnsiTheme="majorEastAsia" w:eastAsiaTheme="majorEastAsia" w:cstheme="majorEastAsia"/>
                <w:b/>
                <w:bCs/>
                <w:color w:val="auto"/>
                <w:highlight w:val="none"/>
                <w:lang w:eastAsia="zh-CN"/>
              </w:rPr>
            </w:pPr>
            <w:r>
              <w:rPr>
                <w:rFonts w:hint="eastAsia" w:asciiTheme="majorEastAsia" w:hAnsiTheme="majorEastAsia" w:eastAsiaTheme="majorEastAsia" w:cstheme="majorEastAsia"/>
                <w:b/>
                <w:bCs/>
                <w:color w:val="auto"/>
                <w:highlight w:val="none"/>
                <w:lang w:eastAsia="zh-CN"/>
              </w:rPr>
              <w:t>中小企业划分标准所属行业</w:t>
            </w:r>
          </w:p>
        </w:tc>
      </w:tr>
      <w:tr w14:paraId="4B778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c>
          <w:tcPr>
            <w:tcW w:w="539" w:type="dxa"/>
            <w:vAlign w:val="center"/>
          </w:tcPr>
          <w:p w14:paraId="6BA5511B">
            <w:pPr>
              <w:wordWrap w:val="0"/>
              <w:topLinePunct/>
              <w:jc w:val="center"/>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1</w:t>
            </w:r>
          </w:p>
        </w:tc>
        <w:tc>
          <w:tcPr>
            <w:tcW w:w="4023" w:type="dxa"/>
            <w:vAlign w:val="center"/>
          </w:tcPr>
          <w:p w14:paraId="2B861CDD">
            <w:pPr>
              <w:wordWrap w:val="0"/>
              <w:topLinePunct/>
              <w:jc w:val="center"/>
              <w:rPr>
                <w:rFonts w:hint="eastAsia"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lang w:eastAsia="zh-CN"/>
              </w:rPr>
              <w:t>赣南师范大学蓉江校区南苑及西苑学生公寓2026届毕业生寝室内墙粉刷工程项目</w:t>
            </w:r>
          </w:p>
        </w:tc>
        <w:tc>
          <w:tcPr>
            <w:tcW w:w="720" w:type="dxa"/>
            <w:vAlign w:val="center"/>
          </w:tcPr>
          <w:p w14:paraId="1AC82B90">
            <w:pPr>
              <w:wordWrap w:val="0"/>
              <w:topLinePunct/>
              <w:jc w:val="center"/>
              <w:rPr>
                <w:rFonts w:hint="eastAsia"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highlight w:val="none"/>
                <w:lang w:val="en-US" w:eastAsia="zh-CN"/>
              </w:rPr>
              <w:t>1</w:t>
            </w:r>
          </w:p>
        </w:tc>
        <w:tc>
          <w:tcPr>
            <w:tcW w:w="765" w:type="dxa"/>
            <w:vAlign w:val="center"/>
          </w:tcPr>
          <w:p w14:paraId="167C7149">
            <w:pPr>
              <w:wordWrap w:val="0"/>
              <w:topLinePunct/>
              <w:jc w:val="center"/>
              <w:rPr>
                <w:rFonts w:hint="eastAsia" w:asciiTheme="majorEastAsia" w:hAnsiTheme="majorEastAsia" w:eastAsiaTheme="majorEastAsia" w:cstheme="majorEastAsia"/>
                <w:color w:val="auto"/>
                <w:highlight w:val="none"/>
                <w:lang w:val="en-US" w:eastAsia="zh-CN"/>
              </w:rPr>
            </w:pPr>
            <w:r>
              <w:rPr>
                <w:rFonts w:hint="eastAsia" w:asciiTheme="majorEastAsia" w:hAnsiTheme="majorEastAsia" w:eastAsiaTheme="majorEastAsia" w:cstheme="majorEastAsia"/>
                <w:color w:val="auto"/>
                <w:highlight w:val="none"/>
                <w:lang w:val="en-US" w:eastAsia="zh-CN"/>
              </w:rPr>
              <w:t>项</w:t>
            </w:r>
          </w:p>
        </w:tc>
        <w:tc>
          <w:tcPr>
            <w:tcW w:w="3317" w:type="dxa"/>
            <w:vAlign w:val="center"/>
          </w:tcPr>
          <w:p w14:paraId="37F658F4">
            <w:pPr>
              <w:wordWrap w:val="0"/>
              <w:topLinePunct/>
              <w:jc w:val="center"/>
              <w:rPr>
                <w:rFonts w:hint="eastAsia"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建筑业</w:t>
            </w:r>
          </w:p>
        </w:tc>
      </w:tr>
    </w:tbl>
    <w:p w14:paraId="1673DCFB">
      <w:pPr>
        <w:widowControl w:val="0"/>
        <w:kinsoku/>
        <w:autoSpaceDE/>
        <w:autoSpaceDN/>
        <w:adjustRightInd/>
        <w:snapToGrid/>
        <w:jc w:val="both"/>
        <w:textAlignment w:val="auto"/>
        <w:rPr>
          <w:rFonts w:cs="Times New Roman"/>
          <w:b/>
          <w:snapToGrid/>
          <w:color w:val="auto"/>
          <w:kern w:val="2"/>
          <w:highlight w:val="none"/>
          <w:lang w:eastAsia="zh-CN"/>
        </w:rPr>
      </w:pPr>
    </w:p>
    <w:bookmarkEnd w:id="3"/>
    <w:p w14:paraId="04B12FAD">
      <w:pPr>
        <w:bidi w:val="0"/>
        <w:rPr>
          <w:rFonts w:hint="eastAsia"/>
          <w:color w:val="auto"/>
          <w:highlight w:val="none"/>
          <w:lang w:val="en-US" w:eastAsia="zh-CN"/>
        </w:rPr>
      </w:pPr>
    </w:p>
    <w:p w14:paraId="2907FFC3">
      <w:pPr>
        <w:pStyle w:val="2"/>
        <w:jc w:val="center"/>
        <w:rPr>
          <w:color w:val="auto"/>
          <w:highlight w:val="none"/>
          <w:lang w:eastAsia="zh-CN"/>
        </w:rPr>
      </w:pPr>
      <w:bookmarkStart w:id="5" w:name="_Toc810"/>
      <w:r>
        <w:rPr>
          <w:rFonts w:hint="eastAsia"/>
          <w:color w:val="auto"/>
          <w:highlight w:val="none"/>
          <w:lang w:val="en-US" w:eastAsia="zh-CN"/>
        </w:rPr>
        <w:t>第二节</w:t>
      </w:r>
      <w:r>
        <w:rPr>
          <w:rFonts w:hint="eastAsia"/>
          <w:color w:val="auto"/>
          <w:highlight w:val="none"/>
          <w:lang w:eastAsia="zh-CN"/>
        </w:rPr>
        <w:t>、技术要求</w:t>
      </w:r>
      <w:bookmarkEnd w:id="5"/>
    </w:p>
    <w:p w14:paraId="4A38D331">
      <w:pPr>
        <w:keepNext w:val="0"/>
        <w:keepLines w:val="0"/>
        <w:pageBreakBefore w:val="0"/>
        <w:widowControl w:val="0"/>
        <w:kinsoku/>
        <w:wordWrap/>
        <w:overflowPunct/>
        <w:topLinePunct w:val="0"/>
        <w:autoSpaceDE/>
        <w:autoSpaceDN/>
        <w:bidi w:val="0"/>
        <w:adjustRightInd/>
        <w:snapToGrid/>
        <w:spacing w:line="480" w:lineRule="exact"/>
        <w:ind w:right="-60" w:rightChars="-25" w:firstLine="482" w:firstLineChars="20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一、工程概况：</w:t>
      </w:r>
    </w:p>
    <w:p w14:paraId="2BD0419E">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本工程为蓉江校区南苑及西苑学生公寓2026届毕业生寝室内墙粉刷工程，包含墙面、天棚翻新等工程内容。</w:t>
      </w:r>
    </w:p>
    <w:p w14:paraId="59A2EE7D">
      <w:pPr>
        <w:keepNext w:val="0"/>
        <w:keepLines w:val="0"/>
        <w:pageBreakBefore w:val="0"/>
        <w:widowControl w:val="0"/>
        <w:kinsoku/>
        <w:wordWrap/>
        <w:overflowPunct/>
        <w:topLinePunct w:val="0"/>
        <w:autoSpaceDE/>
        <w:autoSpaceDN/>
        <w:bidi w:val="0"/>
        <w:adjustRightInd/>
        <w:snapToGrid/>
        <w:spacing w:line="480" w:lineRule="exact"/>
        <w:ind w:right="-60" w:rightChars="-25" w:firstLine="482" w:firstLineChars="20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二、编制范围及内容：</w:t>
      </w:r>
    </w:p>
    <w:p w14:paraId="73A2B114">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蓉江校区南苑及西苑学生公寓2026届毕业生寝室内墙粉刷工程。房间号详见</w:t>
      </w:r>
      <w:r>
        <w:rPr>
          <w:rFonts w:hint="eastAsia" w:cs="宋体"/>
          <w:color w:val="auto"/>
          <w:sz w:val="24"/>
          <w:szCs w:val="24"/>
          <w:highlight w:val="none"/>
          <w:lang w:val="en-US" w:eastAsia="zh-CN"/>
        </w:rPr>
        <w:t>《</w:t>
      </w:r>
      <w:r>
        <w:rPr>
          <w:rFonts w:hint="eastAsia" w:ascii="宋体" w:hAnsi="宋体" w:eastAsia="宋体" w:cs="宋体"/>
          <w:color w:val="auto"/>
          <w:sz w:val="24"/>
          <w:szCs w:val="24"/>
          <w:highlight w:val="none"/>
          <w:lang w:val="en-US" w:eastAsia="zh-CN"/>
        </w:rPr>
        <w:t>2026南苑、西苑需要粉刷的寝室数量汇总表</w:t>
      </w:r>
      <w:r>
        <w:rPr>
          <w:rFonts w:hint="eastAsia" w:cs="宋体"/>
          <w:color w:val="auto"/>
          <w:sz w:val="24"/>
          <w:szCs w:val="24"/>
          <w:highlight w:val="none"/>
          <w:lang w:val="en-US" w:eastAsia="zh-CN"/>
        </w:rPr>
        <w:t>》</w:t>
      </w:r>
      <w:r>
        <w:rPr>
          <w:rFonts w:hint="eastAsia" w:cs="Times New Roman"/>
          <w:b/>
          <w:snapToGrid/>
          <w:color w:val="auto"/>
          <w:kern w:val="2"/>
          <w:highlight w:val="none"/>
          <w:lang w:val="en-US" w:eastAsia="zh-CN"/>
        </w:rPr>
        <w:t>以附件形式上传（详见附件）</w:t>
      </w:r>
      <w:r>
        <w:rPr>
          <w:rFonts w:hint="eastAsia" w:ascii="宋体" w:hAnsi="宋体" w:eastAsia="宋体" w:cs="宋体"/>
          <w:color w:val="auto"/>
          <w:sz w:val="24"/>
          <w:szCs w:val="24"/>
          <w:highlight w:val="none"/>
          <w:lang w:val="en-US" w:eastAsia="zh-CN"/>
        </w:rPr>
        <w:t>。</w:t>
      </w:r>
    </w:p>
    <w:p w14:paraId="29F37666">
      <w:pPr>
        <w:keepNext w:val="0"/>
        <w:keepLines w:val="0"/>
        <w:pageBreakBefore w:val="0"/>
        <w:widowControl w:val="0"/>
        <w:kinsoku/>
        <w:wordWrap/>
        <w:overflowPunct/>
        <w:topLinePunct w:val="0"/>
        <w:autoSpaceDE/>
        <w:autoSpaceDN/>
        <w:bidi w:val="0"/>
        <w:adjustRightInd/>
        <w:snapToGrid/>
        <w:spacing w:line="480" w:lineRule="exact"/>
        <w:ind w:right="761" w:rightChars="317" w:firstLine="482" w:firstLineChars="200"/>
        <w:jc w:val="left"/>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三、编制依据：</w:t>
      </w:r>
    </w:p>
    <w:p w14:paraId="38452FBF">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r>
        <w:rPr>
          <w:rFonts w:hint="eastAsia" w:cs="宋体"/>
          <w:color w:val="auto"/>
          <w:sz w:val="24"/>
          <w:szCs w:val="24"/>
          <w:highlight w:val="none"/>
          <w:lang w:val="en-US" w:eastAsia="zh-CN"/>
        </w:rPr>
        <w:t>.</w:t>
      </w:r>
      <w:r>
        <w:rPr>
          <w:rFonts w:hint="eastAsia" w:ascii="宋体" w:hAnsi="宋体" w:eastAsia="宋体" w:cs="宋体"/>
          <w:color w:val="auto"/>
          <w:sz w:val="24"/>
          <w:szCs w:val="24"/>
          <w:highlight w:val="none"/>
          <w:lang w:val="en-US" w:eastAsia="zh-CN"/>
        </w:rPr>
        <w:t>业主提供的工作内容；</w:t>
      </w:r>
    </w:p>
    <w:p w14:paraId="74CF96F6">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w:t>
      </w:r>
      <w:r>
        <w:rPr>
          <w:rFonts w:hint="eastAsia" w:cs="宋体"/>
          <w:color w:val="auto"/>
          <w:sz w:val="24"/>
          <w:szCs w:val="24"/>
          <w:highlight w:val="none"/>
          <w:lang w:val="en-US" w:eastAsia="zh-CN"/>
        </w:rPr>
        <w:t>.</w:t>
      </w:r>
      <w:r>
        <w:rPr>
          <w:rFonts w:hint="eastAsia" w:ascii="宋体" w:hAnsi="宋体" w:eastAsia="宋体" w:cs="宋体"/>
          <w:color w:val="auto"/>
          <w:sz w:val="24"/>
          <w:szCs w:val="24"/>
          <w:highlight w:val="none"/>
          <w:lang w:val="en-US" w:eastAsia="zh-CN"/>
        </w:rPr>
        <w:t>《建设工程工程量清单计价标准》（</w:t>
      </w:r>
      <w:r>
        <w:rPr>
          <w:rFonts w:hint="default" w:ascii="宋体" w:hAnsi="宋体" w:eastAsia="宋体" w:cs="宋体"/>
          <w:color w:val="auto"/>
          <w:sz w:val="24"/>
          <w:szCs w:val="24"/>
          <w:highlight w:val="none"/>
          <w:lang w:val="en-US" w:eastAsia="zh-CN"/>
        </w:rPr>
        <w:t>GB/T 50500-2024）和《房屋建筑与装饰工程工程量计算标准》（GB/T 50854-2024）、《通用安装工程工程量计算标准》（GB/T 50856-2024）</w:t>
      </w:r>
      <w:r>
        <w:rPr>
          <w:rFonts w:hint="eastAsia" w:ascii="宋体" w:hAnsi="宋体" w:eastAsia="宋体" w:cs="宋体"/>
          <w:color w:val="auto"/>
          <w:sz w:val="24"/>
          <w:szCs w:val="24"/>
          <w:highlight w:val="none"/>
          <w:lang w:val="en-US" w:eastAsia="zh-CN"/>
        </w:rPr>
        <w:t>、《江西省房屋建筑与装饰工程消耗量定额及统一基价表》（2017版）、《江西省通用安装工程消耗量定额及统一基价表》（2017版）、《江西省市政工程消耗量定额及统一基价表》(2017版)；</w:t>
      </w:r>
    </w:p>
    <w:p w14:paraId="716FA0C5">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w:t>
      </w:r>
      <w:r>
        <w:rPr>
          <w:rFonts w:hint="eastAsia" w:cs="宋体"/>
          <w:color w:val="auto"/>
          <w:sz w:val="24"/>
          <w:szCs w:val="24"/>
          <w:highlight w:val="none"/>
          <w:lang w:val="en-US" w:eastAsia="zh-CN"/>
        </w:rPr>
        <w:t>.</w:t>
      </w:r>
      <w:r>
        <w:rPr>
          <w:rFonts w:hint="eastAsia" w:ascii="宋体" w:hAnsi="宋体" w:eastAsia="宋体" w:cs="宋体"/>
          <w:color w:val="auto"/>
          <w:sz w:val="24"/>
          <w:szCs w:val="24"/>
          <w:highlight w:val="none"/>
          <w:lang w:val="en-US" w:eastAsia="zh-CN"/>
        </w:rPr>
        <w:t>根据《重新调整江西省建设工程计价依据增值税率的通知》（赣建价〔2019〕1号）的文件内容进行税率的调整，本工程增值税税率为9%；</w:t>
      </w:r>
    </w:p>
    <w:p w14:paraId="427B2497">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4</w:t>
      </w:r>
      <w:r>
        <w:rPr>
          <w:rFonts w:hint="eastAsia" w:cs="宋体"/>
          <w:color w:val="auto"/>
          <w:sz w:val="24"/>
          <w:szCs w:val="24"/>
          <w:highlight w:val="none"/>
          <w:lang w:val="en-US" w:eastAsia="zh-CN"/>
        </w:rPr>
        <w:t>.</w:t>
      </w:r>
      <w:r>
        <w:rPr>
          <w:rFonts w:hint="eastAsia" w:ascii="宋体" w:hAnsi="宋体" w:eastAsia="宋体" w:cs="宋体"/>
          <w:color w:val="auto"/>
          <w:sz w:val="24"/>
          <w:szCs w:val="24"/>
          <w:highlight w:val="none"/>
          <w:lang w:val="en-US" w:eastAsia="zh-CN"/>
        </w:rPr>
        <w:t>建筑安装工程各专业人工价格参照《建筑安装工程费用标准》中人工单价、人工价格指数表。</w:t>
      </w:r>
    </w:p>
    <w:p w14:paraId="2E86B2AB">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5</w:t>
      </w:r>
      <w:r>
        <w:rPr>
          <w:rFonts w:hint="eastAsia" w:cs="宋体"/>
          <w:color w:val="auto"/>
          <w:sz w:val="24"/>
          <w:szCs w:val="24"/>
          <w:highlight w:val="none"/>
          <w:lang w:val="en-US" w:eastAsia="zh-CN"/>
        </w:rPr>
        <w:t>.</w:t>
      </w:r>
      <w:r>
        <w:rPr>
          <w:rFonts w:hint="eastAsia" w:ascii="宋体" w:hAnsi="宋体" w:eastAsia="宋体" w:cs="宋体"/>
          <w:color w:val="auto"/>
          <w:sz w:val="24"/>
          <w:szCs w:val="24"/>
          <w:highlight w:val="none"/>
          <w:lang w:val="en-US" w:eastAsia="zh-CN"/>
        </w:rPr>
        <w:t>根据《关于限期禁止在城市城区搅拌混凝土的通知》（商改发〔2003〕341号），混凝土均采用商品混凝土；</w:t>
      </w:r>
    </w:p>
    <w:p w14:paraId="55F2C6E7">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color w:val="auto"/>
          <w:sz w:val="24"/>
          <w:szCs w:val="24"/>
          <w:highlight w:val="none"/>
          <w:lang w:val="en-US" w:eastAsia="zh-CN"/>
        </w:rPr>
        <w:t>6</w:t>
      </w:r>
      <w:r>
        <w:rPr>
          <w:rFonts w:hint="eastAsia" w:cs="宋体"/>
          <w:color w:val="auto"/>
          <w:sz w:val="24"/>
          <w:szCs w:val="24"/>
          <w:highlight w:val="none"/>
          <w:lang w:val="en-US" w:eastAsia="zh-CN"/>
        </w:rPr>
        <w:t>.</w:t>
      </w:r>
      <w:r>
        <w:rPr>
          <w:rFonts w:hint="eastAsia" w:ascii="宋体" w:hAnsi="宋体" w:eastAsia="宋体" w:cs="宋体"/>
          <w:color w:val="auto"/>
          <w:sz w:val="24"/>
          <w:szCs w:val="24"/>
          <w:highlight w:val="none"/>
          <w:lang w:val="en-US" w:eastAsia="zh-CN"/>
        </w:rPr>
        <w:t>主材价格按2026年3月份赣州市造价信息调整，赣州市造价信息中未有材料价格参照江西省专业测定价结合市场价调整。</w:t>
      </w:r>
    </w:p>
    <w:p w14:paraId="3CBF898A">
      <w:pPr>
        <w:keepNext w:val="0"/>
        <w:keepLines w:val="0"/>
        <w:pageBreakBefore w:val="0"/>
        <w:widowControl w:val="0"/>
        <w:kinsoku/>
        <w:wordWrap/>
        <w:overflowPunct/>
        <w:topLinePunct w:val="0"/>
        <w:autoSpaceDE/>
        <w:autoSpaceDN/>
        <w:bidi w:val="0"/>
        <w:adjustRightInd/>
        <w:snapToGrid/>
        <w:spacing w:line="480" w:lineRule="exact"/>
        <w:ind w:right="-60" w:rightChars="-25" w:firstLine="482" w:firstLineChars="20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四、工程质量、材料、施工等的特殊要求：</w:t>
      </w:r>
    </w:p>
    <w:p w14:paraId="1F74BF71">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（一）工程质量等级达到国家施工验收合格标准；</w:t>
      </w:r>
    </w:p>
    <w:p w14:paraId="09A46C55">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（二）主要材料价格：</w:t>
      </w: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8"/>
        <w:gridCol w:w="1217"/>
        <w:gridCol w:w="887"/>
        <w:gridCol w:w="1146"/>
        <w:gridCol w:w="4634"/>
      </w:tblGrid>
      <w:tr w14:paraId="540DD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74" w:type="pct"/>
            <w:tcBorders>
              <w:top w:val="single" w:color="000000" w:sz="4" w:space="0"/>
              <w:left w:val="single" w:color="000000" w:sz="4" w:space="0"/>
              <w:bottom w:val="single" w:color="000000" w:sz="4" w:space="0"/>
              <w:right w:val="single" w:color="000000" w:sz="4" w:space="0"/>
            </w:tcBorders>
            <w:noWrap w:val="0"/>
            <w:vAlign w:val="center"/>
          </w:tcPr>
          <w:p w14:paraId="34465F8D">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序号</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14:paraId="39DB5480">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材料名称</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14:paraId="7E2A9C4D">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单位</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2C710A1F">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业主定价(元)</w:t>
            </w:r>
          </w:p>
        </w:tc>
        <w:tc>
          <w:tcPr>
            <w:tcW w:w="2718" w:type="pct"/>
            <w:tcBorders>
              <w:top w:val="single" w:color="000000" w:sz="4" w:space="0"/>
              <w:left w:val="single" w:color="000000" w:sz="4" w:space="0"/>
              <w:bottom w:val="single" w:color="000000" w:sz="4" w:space="0"/>
              <w:right w:val="single" w:color="000000" w:sz="4" w:space="0"/>
            </w:tcBorders>
            <w:noWrap w:val="0"/>
            <w:vAlign w:val="center"/>
          </w:tcPr>
          <w:p w14:paraId="5E20C31C">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备注</w:t>
            </w:r>
          </w:p>
        </w:tc>
      </w:tr>
      <w:tr w14:paraId="21F91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90" w:hRule="atLeast"/>
        </w:trPr>
        <w:tc>
          <w:tcPr>
            <w:tcW w:w="374" w:type="pct"/>
            <w:tcBorders>
              <w:top w:val="single" w:color="000000" w:sz="4" w:space="0"/>
              <w:left w:val="single" w:color="000000" w:sz="4" w:space="0"/>
              <w:bottom w:val="single" w:color="000000" w:sz="4" w:space="0"/>
              <w:right w:val="single" w:color="000000" w:sz="4" w:space="0"/>
            </w:tcBorders>
            <w:noWrap/>
            <w:vAlign w:val="center"/>
          </w:tcPr>
          <w:p w14:paraId="4E09A306">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p>
        </w:tc>
        <w:tc>
          <w:tcPr>
            <w:tcW w:w="714" w:type="pct"/>
            <w:tcBorders>
              <w:top w:val="single" w:color="000000" w:sz="4" w:space="0"/>
              <w:left w:val="single" w:color="000000" w:sz="4" w:space="0"/>
              <w:bottom w:val="single" w:color="000000" w:sz="4" w:space="0"/>
              <w:right w:val="single" w:color="000000" w:sz="4" w:space="0"/>
            </w:tcBorders>
            <w:noWrap w:val="0"/>
            <w:vAlign w:val="center"/>
          </w:tcPr>
          <w:p w14:paraId="1ABA45E3">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乳胶漆</w:t>
            </w:r>
          </w:p>
        </w:tc>
        <w:tc>
          <w:tcPr>
            <w:tcW w:w="520" w:type="pct"/>
            <w:tcBorders>
              <w:top w:val="single" w:color="000000" w:sz="4" w:space="0"/>
              <w:left w:val="single" w:color="000000" w:sz="4" w:space="0"/>
              <w:bottom w:val="single" w:color="000000" w:sz="4" w:space="0"/>
              <w:right w:val="single" w:color="000000" w:sz="4" w:space="0"/>
            </w:tcBorders>
            <w:noWrap w:val="0"/>
            <w:vAlign w:val="center"/>
          </w:tcPr>
          <w:p w14:paraId="7B75D5B0">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kg</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0EEBA7C">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信息价</w:t>
            </w:r>
          </w:p>
        </w:tc>
        <w:tc>
          <w:tcPr>
            <w:tcW w:w="2718" w:type="pct"/>
            <w:tcBorders>
              <w:top w:val="single" w:color="000000" w:sz="4" w:space="0"/>
              <w:left w:val="single" w:color="000000" w:sz="4" w:space="0"/>
              <w:bottom w:val="single" w:color="000000" w:sz="4" w:space="0"/>
              <w:right w:val="single" w:color="000000" w:sz="4" w:space="0"/>
            </w:tcBorders>
            <w:noWrap/>
            <w:vAlign w:val="bottom"/>
          </w:tcPr>
          <w:p w14:paraId="1BCE9584">
            <w:pPr>
              <w:keepNext w:val="0"/>
              <w:keepLines w:val="0"/>
              <w:pageBreakBefore w:val="0"/>
              <w:widowControl w:val="0"/>
              <w:kinsoku/>
              <w:wordWrap/>
              <w:overflowPunct/>
              <w:topLinePunct w:val="0"/>
              <w:autoSpaceDE/>
              <w:autoSpaceDN/>
              <w:bidi w:val="0"/>
              <w:adjustRightInd/>
              <w:snapToGrid/>
              <w:spacing w:line="480" w:lineRule="exact"/>
              <w:ind w:right="-60" w:rightChars="-25"/>
              <w:jc w:val="center"/>
              <w:textAlignment w:val="auto"/>
              <w:rPr>
                <w:rFonts w:hint="eastAsia" w:ascii="宋体" w:hAnsi="宋体" w:eastAsia="宋体" w:cs="宋体"/>
                <w:color w:val="auto"/>
                <w:sz w:val="24"/>
                <w:szCs w:val="24"/>
                <w:highlight w:val="none"/>
                <w:lang w:val="en-US" w:eastAsia="zh-CN"/>
              </w:rPr>
            </w:pPr>
            <w:r>
              <w:rPr>
                <w:rFonts w:hint="eastAsia"/>
                <w:color w:val="auto"/>
                <w:highlight w:val="none"/>
                <w:lang w:val="en-US" w:eastAsia="zh-CN"/>
              </w:rPr>
              <w:t>工程量清单</w:t>
            </w:r>
            <w:r>
              <w:rPr>
                <w:rFonts w:hint="eastAsia" w:cs="宋体"/>
                <w:color w:val="auto"/>
                <w:sz w:val="24"/>
                <w:szCs w:val="24"/>
                <w:highlight w:val="none"/>
                <w:lang w:val="en-US" w:eastAsia="zh-CN"/>
              </w:rPr>
              <w:t>中材料价格参照以下品牌计价：多乐士、三棵树、华润、立邦、嘉宝莉(环保型)</w:t>
            </w:r>
          </w:p>
        </w:tc>
      </w:tr>
    </w:tbl>
    <w:p w14:paraId="71479BC4">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材料质量的约定：用于本工程的主要材料品质不得低于磋商文件及设计规定质量等级要求，材料采购进场前，成交供应商须提前提供样品，采购人参考材料的预算价选择符合本工程要求的材料。若成交供应商未按此约定采购材料，将视为违约，所造成的损失由成交供应商承担；</w:t>
      </w:r>
    </w:p>
    <w:p w14:paraId="3DA65BF2">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（三）本工程清单中所有已标明厚度的材料只允许正偏差，不允许负偏差；</w:t>
      </w:r>
    </w:p>
    <w:p w14:paraId="7B79B9CF">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（四）其余未约定质量的材料均按优质进行采购；</w:t>
      </w:r>
    </w:p>
    <w:p w14:paraId="057057A3">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（五）施工严格按设计方案要求及施工规范施工，确保工程质量、安全施工及按期竣工验收。</w:t>
      </w:r>
    </w:p>
    <w:p w14:paraId="2EBB223A">
      <w:pPr>
        <w:keepNext w:val="0"/>
        <w:keepLines w:val="0"/>
        <w:pageBreakBefore w:val="0"/>
        <w:widowControl w:val="0"/>
        <w:kinsoku/>
        <w:wordWrap/>
        <w:overflowPunct/>
        <w:topLinePunct w:val="0"/>
        <w:autoSpaceDE/>
        <w:autoSpaceDN/>
        <w:bidi w:val="0"/>
        <w:adjustRightInd/>
        <w:snapToGrid/>
        <w:spacing w:line="480" w:lineRule="exact"/>
        <w:ind w:right="-60" w:rightChars="-25" w:firstLine="482" w:firstLineChars="20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五、施工工作内容：</w:t>
      </w:r>
    </w:p>
    <w:p w14:paraId="51AE276A">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default" w:ascii="宋体" w:hAnsi="宋体" w:eastAsia="宋体" w:cs="宋体"/>
          <w:color w:val="auto"/>
          <w:sz w:val="24"/>
          <w:szCs w:val="24"/>
          <w:highlight w:val="none"/>
          <w:lang w:val="en-US" w:eastAsia="zh-CN"/>
        </w:rPr>
      </w:pPr>
      <w:bookmarkStart w:id="6" w:name="OLE_LINK1"/>
      <w:r>
        <w:rPr>
          <w:rFonts w:hint="eastAsia" w:ascii="宋体" w:hAnsi="宋体" w:eastAsia="宋体" w:cs="宋体"/>
          <w:color w:val="auto"/>
          <w:sz w:val="24"/>
          <w:szCs w:val="24"/>
          <w:highlight w:val="none"/>
          <w:lang w:val="en-US" w:eastAsia="zh-CN"/>
        </w:rPr>
        <w:t>(一)南苑、西苑寝室翻新（南苑279间、西苑448间）</w:t>
      </w:r>
    </w:p>
    <w:p w14:paraId="047F478F">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内墙面清理后刷白色乳胶漆一底一面，天棚清理后刷白色乳胶漆一底一面；</w:t>
      </w:r>
    </w:p>
    <w:p w14:paraId="3717AAEC">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（二）南苑2、5、6栋、西苑10~15栋所有楼层门厅、走廊楼梯间翻新</w:t>
      </w:r>
    </w:p>
    <w:p w14:paraId="141DC3B9">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color w:val="auto"/>
          <w:highlight w:val="none"/>
          <w:lang w:val="en-US" w:eastAsia="zh-CN"/>
        </w:rPr>
      </w:pPr>
      <w:r>
        <w:rPr>
          <w:rFonts w:hint="eastAsia" w:ascii="宋体" w:hAnsi="宋体" w:eastAsia="宋体" w:cs="宋体"/>
          <w:color w:val="auto"/>
          <w:sz w:val="24"/>
          <w:szCs w:val="24"/>
          <w:highlight w:val="none"/>
          <w:lang w:val="en-US" w:eastAsia="zh-CN"/>
        </w:rPr>
        <w:t>门厅及2个楼梯间内墙面清理后刷白色乳胶漆一底一面，天棚清理后刷</w:t>
      </w:r>
      <w:bookmarkStart w:id="7" w:name="OLE_LINK3"/>
      <w:r>
        <w:rPr>
          <w:rFonts w:hint="eastAsia" w:ascii="宋体" w:hAnsi="宋体" w:eastAsia="宋体" w:cs="宋体"/>
          <w:color w:val="auto"/>
          <w:sz w:val="24"/>
          <w:szCs w:val="24"/>
          <w:highlight w:val="none"/>
          <w:lang w:val="en-US" w:eastAsia="zh-CN"/>
        </w:rPr>
        <w:t>白</w:t>
      </w:r>
      <w:bookmarkEnd w:id="7"/>
      <w:r>
        <w:rPr>
          <w:rFonts w:hint="eastAsia" w:ascii="宋体" w:hAnsi="宋体" w:eastAsia="宋体" w:cs="宋体"/>
          <w:color w:val="auto"/>
          <w:sz w:val="24"/>
          <w:szCs w:val="24"/>
          <w:highlight w:val="none"/>
          <w:lang w:val="en-US" w:eastAsia="zh-CN"/>
        </w:rPr>
        <w:t>色乳胶漆一底一面；</w:t>
      </w:r>
    </w:p>
    <w:bookmarkEnd w:id="6"/>
    <w:p w14:paraId="3E070085">
      <w:pPr>
        <w:keepNext w:val="0"/>
        <w:keepLines w:val="0"/>
        <w:pageBreakBefore w:val="0"/>
        <w:widowControl w:val="0"/>
        <w:kinsoku/>
        <w:wordWrap/>
        <w:overflowPunct/>
        <w:topLinePunct w:val="0"/>
        <w:autoSpaceDE/>
        <w:autoSpaceDN/>
        <w:bidi w:val="0"/>
        <w:adjustRightInd/>
        <w:snapToGrid/>
        <w:spacing w:line="480" w:lineRule="exact"/>
        <w:ind w:right="-60" w:rightChars="-25" w:firstLine="482" w:firstLineChars="20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六、其他说明：</w:t>
      </w:r>
    </w:p>
    <w:p w14:paraId="4482B3ED">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（一）清单的综合单价内容为《建设工程工程量清单计价规范》（GB50500-2024）中所涵盖的工程内容、本清单描述的工程内容及本清单项目名称中所描述的增加内容及其他规范规程所要求的全部工作内容；</w:t>
      </w:r>
    </w:p>
    <w:p w14:paraId="73B7AD9F">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（二）本工程安全防护文明施工措施费用（包含文明施工费、环境保护费、安全施工费和临时设施费）按现行定额有关规定计取；</w:t>
      </w:r>
    </w:p>
    <w:p w14:paraId="4CA24913">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三）施工单位应熟悉施工图设计，并认真研究工程施工组织设计和工程实施方案，若施工中需要出具详细专项方案（如：高支模、大型混凝土浇捣等）进行施工的，施工单位应综合考虑专项方案的编制、专家论证及施工所需一切费用，实施时业主不再另行签证；</w:t>
      </w:r>
    </w:p>
    <w:p w14:paraId="26CAD804">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（四）施工单位必须完成本工程索引图集的工程量清单子项及图集所包括内容；</w:t>
      </w:r>
    </w:p>
    <w:p w14:paraId="0A7B31C0">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（五）供应商在报价时结合现场勘察情况，包含完成所有工序内容的全部费用，清单描述不能作为供应商漏项、漏序的借口；</w:t>
      </w:r>
    </w:p>
    <w:p w14:paraId="5D9686BB">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（六）供应商在作出报价承诺前应综合考虑清单规范规定的主要工作内容，而且还应考虑本清单项目描述的内容及其他规范规程所要求的全部工作内容。</w:t>
      </w:r>
    </w:p>
    <w:p w14:paraId="29C47784">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（七）凡本清单中涉及的所有材料，均以考虑到施工现场各工作面的二次搬运费，施工期间现场发生的二次搬运费一律不予签证计量；</w:t>
      </w:r>
    </w:p>
    <w:p w14:paraId="513CFDEA">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（八）本工程的检测试验费已计取，建筑材料及制品检测(常规检测)其自身原因造成的重新检查、检测、验收等引起的所有费用均由施工单位承担；</w:t>
      </w:r>
    </w:p>
    <w:p w14:paraId="3BD5AD26">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（九）建筑垃圾清理外运至校外，运距由供应商自行考虑；</w:t>
      </w:r>
    </w:p>
    <w:p w14:paraId="37F5A0AD">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（十）本工程暂列金额为：136400.00元（不含税）；</w:t>
      </w:r>
    </w:p>
    <w:p w14:paraId="4F081054">
      <w:pPr>
        <w:keepNext w:val="0"/>
        <w:keepLines w:val="0"/>
        <w:pageBreakBefore w:val="0"/>
        <w:widowControl w:val="0"/>
        <w:kinsoku/>
        <w:wordWrap/>
        <w:overflowPunct/>
        <w:topLinePunct w:val="0"/>
        <w:autoSpaceDE/>
        <w:autoSpaceDN/>
        <w:bidi w:val="0"/>
        <w:adjustRightInd/>
        <w:snapToGrid/>
        <w:spacing w:line="480" w:lineRule="exact"/>
        <w:ind w:right="-60" w:rightChars="-25" w:firstLine="480" w:firstLineChars="200"/>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（十一）未尽事宜以计价规范、工程量计算规范、计价管理办法、磋商文件以及有关的法律法规、建设行政主管部门颁发的文件为准。</w:t>
      </w:r>
    </w:p>
    <w:p w14:paraId="056E97C1">
      <w:pPr>
        <w:ind w:firstLine="482" w:firstLineChars="200"/>
        <w:rPr>
          <w:rFonts w:hint="default" w:cs="Times New Roman"/>
          <w:b/>
          <w:snapToGrid/>
          <w:color w:val="auto"/>
          <w:kern w:val="2"/>
          <w:highlight w:val="none"/>
          <w:lang w:val="en-US" w:eastAsia="zh-CN"/>
        </w:rPr>
      </w:pPr>
      <w:r>
        <w:rPr>
          <w:rFonts w:hint="eastAsia" w:cs="Times New Roman"/>
          <w:b/>
          <w:snapToGrid/>
          <w:color w:val="auto"/>
          <w:kern w:val="2"/>
          <w:highlight w:val="none"/>
          <w:lang w:val="en-US" w:eastAsia="zh-CN"/>
        </w:rPr>
        <w:t>（十二）工程量清单以附件形式上传（详见附件）。</w:t>
      </w:r>
    </w:p>
    <w:p w14:paraId="2E0AFADB">
      <w:pPr>
        <w:keepNext w:val="0"/>
        <w:keepLines w:val="0"/>
        <w:pageBreakBefore w:val="0"/>
        <w:widowControl w:val="0"/>
        <w:kinsoku/>
        <w:wordWrap/>
        <w:overflowPunct/>
        <w:topLinePunct w:val="0"/>
        <w:autoSpaceDE/>
        <w:autoSpaceDN/>
        <w:bidi w:val="0"/>
        <w:adjustRightInd/>
        <w:snapToGrid/>
        <w:spacing w:line="480" w:lineRule="exact"/>
        <w:ind w:right="-60" w:rightChars="-25" w:firstLine="482" w:firstLineChars="200"/>
        <w:jc w:val="left"/>
        <w:textAlignment w:val="auto"/>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七、其他要求：</w:t>
      </w:r>
    </w:p>
    <w:p w14:paraId="39112336">
      <w:pPr>
        <w:bidi w:val="0"/>
        <w:ind w:firstLine="480" w:firstLineChars="200"/>
        <w:rPr>
          <w:rFonts w:hint="eastAsia" w:ascii="宋体" w:hAnsi="宋体" w:eastAsia="宋体" w:cs="宋体"/>
          <w:bCs/>
          <w:color w:val="auto"/>
          <w:sz w:val="24"/>
          <w:szCs w:val="24"/>
          <w:highlight w:val="none"/>
          <w:lang w:val="en-US" w:eastAsia="zh-CN"/>
        </w:rPr>
      </w:pPr>
      <w:r>
        <w:rPr>
          <w:rFonts w:hint="eastAsia"/>
          <w:color w:val="auto"/>
          <w:highlight w:val="none"/>
          <w:lang w:val="en-US" w:eastAsia="zh-CN"/>
        </w:rPr>
        <w:t>1.供应商针对本项目拟派技术负责人1名</w:t>
      </w:r>
      <w:r>
        <w:rPr>
          <w:rFonts w:hint="eastAsia" w:ascii="宋体" w:hAnsi="宋体" w:eastAsia="宋体" w:cs="宋体"/>
          <w:bCs/>
          <w:color w:val="auto"/>
          <w:sz w:val="24"/>
          <w:szCs w:val="24"/>
          <w:highlight w:val="none"/>
          <w:lang w:val="en-US" w:eastAsia="zh-CN"/>
        </w:rPr>
        <w:t>。</w:t>
      </w:r>
    </w:p>
    <w:p w14:paraId="57B0BA9A">
      <w:pPr>
        <w:bidi w:val="0"/>
        <w:ind w:firstLine="480" w:firstLineChars="200"/>
        <w:rPr>
          <w:rFonts w:hint="default"/>
          <w:color w:val="auto"/>
          <w:highlight w:val="none"/>
          <w:lang w:val="en-US" w:eastAsia="zh-CN"/>
        </w:rPr>
      </w:pPr>
      <w:r>
        <w:rPr>
          <w:rFonts w:hint="eastAsia"/>
          <w:color w:val="auto"/>
          <w:highlight w:val="none"/>
          <w:lang w:val="en-US" w:eastAsia="zh-CN"/>
        </w:rPr>
        <w:t>2.供应商</w:t>
      </w:r>
      <w:r>
        <w:rPr>
          <w:rFonts w:hint="eastAsia" w:ascii="宋体" w:hAnsi="宋体" w:eastAsia="宋体" w:cs="宋体"/>
          <w:bCs/>
          <w:color w:val="auto"/>
          <w:sz w:val="24"/>
          <w:szCs w:val="24"/>
          <w:highlight w:val="none"/>
          <w:lang w:val="en-US" w:eastAsia="zh-CN"/>
        </w:rPr>
        <w:t>提供用于本项目的乳胶漆环保性能须满足GB 18582-2020《建筑用墙面涂料中有害物质限量》标准规定</w:t>
      </w:r>
      <w:r>
        <w:rPr>
          <w:rFonts w:hint="eastAsia" w:cs="宋体"/>
          <w:bCs/>
          <w:color w:val="auto"/>
          <w:sz w:val="24"/>
          <w:szCs w:val="24"/>
          <w:highlight w:val="none"/>
          <w:lang w:val="en-US" w:eastAsia="zh-CN"/>
        </w:rPr>
        <w:t>，</w:t>
      </w:r>
      <w:r>
        <w:rPr>
          <w:rFonts w:hint="eastAsia" w:ascii="宋体" w:hAnsi="宋体" w:eastAsia="宋体" w:cs="宋体"/>
          <w:bCs/>
          <w:color w:val="auto"/>
          <w:sz w:val="24"/>
          <w:szCs w:val="24"/>
          <w:highlight w:val="none"/>
          <w:lang w:val="en-US" w:eastAsia="zh-CN"/>
        </w:rPr>
        <w:t>挥发性有机化合物（VOC）</w:t>
      </w:r>
      <w:r>
        <w:rPr>
          <w:rFonts w:hint="eastAsia" w:cs="宋体"/>
          <w:bCs/>
          <w:color w:val="auto"/>
          <w:sz w:val="24"/>
          <w:szCs w:val="24"/>
          <w:highlight w:val="none"/>
          <w:lang w:val="en-US" w:eastAsia="zh-CN"/>
        </w:rPr>
        <w:t>含量</w:t>
      </w:r>
      <w:r>
        <w:rPr>
          <w:rFonts w:hint="eastAsia" w:ascii="宋体" w:hAnsi="宋体" w:eastAsia="宋体" w:cs="宋体"/>
          <w:bCs/>
          <w:color w:val="auto"/>
          <w:sz w:val="24"/>
          <w:szCs w:val="24"/>
          <w:highlight w:val="none"/>
          <w:lang w:val="en-US" w:eastAsia="zh-CN"/>
        </w:rPr>
        <w:t>≤</w:t>
      </w:r>
      <w:r>
        <w:rPr>
          <w:rFonts w:hint="eastAsia" w:cs="宋体"/>
          <w:bCs/>
          <w:color w:val="auto"/>
          <w:sz w:val="24"/>
          <w:szCs w:val="24"/>
          <w:highlight w:val="none"/>
          <w:lang w:val="en-US" w:eastAsia="zh-CN"/>
        </w:rPr>
        <w:t>8</w:t>
      </w:r>
      <w:r>
        <w:rPr>
          <w:rFonts w:hint="eastAsia" w:ascii="宋体" w:hAnsi="宋体" w:eastAsia="宋体" w:cs="宋体"/>
          <w:bCs/>
          <w:color w:val="auto"/>
          <w:sz w:val="24"/>
          <w:szCs w:val="24"/>
          <w:highlight w:val="none"/>
          <w:lang w:val="en-US" w:eastAsia="zh-CN"/>
        </w:rPr>
        <w:t>0g/L</w:t>
      </w:r>
      <w:r>
        <w:rPr>
          <w:rFonts w:hint="eastAsia" w:cs="宋体"/>
          <w:bCs/>
          <w:color w:val="auto"/>
          <w:sz w:val="24"/>
          <w:szCs w:val="24"/>
          <w:highlight w:val="none"/>
          <w:lang w:val="en-US" w:eastAsia="zh-CN"/>
        </w:rPr>
        <w:t>，</w:t>
      </w:r>
      <w:r>
        <w:rPr>
          <w:rFonts w:hint="eastAsia" w:ascii="宋体" w:hAnsi="宋体" w:eastAsia="宋体" w:cs="宋体"/>
          <w:bCs/>
          <w:color w:val="auto"/>
          <w:sz w:val="24"/>
          <w:szCs w:val="24"/>
          <w:highlight w:val="none"/>
          <w:lang w:val="en-US" w:eastAsia="zh-CN"/>
        </w:rPr>
        <w:t>甲醛含量≤</w:t>
      </w:r>
      <w:r>
        <w:rPr>
          <w:rFonts w:hint="eastAsia" w:cs="宋体"/>
          <w:bCs/>
          <w:color w:val="auto"/>
          <w:sz w:val="24"/>
          <w:szCs w:val="24"/>
          <w:highlight w:val="none"/>
          <w:lang w:val="en-US" w:eastAsia="zh-CN"/>
        </w:rPr>
        <w:t>50</w:t>
      </w:r>
      <w:r>
        <w:rPr>
          <w:rFonts w:hint="eastAsia" w:ascii="宋体" w:hAnsi="宋体" w:eastAsia="宋体" w:cs="宋体"/>
          <w:bCs/>
          <w:color w:val="auto"/>
          <w:sz w:val="24"/>
          <w:szCs w:val="24"/>
          <w:highlight w:val="none"/>
          <w:lang w:val="en-US" w:eastAsia="zh-CN"/>
        </w:rPr>
        <w:t>mg/kg</w:t>
      </w:r>
      <w:r>
        <w:rPr>
          <w:rFonts w:hint="eastAsia" w:cs="宋体"/>
          <w:bCs/>
          <w:color w:val="auto"/>
          <w:sz w:val="24"/>
          <w:szCs w:val="24"/>
          <w:highlight w:val="none"/>
          <w:lang w:val="en-US" w:eastAsia="zh-CN"/>
        </w:rPr>
        <w:t>，</w:t>
      </w:r>
      <w:r>
        <w:rPr>
          <w:rFonts w:hint="eastAsia" w:ascii="宋体" w:hAnsi="宋体" w:eastAsia="宋体" w:cs="宋体"/>
          <w:bCs/>
          <w:color w:val="auto"/>
          <w:sz w:val="24"/>
          <w:szCs w:val="24"/>
          <w:highlight w:val="none"/>
          <w:lang w:val="en-US" w:eastAsia="zh-CN"/>
        </w:rPr>
        <w:t>苯系物总和</w:t>
      </w:r>
      <w:r>
        <w:rPr>
          <w:rFonts w:hint="eastAsia" w:cs="宋体"/>
          <w:bCs/>
          <w:color w:val="auto"/>
          <w:sz w:val="24"/>
          <w:szCs w:val="24"/>
          <w:highlight w:val="none"/>
          <w:lang w:val="en-US" w:eastAsia="zh-CN"/>
        </w:rPr>
        <w:t>含量</w:t>
      </w:r>
      <w:r>
        <w:rPr>
          <w:rFonts w:hint="eastAsia" w:ascii="宋体" w:hAnsi="宋体" w:eastAsia="宋体" w:cs="宋体"/>
          <w:bCs/>
          <w:color w:val="auto"/>
          <w:sz w:val="24"/>
          <w:szCs w:val="24"/>
          <w:highlight w:val="none"/>
          <w:lang w:val="en-US" w:eastAsia="zh-CN"/>
        </w:rPr>
        <w:t>≤1</w:t>
      </w:r>
      <w:r>
        <w:rPr>
          <w:rFonts w:hint="eastAsia" w:cs="宋体"/>
          <w:bCs/>
          <w:color w:val="auto"/>
          <w:sz w:val="24"/>
          <w:szCs w:val="24"/>
          <w:highlight w:val="none"/>
          <w:lang w:val="en-US" w:eastAsia="zh-CN"/>
        </w:rPr>
        <w:t>0</w:t>
      </w:r>
      <w:r>
        <w:rPr>
          <w:rFonts w:hint="eastAsia" w:ascii="宋体" w:hAnsi="宋体" w:eastAsia="宋体" w:cs="宋体"/>
          <w:bCs/>
          <w:color w:val="auto"/>
          <w:sz w:val="24"/>
          <w:szCs w:val="24"/>
          <w:highlight w:val="none"/>
          <w:lang w:val="en-US" w:eastAsia="zh-CN"/>
        </w:rPr>
        <w:t>0mg/kg</w:t>
      </w:r>
      <w:r>
        <w:rPr>
          <w:rFonts w:hint="eastAsia" w:cs="宋体"/>
          <w:bCs/>
          <w:color w:val="auto"/>
          <w:sz w:val="24"/>
          <w:szCs w:val="24"/>
          <w:highlight w:val="none"/>
          <w:lang w:val="en-US" w:eastAsia="zh-CN"/>
        </w:rPr>
        <w:t>。</w:t>
      </w:r>
      <w:r>
        <w:rPr>
          <w:rFonts w:hint="eastAsia" w:cs="宋体"/>
          <w:b/>
          <w:bCs w:val="0"/>
          <w:color w:val="auto"/>
          <w:sz w:val="24"/>
          <w:szCs w:val="24"/>
          <w:highlight w:val="none"/>
          <w:lang w:val="en-US" w:eastAsia="zh-CN"/>
        </w:rPr>
        <w:t>（响应文件中提供第三方检测机构出具的材料检测报告扫描件加盖供应商公章佐证</w:t>
      </w:r>
      <w:r>
        <w:rPr>
          <w:rFonts w:hint="eastAsia" w:ascii="宋体" w:hAnsi="宋体" w:eastAsia="宋体" w:cs="宋体"/>
          <w:b/>
          <w:bCs w:val="0"/>
          <w:color w:val="auto"/>
          <w:sz w:val="24"/>
          <w:szCs w:val="24"/>
          <w:highlight w:val="none"/>
          <w:lang w:val="en-US" w:eastAsia="zh-CN"/>
        </w:rPr>
        <w:t>挥发性有机化合物（VOC）</w:t>
      </w:r>
      <w:r>
        <w:rPr>
          <w:rFonts w:hint="eastAsia" w:cs="宋体"/>
          <w:b/>
          <w:bCs w:val="0"/>
          <w:color w:val="auto"/>
          <w:sz w:val="24"/>
          <w:szCs w:val="24"/>
          <w:highlight w:val="none"/>
          <w:lang w:val="en-US" w:eastAsia="zh-CN"/>
        </w:rPr>
        <w:t>含量、</w:t>
      </w:r>
      <w:r>
        <w:rPr>
          <w:rFonts w:hint="eastAsia" w:ascii="宋体" w:hAnsi="宋体" w:eastAsia="宋体" w:cs="宋体"/>
          <w:b/>
          <w:bCs w:val="0"/>
          <w:color w:val="auto"/>
          <w:sz w:val="24"/>
          <w:szCs w:val="24"/>
          <w:highlight w:val="none"/>
          <w:lang w:val="en-US" w:eastAsia="zh-CN"/>
        </w:rPr>
        <w:t>甲醛含量</w:t>
      </w:r>
      <w:r>
        <w:rPr>
          <w:rFonts w:hint="eastAsia" w:cs="宋体"/>
          <w:b/>
          <w:bCs w:val="0"/>
          <w:color w:val="auto"/>
          <w:sz w:val="24"/>
          <w:szCs w:val="24"/>
          <w:highlight w:val="none"/>
          <w:lang w:val="en-US" w:eastAsia="zh-CN"/>
        </w:rPr>
        <w:t>、</w:t>
      </w:r>
      <w:r>
        <w:rPr>
          <w:rFonts w:hint="eastAsia" w:ascii="宋体" w:hAnsi="宋体" w:eastAsia="宋体" w:cs="宋体"/>
          <w:b/>
          <w:bCs w:val="0"/>
          <w:color w:val="auto"/>
          <w:sz w:val="24"/>
          <w:szCs w:val="24"/>
          <w:highlight w:val="none"/>
          <w:lang w:val="en-US" w:eastAsia="zh-CN"/>
        </w:rPr>
        <w:t>苯系物总和</w:t>
      </w:r>
      <w:r>
        <w:rPr>
          <w:rFonts w:hint="eastAsia" w:cs="宋体"/>
          <w:b/>
          <w:bCs w:val="0"/>
          <w:color w:val="auto"/>
          <w:sz w:val="24"/>
          <w:szCs w:val="24"/>
          <w:highlight w:val="none"/>
          <w:lang w:val="en-US" w:eastAsia="zh-CN"/>
        </w:rPr>
        <w:t>含量，不提供或提供不符合要求响应无效）</w:t>
      </w:r>
    </w:p>
    <w:p w14:paraId="01326206">
      <w:pPr>
        <w:rPr>
          <w:rFonts w:hint="eastAsia" w:cs="Times New Roman"/>
          <w:b/>
          <w:snapToGrid/>
          <w:color w:val="auto"/>
          <w:kern w:val="2"/>
          <w:highlight w:val="none"/>
          <w:lang w:eastAsia="zh-CN"/>
        </w:rPr>
      </w:pPr>
    </w:p>
    <w:p w14:paraId="66C407A2">
      <w:pPr>
        <w:rPr>
          <w:color w:val="auto"/>
          <w:highlight w:val="none"/>
          <w:lang w:eastAsia="zh-CN"/>
        </w:rPr>
      </w:pPr>
      <w:r>
        <w:rPr>
          <w:rFonts w:hint="eastAsia" w:cs="Times New Roman"/>
          <w:b/>
          <w:snapToGrid/>
          <w:color w:val="auto"/>
          <w:kern w:val="2"/>
          <w:highlight w:val="none"/>
          <w:lang w:eastAsia="zh-CN"/>
        </w:rPr>
        <w:t>注：以上“技术要求”为实质性要求，必须完全满足，否则响应无效。</w:t>
      </w:r>
    </w:p>
    <w:p w14:paraId="2BE6AAD5">
      <w:bookmarkStart w:id="8" w:name="_GoBack"/>
      <w:bookmarkEnd w:id="8"/>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BE7C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460" w:lineRule="exact"/>
      <w:textAlignment w:val="baseline"/>
    </w:pPr>
    <w:rPr>
      <w:rFonts w:ascii="宋体" w:hAnsi="宋体" w:eastAsia="宋体" w:cs="宋体"/>
      <w:snapToGrid w:val="0"/>
      <w:color w:val="000000"/>
      <w:sz w:val="24"/>
      <w:szCs w:val="21"/>
      <w:lang w:val="en-US" w:eastAsia="en-US" w:bidi="ar-SA"/>
    </w:rPr>
  </w:style>
  <w:style w:type="paragraph" w:styleId="2">
    <w:name w:val="heading 2"/>
    <w:basedOn w:val="1"/>
    <w:next w:val="1"/>
    <w:qFormat/>
    <w:uiPriority w:val="0"/>
    <w:pPr>
      <w:keepNext/>
      <w:keepLines/>
      <w:kinsoku/>
      <w:outlineLvl w:val="1"/>
    </w:pPr>
    <w:rPr>
      <w:b/>
      <w:bCs/>
      <w:szCs w:val="32"/>
    </w:rPr>
  </w:style>
  <w:style w:type="character" w:default="1" w:styleId="7">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Body Text"/>
    <w:basedOn w:val="1"/>
    <w:next w:val="4"/>
    <w:qFormat/>
    <w:uiPriority w:val="0"/>
    <w:rPr>
      <w:rFonts w:ascii="仿宋" w:hAnsi="仿宋" w:eastAsia="仿宋" w:cs="仿宋"/>
      <w:sz w:val="30"/>
      <w:szCs w:val="30"/>
    </w:rPr>
  </w:style>
  <w:style w:type="paragraph" w:styleId="4">
    <w:name w:val="Body Text First Indent"/>
    <w:basedOn w:val="3"/>
    <w:qFormat/>
    <w:uiPriority w:val="0"/>
    <w:pPr>
      <w:ind w:firstLine="420" w:firstLineChars="100"/>
    </w:pPr>
  </w:style>
  <w:style w:type="table" w:styleId="6">
    <w:name w:val="Table Grid"/>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2026-06-17T10:17:06Z</dcterms:created>
  <dc:creator>Administrator</dc:creator>
  <cp:lastModifiedBy>鼎跃</cp:lastModifiedBy>
  <dcterms:modified xsi:type="dcterms:W3CDTF">2026-06-17T10:17:18Z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eyJoZGlkIjoiOTExZTBkYjM3NGJmY2I0MTc2N2Q0NTNjNTFhNjAxYjkiLCJ1c2VySWQiOiI0NTczODY4MTgifQ==</vt:lpwstr>
  </property>
  <property fmtid="{D5CDD505-2E9C-101B-9397-08002B2CF9AE}" pid="4" name="ICV">
    <vt:lpwstr>56C80B9FF9F843F4B9C786BCA50653B3_12</vt:lpwstr>
  </property>
</Properties>
</file>