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8C06873">
      <w:pPr>
        <w:widowControl w:val="0"/>
        <w:spacing w:line="242" w:lineRule="auto"/>
        <w:rPr>
          <w:rFonts w:eastAsiaTheme="minorEastAsia"/>
          <w:color w:val="000000" w:themeColor="text1"/>
          <w:lang w:eastAsia="zh-CN"/>
          <w14:textFill>
            <w14:solidFill>
              <w14:schemeClr w14:val="tx1"/>
            </w14:solidFill>
          </w14:textFill>
        </w:rPr>
      </w:pPr>
    </w:p>
    <w:p w14:paraId="6A963418">
      <w:pPr>
        <w:widowControl w:val="0"/>
        <w:spacing w:line="242" w:lineRule="auto"/>
        <w:rPr>
          <w:color w:val="000000" w:themeColor="text1"/>
          <w:lang w:eastAsia="zh-CN"/>
          <w14:textFill>
            <w14:solidFill>
              <w14:schemeClr w14:val="tx1"/>
            </w14:solidFill>
          </w14:textFill>
        </w:rPr>
      </w:pPr>
    </w:p>
    <w:p w14:paraId="2ACB8EC8">
      <w:pPr>
        <w:widowControl w:val="0"/>
        <w:spacing w:line="242" w:lineRule="auto"/>
        <w:rPr>
          <w:color w:val="000000" w:themeColor="text1"/>
          <w:lang w:eastAsia="zh-CN"/>
          <w14:textFill>
            <w14:solidFill>
              <w14:schemeClr w14:val="tx1"/>
            </w14:solidFill>
          </w14:textFill>
        </w:rPr>
      </w:pPr>
    </w:p>
    <w:p w14:paraId="36F887A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textAlignment w:val="auto"/>
        <w:rPr>
          <w:rFonts w:hint="eastAsia"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一、</w:t>
      </w:r>
      <w:r>
        <w:rPr>
          <w:rFonts w:hint="eastAsia"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项目简介</w:t>
      </w:r>
    </w:p>
    <w:p w14:paraId="3367162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textAlignment w:val="auto"/>
        <w:rPr>
          <w:rFonts w:hint="eastAsia" w:ascii="仿宋_GB2312" w:hAnsi="仿宋_GB2312" w:eastAsia="仿宋_GB2312" w:cs="仿宋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1. 项目概况</w:t>
      </w:r>
    </w:p>
    <w:p w14:paraId="2B90516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项目位置：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儒乐湖露营公园</w:t>
      </w:r>
    </w:p>
    <w:p w14:paraId="12F967C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采购范围：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儒乐湖露营公园2026年度公园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年框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活动策划与执行。包括但不限于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场中大型主题活动、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场小型主题活动，以及配合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采购人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进行活动现场相关服务（根据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采购人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要求灵活调整）。</w:t>
      </w:r>
    </w:p>
    <w:p w14:paraId="0E1C576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预算金额：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98.89万元。供应商报价不得超过此预算，否则视为无效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响应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。</w:t>
      </w:r>
    </w:p>
    <w:p w14:paraId="078DC25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textAlignment w:val="auto"/>
        <w:rPr>
          <w:rFonts w:hint="eastAsia" w:ascii="仿宋_GB2312" w:hAnsi="仿宋_GB2312" w:eastAsia="仿宋_GB2312" w:cs="仿宋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2. 活动规模定义</w:t>
      </w:r>
    </w:p>
    <w:p w14:paraId="7B0AF455">
      <w:pPr>
        <w:widowControl w:val="0"/>
        <w:kinsoku/>
        <w:autoSpaceDE/>
        <w:autoSpaceDN/>
        <w:adjustRightInd/>
        <w:snapToGrid/>
        <w:spacing w:line="480" w:lineRule="exact"/>
        <w:textAlignment w:val="auto"/>
        <w:rPr>
          <w:rFonts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小型活动：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开展时长原则上不超过2日,日均参与人数</w:t>
      </w:r>
      <w:r>
        <w:rPr>
          <w:rFonts w:hint="eastAsia" w:ascii="宋体" w:hAnsi="宋体" w:eastAsia="宋体" w:cs="宋体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≧</w:t>
      </w:r>
      <w:r>
        <w:rPr>
          <w:rFonts w:hint="eastAsia" w:ascii="宋体" w:hAnsi="宋体" w:eastAsia="宋体" w:cs="宋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20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0人，预算不超过9万元，按活动方案及报价据实结算。</w:t>
      </w:r>
    </w:p>
    <w:p w14:paraId="71CA65C6">
      <w:pPr>
        <w:widowControl w:val="0"/>
        <w:kinsoku/>
        <w:autoSpaceDE/>
        <w:autoSpaceDN/>
        <w:adjustRightInd/>
        <w:snapToGrid/>
        <w:spacing w:line="480" w:lineRule="exact"/>
        <w:textAlignment w:val="auto"/>
        <w:rPr>
          <w:rFonts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中大型活动：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开展时长原则上不超过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日，日均参与人数</w:t>
      </w:r>
      <w:r>
        <w:rPr>
          <w:rFonts w:hint="eastAsia" w:ascii="宋体" w:hAnsi="宋体" w:eastAsia="宋体" w:cs="宋体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≧</w:t>
      </w:r>
      <w:r>
        <w:rPr>
          <w:rFonts w:hint="eastAsia" w:ascii="宋体" w:hAnsi="宋体" w:eastAsia="宋体" w:cs="宋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600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人，预算不超过25万元，按活动方案及报价据实结算。</w:t>
      </w:r>
    </w:p>
    <w:p w14:paraId="793E25B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textAlignment w:val="auto"/>
        <w:rPr>
          <w:rFonts w:hint="eastAsia" w:ascii="仿宋_GB2312" w:hAnsi="仿宋_GB2312" w:eastAsia="仿宋_GB2312" w:cs="仿宋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3. 服务范围</w:t>
      </w:r>
    </w:p>
    <w:p w14:paraId="0DB3998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供应商需按要求提供包括但不限于：活动策划方案、布展设计方案、搭建方案、活动场地内美陈、落地执行、活动期间的会场服务、撤场及卫生清理等。</w:t>
      </w:r>
    </w:p>
    <w:p w14:paraId="34E943A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textAlignment w:val="auto"/>
        <w:rPr>
          <w:rFonts w:hint="eastAsia"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二</w:t>
      </w:r>
      <w:r>
        <w:rPr>
          <w:rFonts w:hint="eastAsia" w:ascii="黑体" w:hAnsi="黑体" w:eastAsia="黑体" w:cs="黑体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、</w:t>
      </w:r>
      <w:r>
        <w:rPr>
          <w:rFonts w:hint="eastAsia"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预算与费用管理</w:t>
      </w:r>
    </w:p>
    <w:p w14:paraId="4CA4EBE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textAlignment w:val="auto"/>
        <w:rPr>
          <w:rFonts w:hint="eastAsia" w:ascii="仿宋_GB2312" w:hAnsi="仿宋_GB2312" w:eastAsia="仿宋_GB2312" w:cs="仿宋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1. 单场费用上限</w:t>
      </w:r>
    </w:p>
    <w:tbl>
      <w:tblPr>
        <w:tblStyle w:val="19"/>
        <w:tblW w:w="851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44"/>
        <w:gridCol w:w="4257"/>
        <w:gridCol w:w="1418"/>
      </w:tblGrid>
      <w:tr w14:paraId="5569C6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atLeast"/>
          <w:tblHeader/>
          <w:jc w:val="center"/>
        </w:trPr>
        <w:tc>
          <w:tcPr>
            <w:tcW w:w="0" w:type="auto"/>
            <w:vAlign w:val="center"/>
          </w:tcPr>
          <w:p w14:paraId="2226F736">
            <w:pPr>
              <w:keepNext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Segoe UI" w:hAnsi="仿宋_GB2312" w:eastAsia="Segoe UI" w:cs="仿宋_GB2312"/>
                <w:b/>
                <w:color w:val="000000" w:themeColor="text1"/>
                <w:sz w:val="22"/>
                <w:szCs w:val="32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Segoe UI" w:hAnsi="仿宋_GB2312" w:eastAsia="Segoe UI" w:cs="仿宋_GB2312"/>
                <w:b/>
                <w:color w:val="000000" w:themeColor="text1"/>
                <w:sz w:val="22"/>
                <w:szCs w:val="32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活动类型</w:t>
            </w:r>
          </w:p>
        </w:tc>
        <w:tc>
          <w:tcPr>
            <w:tcW w:w="0" w:type="auto"/>
            <w:vAlign w:val="center"/>
          </w:tcPr>
          <w:p w14:paraId="5C87D786">
            <w:pPr>
              <w:keepNext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Segoe UI" w:hAnsi="仿宋_GB2312" w:eastAsia="Segoe UI" w:cs="仿宋_GB2312"/>
                <w:b/>
                <w:color w:val="000000" w:themeColor="text1"/>
                <w:sz w:val="22"/>
                <w:szCs w:val="32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Segoe UI" w:hAnsi="仿宋_GB2312" w:eastAsia="Segoe UI" w:cs="仿宋_GB2312"/>
                <w:b/>
                <w:color w:val="000000" w:themeColor="text1"/>
                <w:sz w:val="22"/>
                <w:szCs w:val="32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单场费用上限</w:t>
            </w:r>
          </w:p>
        </w:tc>
        <w:tc>
          <w:tcPr>
            <w:tcW w:w="1418" w:type="dxa"/>
            <w:vAlign w:val="center"/>
          </w:tcPr>
          <w:p w14:paraId="3D2780C5">
            <w:pPr>
              <w:keepNext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Segoe UI" w:hAnsi="仿宋_GB2312" w:eastAsia="Segoe UI" w:cs="仿宋_GB2312"/>
                <w:b/>
                <w:color w:val="000000" w:themeColor="text1"/>
                <w:sz w:val="22"/>
                <w:szCs w:val="32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Segoe UI" w:hAnsi="仿宋_GB2312" w:eastAsia="Segoe UI" w:cs="仿宋_GB2312"/>
                <w:b/>
                <w:color w:val="000000" w:themeColor="text1"/>
                <w:sz w:val="22"/>
                <w:szCs w:val="32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场次</w:t>
            </w:r>
          </w:p>
        </w:tc>
      </w:tr>
      <w:tr w14:paraId="2C8A1E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5" w:hRule="atLeast"/>
          <w:jc w:val="center"/>
        </w:trPr>
        <w:tc>
          <w:tcPr>
            <w:tcW w:w="0" w:type="auto"/>
            <w:vAlign w:val="center"/>
          </w:tcPr>
          <w:p w14:paraId="4219415A">
            <w:pPr>
              <w:keepNext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Segoe UI" w:hAnsi="仿宋_GB2312" w:eastAsia="Segoe UI" w:cs="仿宋_GB2312"/>
                <w:color w:val="000000" w:themeColor="text1"/>
                <w:sz w:val="22"/>
                <w:szCs w:val="32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Segoe UI" w:hAnsi="仿宋_GB2312" w:eastAsia="Segoe UI" w:cs="仿宋_GB2312"/>
                <w:color w:val="000000" w:themeColor="text1"/>
                <w:sz w:val="22"/>
                <w:szCs w:val="32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中大型活动</w:t>
            </w:r>
          </w:p>
        </w:tc>
        <w:tc>
          <w:tcPr>
            <w:tcW w:w="0" w:type="auto"/>
            <w:vAlign w:val="center"/>
          </w:tcPr>
          <w:p w14:paraId="5AD1BDE3">
            <w:pPr>
              <w:keepNext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Segoe UI" w:hAnsi="仿宋_GB2312" w:eastAsia="Segoe UI" w:cs="仿宋_GB2312"/>
                <w:color w:val="000000" w:themeColor="text1"/>
                <w:sz w:val="22"/>
                <w:szCs w:val="32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Segoe UI" w:hAnsi="仿宋_GB2312" w:eastAsia="Segoe UI" w:cs="仿宋_GB2312"/>
                <w:color w:val="000000" w:themeColor="text1"/>
                <w:sz w:val="22"/>
                <w:szCs w:val="32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不超过25万元/场</w:t>
            </w:r>
          </w:p>
        </w:tc>
        <w:tc>
          <w:tcPr>
            <w:tcW w:w="1418" w:type="dxa"/>
            <w:vAlign w:val="center"/>
          </w:tcPr>
          <w:p w14:paraId="0AD30CE0">
            <w:pPr>
              <w:keepNext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Segoe UI" w:hAnsi="仿宋_GB2312" w:eastAsia="Segoe UI" w:cs="仿宋_GB2312"/>
                <w:color w:val="000000" w:themeColor="text1"/>
                <w:sz w:val="22"/>
                <w:szCs w:val="32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Segoe UI" w:hAnsi="仿宋_GB2312" w:eastAsia="Segoe UI" w:cs="仿宋_GB2312"/>
                <w:color w:val="000000" w:themeColor="text1"/>
                <w:sz w:val="22"/>
                <w:szCs w:val="32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3场</w:t>
            </w:r>
          </w:p>
        </w:tc>
      </w:tr>
      <w:tr w14:paraId="3E326F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5" w:hRule="atLeast"/>
          <w:jc w:val="center"/>
        </w:trPr>
        <w:tc>
          <w:tcPr>
            <w:tcW w:w="0" w:type="auto"/>
            <w:vAlign w:val="center"/>
          </w:tcPr>
          <w:p w14:paraId="755DFDD0">
            <w:pPr>
              <w:keepNext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Segoe UI" w:hAnsi="仿宋_GB2312" w:eastAsia="Segoe UI" w:cs="仿宋_GB2312"/>
                <w:color w:val="000000" w:themeColor="text1"/>
                <w:sz w:val="22"/>
                <w:szCs w:val="32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Segoe UI" w:hAnsi="仿宋_GB2312" w:eastAsia="Segoe UI" w:cs="仿宋_GB2312"/>
                <w:color w:val="000000" w:themeColor="text1"/>
                <w:sz w:val="22"/>
                <w:szCs w:val="32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小型活动</w:t>
            </w:r>
          </w:p>
        </w:tc>
        <w:tc>
          <w:tcPr>
            <w:tcW w:w="0" w:type="auto"/>
            <w:vAlign w:val="center"/>
          </w:tcPr>
          <w:p w14:paraId="43D8AA0F">
            <w:pPr>
              <w:keepNext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Segoe UI" w:hAnsi="仿宋_GB2312" w:eastAsia="Segoe UI" w:cs="仿宋_GB2312"/>
                <w:color w:val="000000" w:themeColor="text1"/>
                <w:sz w:val="22"/>
                <w:szCs w:val="32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Segoe UI" w:hAnsi="仿宋_GB2312" w:eastAsia="Segoe UI" w:cs="仿宋_GB2312"/>
                <w:color w:val="000000" w:themeColor="text1"/>
                <w:sz w:val="22"/>
                <w:szCs w:val="32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不超过9万元/场</w:t>
            </w:r>
          </w:p>
        </w:tc>
        <w:tc>
          <w:tcPr>
            <w:tcW w:w="1418" w:type="dxa"/>
            <w:vAlign w:val="center"/>
          </w:tcPr>
          <w:p w14:paraId="7E7A5D45">
            <w:pPr>
              <w:keepNext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Segoe UI" w:hAnsi="仿宋_GB2312" w:eastAsia="Segoe UI" w:cs="仿宋_GB2312"/>
                <w:color w:val="000000" w:themeColor="text1"/>
                <w:sz w:val="22"/>
                <w:szCs w:val="32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Segoe UI" w:hAnsi="仿宋_GB2312" w:eastAsia="Segoe UI" w:cs="仿宋_GB2312"/>
                <w:color w:val="000000" w:themeColor="text1"/>
                <w:sz w:val="22"/>
                <w:szCs w:val="32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3场</w:t>
            </w:r>
          </w:p>
        </w:tc>
      </w:tr>
      <w:tr w14:paraId="6C6D0E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  <w:jc w:val="center"/>
        </w:trPr>
        <w:tc>
          <w:tcPr>
            <w:tcW w:w="2844" w:type="dxa"/>
            <w:vAlign w:val="center"/>
          </w:tcPr>
          <w:p w14:paraId="6FBF2DF2">
            <w:pPr>
              <w:keepNext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Segoe UI" w:hAnsi="仿宋_GB2312" w:eastAsia="Segoe UI" w:cs="仿宋_GB2312"/>
                <w:b/>
                <w:color w:val="000000" w:themeColor="text1"/>
                <w:sz w:val="22"/>
                <w:szCs w:val="32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Segoe UI" w:hAnsi="仿宋_GB2312" w:eastAsia="Segoe UI" w:cs="仿宋_GB2312"/>
                <w:b/>
                <w:color w:val="000000" w:themeColor="text1"/>
                <w:sz w:val="22"/>
                <w:szCs w:val="32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合计</w:t>
            </w:r>
          </w:p>
        </w:tc>
        <w:tc>
          <w:tcPr>
            <w:tcW w:w="4257" w:type="dxa"/>
            <w:vAlign w:val="center"/>
          </w:tcPr>
          <w:p w14:paraId="1FF356CA">
            <w:pPr>
              <w:keepNext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Segoe UI" w:hAnsi="仿宋_GB2312" w:eastAsia="Segoe UI" w:cs="仿宋_GB2312"/>
                <w:b/>
                <w:color w:val="000000" w:themeColor="text1"/>
                <w:sz w:val="22"/>
                <w:szCs w:val="32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Segoe UI" w:hAnsi="仿宋_GB2312" w:eastAsia="Segoe UI" w:cs="仿宋_GB2312"/>
                <w:b/>
                <w:color w:val="000000" w:themeColor="text1"/>
                <w:sz w:val="22"/>
                <w:szCs w:val="32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1418" w:type="dxa"/>
            <w:vAlign w:val="center"/>
          </w:tcPr>
          <w:p w14:paraId="1FC7A10E">
            <w:pPr>
              <w:keepNext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Segoe UI" w:hAnsi="仿宋_GB2312" w:eastAsia="Segoe UI" w:cs="仿宋_GB2312"/>
                <w:b/>
                <w:color w:val="000000" w:themeColor="text1"/>
                <w:sz w:val="22"/>
                <w:szCs w:val="32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Segoe UI" w:hAnsi="仿宋_GB2312" w:eastAsia="Segoe UI" w:cs="仿宋_GB2312"/>
                <w:b/>
                <w:color w:val="000000" w:themeColor="text1"/>
                <w:sz w:val="22"/>
                <w:szCs w:val="32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6场</w:t>
            </w:r>
          </w:p>
        </w:tc>
      </w:tr>
    </w:tbl>
    <w:p w14:paraId="1B4AD94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textAlignment w:val="auto"/>
        <w:rPr>
          <w:rFonts w:hint="eastAsia" w:ascii="仿宋_GB2312" w:hAnsi="仿宋_GB2312" w:eastAsia="仿宋_GB2312" w:cs="仿宋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注：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结算方式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为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每场活动结束后，按实际发生费用结算，但累计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6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场活动总支付金额不超过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中标金额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。</w:t>
      </w:r>
    </w:p>
    <w:p w14:paraId="735F265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textAlignment w:val="auto"/>
        <w:rPr>
          <w:rFonts w:hint="eastAsia" w:ascii="仿宋_GB2312" w:hAnsi="仿宋_GB2312" w:eastAsia="仿宋_GB2312" w:cs="仿宋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2. 预算灵活调配规则</w:t>
      </w:r>
    </w:p>
    <w:p w14:paraId="1ECB79BC">
      <w:pPr>
        <w:widowControl w:val="0"/>
        <w:kinsoku/>
        <w:autoSpaceDE/>
        <w:autoSpaceDN/>
        <w:adjustRightInd/>
        <w:snapToGrid/>
        <w:spacing w:line="480" w:lineRule="exact"/>
        <w:ind w:firstLine="640" w:firstLineChars="200"/>
        <w:textAlignment w:val="auto"/>
        <w:rPr>
          <w:rFonts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允许在不同场次之间进行预算调剂。例如：某小型活动实际支出低于其单场计划金额，结余部分可结转用于后续小型活动或中大型活动。调剂后在总预算不超过的前提下，任何一场小型活动费用不得超过费用上限的20%，任何一场中大型活动费用不得超过费用上限的30%，8场活动总费用不超过中标金额。供应商如需进行跨场次预算调剂，须提前书面报采购人确认，未经确认不得单方调剂。</w:t>
      </w:r>
    </w:p>
    <w:p w14:paraId="43B39A3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textAlignment w:val="auto"/>
        <w:rPr>
          <w:rFonts w:hint="eastAsia"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三</w:t>
      </w:r>
      <w:r>
        <w:rPr>
          <w:rFonts w:hint="eastAsia" w:ascii="黑体" w:hAnsi="黑体" w:eastAsia="黑体" w:cs="黑体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、</w:t>
      </w:r>
      <w:r>
        <w:rPr>
          <w:rFonts w:hint="eastAsia"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服务要求</w:t>
      </w:r>
    </w:p>
    <w:p w14:paraId="0A442B2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textAlignment w:val="auto"/>
        <w:rPr>
          <w:rFonts w:hint="eastAsia" w:ascii="仿宋_GB2312" w:hAnsi="仿宋_GB2312" w:eastAsia="仿宋_GB2312" w:cs="仿宋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（一）人员要求</w:t>
      </w:r>
    </w:p>
    <w:p w14:paraId="68B0E37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1. 项目团队固定人员不低于6人，且具备同类活动执行经验。</w:t>
      </w:r>
    </w:p>
    <w:p w14:paraId="5BB5CC0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2. 团队须具备较强的安全意识，涉及特种作业（电工、高处作业等）的人员须持证上岗。</w:t>
      </w:r>
    </w:p>
    <w:p w14:paraId="0923E36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3. 团队须具备独立完成活动策划、设计、搭建、执行及撤场的能力。</w:t>
      </w:r>
    </w:p>
    <w:p w14:paraId="18F5D27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textAlignment w:val="auto"/>
        <w:rPr>
          <w:rFonts w:hint="eastAsia" w:ascii="仿宋_GB2312" w:hAnsi="仿宋_GB2312" w:eastAsia="仿宋_GB2312" w:cs="仿宋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（二）设备与物料要求</w:t>
      </w:r>
    </w:p>
    <w:p w14:paraId="1868575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1. 供应商应具备履行合同所必需的设备和专业技术能力，提供的现场设备（舞台、音响、灯光、帐篷、美陈等）须无安全隐患。</w:t>
      </w:r>
    </w:p>
    <w:p w14:paraId="28E1F0F4">
      <w:pPr>
        <w:widowControl w:val="0"/>
        <w:kinsoku/>
        <w:autoSpaceDE/>
        <w:autoSpaceDN/>
        <w:adjustRightInd/>
        <w:snapToGrid/>
        <w:spacing w:line="480" w:lineRule="exact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2. 所有搭建物料应符合消防安全及环保要求，活动结束后由供应商负责撤除并清理现场。</w:t>
      </w:r>
    </w:p>
    <w:p w14:paraId="5EB97FCD">
      <w:pPr>
        <w:widowControl w:val="0"/>
        <w:kinsoku/>
        <w:autoSpaceDE/>
        <w:autoSpaceDN/>
        <w:adjustRightInd/>
        <w:snapToGrid/>
        <w:spacing w:line="480" w:lineRule="exact"/>
        <w:textAlignment w:val="auto"/>
        <w:rPr>
          <w:rFonts w:hint="eastAsia" w:ascii="仿宋_GB2312" w:hAnsi="仿宋_GB2312" w:eastAsia="仿宋_GB2312" w:cs="仿宋_GB2312"/>
          <w:b/>
          <w:bCs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（三）活动召集和宣传</w:t>
      </w:r>
    </w:p>
    <w:p w14:paraId="0F8E5C6D">
      <w:pPr>
        <w:widowControl w:val="0"/>
        <w:kinsoku/>
        <w:autoSpaceDE/>
        <w:autoSpaceDN/>
        <w:adjustRightInd/>
        <w:snapToGrid/>
        <w:spacing w:line="480" w:lineRule="exact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1.供应商应在活动发布提前2天，编制活动宣发材料，在不少于3个主流媒体平台发布活动信息。</w:t>
      </w:r>
    </w:p>
    <w:p w14:paraId="7B514302">
      <w:pPr>
        <w:widowControl w:val="0"/>
        <w:kinsoku/>
        <w:autoSpaceDE/>
        <w:autoSpaceDN/>
        <w:adjustRightInd/>
        <w:snapToGrid/>
        <w:spacing w:line="480" w:lineRule="exact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2.供应商应采取必要的手段，对活动进行宣传，包括不限于邀请达人，撰写软文等方式。</w:t>
      </w:r>
    </w:p>
    <w:p w14:paraId="74B8B513">
      <w:pPr>
        <w:widowControl w:val="0"/>
        <w:kinsoku/>
        <w:autoSpaceDE/>
        <w:autoSpaceDN/>
        <w:adjustRightInd/>
        <w:snapToGrid/>
        <w:spacing w:line="480" w:lineRule="exact"/>
        <w:textAlignment w:val="auto"/>
        <w:rPr>
          <w:rFonts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3.相关宣传内容，应在活动结束后1日内完成，提交采购方审定，并在审定后1日内完成不少于3个主流媒体平台发布。</w:t>
      </w:r>
    </w:p>
    <w:p w14:paraId="7FD7911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textAlignment w:val="auto"/>
        <w:rPr>
          <w:rFonts w:hint="eastAsia" w:ascii="仿宋_GB2312" w:hAnsi="仿宋_GB2312" w:eastAsia="仿宋_GB2312" w:cs="仿宋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仿宋_GB2312" w:hAnsi="仿宋_GB2312" w:eastAsia="仿宋_GB2312" w:cs="仿宋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四</w:t>
      </w:r>
      <w:r>
        <w:rPr>
          <w:rFonts w:hint="eastAsia" w:ascii="仿宋_GB2312" w:hAnsi="仿宋_GB2312" w:eastAsia="仿宋_GB2312" w:cs="仿宋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）具体工作内容</w:t>
      </w:r>
    </w:p>
    <w:p w14:paraId="62DB652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1. 保障活动现场各项安全（制定并提交安全预案）。</w:t>
      </w:r>
    </w:p>
    <w:p w14:paraId="5017944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2. 配合采购人撰写活动方案，并按确认后的方案执行。</w:t>
      </w:r>
    </w:p>
    <w:p w14:paraId="7E2803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3. 完成视觉设计、物料制作、场地布置等工作。</w:t>
      </w:r>
    </w:p>
    <w:p w14:paraId="0252E31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4. 统筹活动流程、环节衔接、现场协调。</w:t>
      </w:r>
    </w:p>
    <w:p w14:paraId="4E8D933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5. 成交供应商拥有活动服务举办权，在采购人授意下完成布展和舞台搭建。</w:t>
      </w:r>
    </w:p>
    <w:p w14:paraId="7DA7E97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6. 合同期满后半年内，对现场美陈等可重复利用的搭建物料进行无偿维护（如有需要）。</w:t>
      </w:r>
    </w:p>
    <w:p w14:paraId="0CB2C22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7. 活动结束后负责撤场及卫生清理。</w:t>
      </w:r>
    </w:p>
    <w:p w14:paraId="50E5079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textAlignment w:val="auto"/>
        <w:rPr>
          <w:rFonts w:hint="eastAsia" w:ascii="仿宋_GB2312" w:hAnsi="仿宋_GB2312" w:eastAsia="仿宋_GB2312" w:cs="仿宋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仿宋_GB2312" w:hAnsi="仿宋_GB2312" w:eastAsia="仿宋_GB2312" w:cs="仿宋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五</w:t>
      </w:r>
      <w:r>
        <w:rPr>
          <w:rFonts w:hint="eastAsia" w:ascii="仿宋_GB2312" w:hAnsi="仿宋_GB2312" w:eastAsia="仿宋_GB2312" w:cs="仿宋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）作业时间与频次</w:t>
      </w:r>
    </w:p>
    <w:p w14:paraId="7C95030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合同生效后，按照国庆节、元旦、暑期等节点合理安排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场中大型活动，其余时间安排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场小型活动。具体活动时间可根据主题、天气、节假日等因素与采购人协商确定。每场活动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提前10个工作日提交活动方案，方案经审核通过后开始进场搭建，正式活动前一天必须完成现场搭建，活动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结束后5个工作日内提交活动总结、数据复盘及改进报告。</w:t>
      </w:r>
    </w:p>
    <w:p w14:paraId="4DCB02B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textAlignment w:val="auto"/>
        <w:rPr>
          <w:rFonts w:hint="eastAsia"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四</w:t>
      </w:r>
      <w:r>
        <w:rPr>
          <w:rFonts w:hint="eastAsia" w:ascii="黑体" w:hAnsi="黑体" w:eastAsia="黑体" w:cs="黑体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、</w:t>
      </w:r>
      <w:r>
        <w:rPr>
          <w:rFonts w:hint="eastAsia"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考核标准</w:t>
      </w:r>
    </w:p>
    <w:p w14:paraId="0CFF90E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textAlignment w:val="auto"/>
        <w:rPr>
          <w:rFonts w:hint="eastAsia" w:ascii="仿宋_GB2312" w:hAnsi="仿宋_GB2312" w:eastAsia="仿宋_GB2312" w:cs="仿宋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1. 考核方式</w:t>
      </w:r>
    </w:p>
    <w:p w14:paraId="1FE8C9D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每场活动结束后，采购人根据附件一《活动履约考核打分表》对供应商进行综合评分，评分结果与活动费用结算挂钩。</w:t>
      </w:r>
    </w:p>
    <w:p w14:paraId="639A834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连续两场活动总分&lt;70分：采购人有权单方终止合同，并拒绝支付后续未执行场次的任何费用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。</w:t>
      </w:r>
    </w:p>
    <w:tbl>
      <w:tblPr>
        <w:tblStyle w:val="19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40"/>
        <w:gridCol w:w="3229"/>
        <w:gridCol w:w="2453"/>
      </w:tblGrid>
      <w:tr w14:paraId="7DE9FD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  <w:vAlign w:val="center"/>
          </w:tcPr>
          <w:p w14:paraId="435D548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b/>
                <w:bCs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考核打分表得分</w:t>
            </w:r>
          </w:p>
        </w:tc>
        <w:tc>
          <w:tcPr>
            <w:tcW w:w="3229" w:type="dxa"/>
            <w:vAlign w:val="center"/>
          </w:tcPr>
          <w:p w14:paraId="1D203A6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b/>
                <w:bCs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该场活动费用结算比例</w:t>
            </w:r>
          </w:p>
        </w:tc>
        <w:tc>
          <w:tcPr>
            <w:tcW w:w="2453" w:type="dxa"/>
            <w:vAlign w:val="center"/>
          </w:tcPr>
          <w:p w14:paraId="6D2F241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备注</w:t>
            </w:r>
          </w:p>
        </w:tc>
      </w:tr>
      <w:tr w14:paraId="394DAC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  <w:vAlign w:val="center"/>
          </w:tcPr>
          <w:p w14:paraId="20D14D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 w:themeColor="text1"/>
                <w:sz w:val="32"/>
                <w:szCs w:val="32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≥85分</w:t>
            </w:r>
          </w:p>
        </w:tc>
        <w:tc>
          <w:tcPr>
            <w:tcW w:w="3229" w:type="dxa"/>
            <w:vAlign w:val="center"/>
          </w:tcPr>
          <w:p w14:paraId="4D275F9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000000" w:themeColor="text1"/>
                <w:sz w:val="32"/>
                <w:szCs w:val="32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32"/>
                <w:szCs w:val="32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100%</w:t>
            </w:r>
          </w:p>
        </w:tc>
        <w:tc>
          <w:tcPr>
            <w:tcW w:w="2453" w:type="dxa"/>
            <w:vAlign w:val="center"/>
          </w:tcPr>
          <w:p w14:paraId="709998B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 w:themeColor="text1"/>
                <w:sz w:val="32"/>
                <w:szCs w:val="32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32"/>
                <w:szCs w:val="32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优秀</w:t>
            </w:r>
          </w:p>
        </w:tc>
      </w:tr>
      <w:tr w14:paraId="76C56C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  <w:vAlign w:val="center"/>
          </w:tcPr>
          <w:p w14:paraId="70B139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 w:themeColor="text1"/>
                <w:sz w:val="32"/>
                <w:szCs w:val="32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70分≤总分&lt;85分</w:t>
            </w:r>
          </w:p>
        </w:tc>
        <w:tc>
          <w:tcPr>
            <w:tcW w:w="3229" w:type="dxa"/>
            <w:vAlign w:val="center"/>
          </w:tcPr>
          <w:p w14:paraId="6B1F830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000000" w:themeColor="text1"/>
                <w:sz w:val="32"/>
                <w:szCs w:val="32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32"/>
                <w:szCs w:val="32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90%</w:t>
            </w:r>
          </w:p>
        </w:tc>
        <w:tc>
          <w:tcPr>
            <w:tcW w:w="2453" w:type="dxa"/>
            <w:vAlign w:val="center"/>
          </w:tcPr>
          <w:p w14:paraId="75943B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 w:themeColor="text1"/>
                <w:sz w:val="32"/>
                <w:szCs w:val="32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32"/>
                <w:szCs w:val="32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良好</w:t>
            </w:r>
          </w:p>
        </w:tc>
      </w:tr>
      <w:tr w14:paraId="0A2817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  <w:vAlign w:val="center"/>
          </w:tcPr>
          <w:p w14:paraId="147B427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 w:themeColor="text1"/>
                <w:sz w:val="32"/>
                <w:szCs w:val="32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总分&lt;70分</w:t>
            </w:r>
          </w:p>
        </w:tc>
        <w:tc>
          <w:tcPr>
            <w:tcW w:w="3229" w:type="dxa"/>
            <w:vAlign w:val="center"/>
          </w:tcPr>
          <w:p w14:paraId="770329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000000" w:themeColor="text1"/>
                <w:sz w:val="32"/>
                <w:szCs w:val="32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32"/>
                <w:szCs w:val="32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80%</w:t>
            </w:r>
          </w:p>
        </w:tc>
        <w:tc>
          <w:tcPr>
            <w:tcW w:w="2453" w:type="dxa"/>
            <w:vAlign w:val="center"/>
          </w:tcPr>
          <w:p w14:paraId="39EB6E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 w:themeColor="text1"/>
                <w:sz w:val="32"/>
                <w:szCs w:val="32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32"/>
                <w:szCs w:val="32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不合格</w:t>
            </w:r>
          </w:p>
        </w:tc>
      </w:tr>
    </w:tbl>
    <w:p w14:paraId="5D06B22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textAlignment w:val="auto"/>
        <w:rPr>
          <w:rFonts w:hint="eastAsia" w:ascii="仿宋_GB2312" w:hAnsi="仿宋_GB2312" w:eastAsia="仿宋_GB2312" w:cs="仿宋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2. 过程管理</w:t>
      </w:r>
    </w:p>
    <w:p w14:paraId="5C120F9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采购人将根据附件二《现场巡查记录表》对活动执行过程进行不定期巡查，巡查记录作为考核打分的依据之一。</w:t>
      </w:r>
    </w:p>
    <w:p w14:paraId="30EB5EB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textAlignment w:val="auto"/>
        <w:rPr>
          <w:rFonts w:hint="eastAsia" w:ascii="仿宋_GB2312" w:hAnsi="仿宋_GB2312" w:eastAsia="仿宋_GB2312" w:cs="仿宋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3. 安全与责任条款</w:t>
      </w:r>
    </w:p>
    <w:p w14:paraId="2FA137B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）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发生一般及以上安全事故（以应急管理部门认定为准）：供应商承担全部法律责任，采购人有权立即终止合同。</w:t>
      </w:r>
    </w:p>
    <w:p w14:paraId="73B23A8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）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若合同终止时，采购人已就未执行或未完全执行的中大型活动支付了预付款，供应商应在合同终止后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5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个工作日内全额退还该场活动的预付款。</w:t>
      </w:r>
    </w:p>
    <w:p w14:paraId="3D9982C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）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对于已完整执行并通过考核的活动场次，已结算费用不予退还。</w:t>
      </w:r>
    </w:p>
    <w:p w14:paraId="69BA221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4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）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供应商还应赔偿采购方因此造成的全部直接损失（包括但不限于重新招标费用、活动取消导致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的各类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损失等）。</w:t>
      </w:r>
    </w:p>
    <w:p w14:paraId="78B5114B">
      <w:pPr>
        <w:widowControl w:val="0"/>
        <w:spacing w:line="520" w:lineRule="exact"/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</w:p>
    <w:p w14:paraId="250796D9">
      <w:pPr>
        <w:pStyle w:val="17"/>
        <w:ind w:left="0" w:leftChars="0" w:firstLine="0" w:firstLineChars="0"/>
        <w:rPr>
          <w:rFonts w:hint="eastAsia"/>
          <w:color w:val="000000" w:themeColor="text1"/>
          <w:lang w:eastAsia="zh-CN"/>
          <w14:textFill>
            <w14:solidFill>
              <w14:schemeClr w14:val="tx1"/>
            </w14:solidFill>
          </w14:textFill>
        </w:rPr>
      </w:pPr>
      <w:bookmarkStart w:id="0" w:name="_GoBack"/>
      <w:bookmarkEnd w:id="0"/>
    </w:p>
    <w:sectPr>
      <w:footerReference r:id="rId3" w:type="default"/>
      <w:pgSz w:w="11906" w:h="16839"/>
      <w:pgMar w:top="1066" w:right="1304" w:bottom="986" w:left="1307" w:header="0" w:footer="994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swiss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B7A5E6D4-65C8-40A0-9E1A-44B1BFDD3E6F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Cambria Math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2" w:fontKey="{7220CEB5-A0E7-436B-9A78-9E31364DA978}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  <w:embedRegular r:id="rId3" w:fontKey="{33DFAD38-BF96-40CC-9109-385E6866ECA6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0EE4726">
    <w:pPr>
      <w:pStyle w:val="11"/>
      <w:rPr>
        <w:lang w:eastAsia="zh-CN"/>
      </w:rPr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8FB5392">
                          <w:pPr>
                            <w:pStyle w:val="11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61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zXDnwqAgAAV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CLNmWdjqneUROirm&#10;7eoYIGCnaxSlV2LQCtPWdWZ4GXGc/9x3UY9/g+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IzXDnw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8FB5392">
                    <w:pPr>
                      <w:pStyle w:val="11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61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embedTrueTypeFonts/>
  <w:saveSubsetFonts/>
  <w:bordersDoNotSurroundHeader w:val="0"/>
  <w:bordersDoNotSurroundFooter w:val="0"/>
  <w:documentProtection w:enforcement="0"/>
  <w:defaultTabStop w:val="421"/>
  <w:displayHorizontalDrawingGridEvery w:val="1"/>
  <w:displayVerticalDrawingGridEvery w:val="1"/>
  <w:noPunctuationKerning w:val="1"/>
  <w:characterSpacingControl w:val="doNotCompress"/>
  <w:compat>
    <w:spaceForUL/>
    <w:ulTrailSpace/>
    <w:doNotExpandShiftReturn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mQ1M2IwZTUyMDQ1NGQwYjA1ZjExM2FlODA3YjQ0MzEifQ=="/>
  </w:docVars>
  <w:rsids>
    <w:rsidRoot w:val="00F72BE7"/>
    <w:rsid w:val="000740AB"/>
    <w:rsid w:val="001C19A8"/>
    <w:rsid w:val="0022384E"/>
    <w:rsid w:val="00242EDE"/>
    <w:rsid w:val="0031198B"/>
    <w:rsid w:val="00357462"/>
    <w:rsid w:val="003C376A"/>
    <w:rsid w:val="003E7AEE"/>
    <w:rsid w:val="00412A37"/>
    <w:rsid w:val="004E6C2D"/>
    <w:rsid w:val="005D75BC"/>
    <w:rsid w:val="006308AB"/>
    <w:rsid w:val="00696DCD"/>
    <w:rsid w:val="00787A5C"/>
    <w:rsid w:val="007E67FB"/>
    <w:rsid w:val="007E7821"/>
    <w:rsid w:val="00847DE1"/>
    <w:rsid w:val="008627B5"/>
    <w:rsid w:val="008826C5"/>
    <w:rsid w:val="009719E1"/>
    <w:rsid w:val="009A7715"/>
    <w:rsid w:val="00A95A9A"/>
    <w:rsid w:val="00AE60C8"/>
    <w:rsid w:val="00B47EC6"/>
    <w:rsid w:val="00B8739F"/>
    <w:rsid w:val="00BA31E0"/>
    <w:rsid w:val="00C57E89"/>
    <w:rsid w:val="00CD47AB"/>
    <w:rsid w:val="00D07A1D"/>
    <w:rsid w:val="00D6521D"/>
    <w:rsid w:val="00E4718F"/>
    <w:rsid w:val="00F72BE7"/>
    <w:rsid w:val="013D404E"/>
    <w:rsid w:val="014707D5"/>
    <w:rsid w:val="0183453D"/>
    <w:rsid w:val="01C0501B"/>
    <w:rsid w:val="01D856D2"/>
    <w:rsid w:val="01E178D6"/>
    <w:rsid w:val="01F176F8"/>
    <w:rsid w:val="023D46EC"/>
    <w:rsid w:val="02F62DEB"/>
    <w:rsid w:val="03A14F29"/>
    <w:rsid w:val="044D1E30"/>
    <w:rsid w:val="047C47B6"/>
    <w:rsid w:val="04F64D19"/>
    <w:rsid w:val="04FA27AC"/>
    <w:rsid w:val="052B325D"/>
    <w:rsid w:val="055600A9"/>
    <w:rsid w:val="05F07017"/>
    <w:rsid w:val="062D088E"/>
    <w:rsid w:val="06877F17"/>
    <w:rsid w:val="06F25881"/>
    <w:rsid w:val="07501AC6"/>
    <w:rsid w:val="076566A7"/>
    <w:rsid w:val="079A2F4B"/>
    <w:rsid w:val="07B64740"/>
    <w:rsid w:val="081F5E69"/>
    <w:rsid w:val="0893590C"/>
    <w:rsid w:val="08D800EA"/>
    <w:rsid w:val="08D86F1C"/>
    <w:rsid w:val="098C4275"/>
    <w:rsid w:val="099C2AD0"/>
    <w:rsid w:val="09E36E7B"/>
    <w:rsid w:val="0A5474C3"/>
    <w:rsid w:val="0A5F7AD5"/>
    <w:rsid w:val="0A630BD7"/>
    <w:rsid w:val="0AAA50E9"/>
    <w:rsid w:val="0ABB6AF5"/>
    <w:rsid w:val="0B212C64"/>
    <w:rsid w:val="0B3C7C36"/>
    <w:rsid w:val="0B584246"/>
    <w:rsid w:val="0B614FF2"/>
    <w:rsid w:val="0B8D0492"/>
    <w:rsid w:val="0BCE5A19"/>
    <w:rsid w:val="0BD25EA5"/>
    <w:rsid w:val="0C027923"/>
    <w:rsid w:val="0C1E16F8"/>
    <w:rsid w:val="0C3B4061"/>
    <w:rsid w:val="0C4F6BDA"/>
    <w:rsid w:val="0D9E6F5F"/>
    <w:rsid w:val="0DB63714"/>
    <w:rsid w:val="0DBF7C0D"/>
    <w:rsid w:val="0DD264ED"/>
    <w:rsid w:val="0DD809E2"/>
    <w:rsid w:val="0DE84CCE"/>
    <w:rsid w:val="0E045967"/>
    <w:rsid w:val="0E306947"/>
    <w:rsid w:val="0E52340E"/>
    <w:rsid w:val="0E7A2A88"/>
    <w:rsid w:val="0EAA115A"/>
    <w:rsid w:val="0F8346BB"/>
    <w:rsid w:val="0FA80009"/>
    <w:rsid w:val="0FAD17DF"/>
    <w:rsid w:val="0FAE5D7D"/>
    <w:rsid w:val="107F306E"/>
    <w:rsid w:val="10D80401"/>
    <w:rsid w:val="114948FA"/>
    <w:rsid w:val="119D0D43"/>
    <w:rsid w:val="11CB5781"/>
    <w:rsid w:val="121E36B7"/>
    <w:rsid w:val="126757A9"/>
    <w:rsid w:val="128B5679"/>
    <w:rsid w:val="1292624E"/>
    <w:rsid w:val="12955EB0"/>
    <w:rsid w:val="129C0FBA"/>
    <w:rsid w:val="129D2A07"/>
    <w:rsid w:val="139F6FB4"/>
    <w:rsid w:val="143E0B0F"/>
    <w:rsid w:val="14B561ED"/>
    <w:rsid w:val="14F13A81"/>
    <w:rsid w:val="1538599A"/>
    <w:rsid w:val="155802A4"/>
    <w:rsid w:val="158B0678"/>
    <w:rsid w:val="15A703A2"/>
    <w:rsid w:val="164F5DB3"/>
    <w:rsid w:val="16A356CC"/>
    <w:rsid w:val="173418E5"/>
    <w:rsid w:val="17342109"/>
    <w:rsid w:val="178E538D"/>
    <w:rsid w:val="17D60801"/>
    <w:rsid w:val="182E6B2B"/>
    <w:rsid w:val="18363C5F"/>
    <w:rsid w:val="186009B5"/>
    <w:rsid w:val="18846779"/>
    <w:rsid w:val="18C97898"/>
    <w:rsid w:val="18E4551E"/>
    <w:rsid w:val="18E84F59"/>
    <w:rsid w:val="18F643B3"/>
    <w:rsid w:val="19241D0A"/>
    <w:rsid w:val="193E2DCB"/>
    <w:rsid w:val="196206F1"/>
    <w:rsid w:val="198158BA"/>
    <w:rsid w:val="19DB5E7F"/>
    <w:rsid w:val="19F33BB6"/>
    <w:rsid w:val="1A551963"/>
    <w:rsid w:val="1AAF3BB2"/>
    <w:rsid w:val="1AD0292A"/>
    <w:rsid w:val="1AF44F33"/>
    <w:rsid w:val="1B1E113A"/>
    <w:rsid w:val="1B4548E5"/>
    <w:rsid w:val="1B702014"/>
    <w:rsid w:val="1B8F6D81"/>
    <w:rsid w:val="1BD32665"/>
    <w:rsid w:val="1BD47A17"/>
    <w:rsid w:val="1D085BCA"/>
    <w:rsid w:val="1D74500E"/>
    <w:rsid w:val="1DD800C0"/>
    <w:rsid w:val="1E43791C"/>
    <w:rsid w:val="1E6073B2"/>
    <w:rsid w:val="1EB678A8"/>
    <w:rsid w:val="1F274302"/>
    <w:rsid w:val="1F2952CA"/>
    <w:rsid w:val="1FAB6CE1"/>
    <w:rsid w:val="1FEF7FD8"/>
    <w:rsid w:val="20026D16"/>
    <w:rsid w:val="206155F1"/>
    <w:rsid w:val="207F650F"/>
    <w:rsid w:val="20B54DB2"/>
    <w:rsid w:val="21042B4C"/>
    <w:rsid w:val="210A6AC5"/>
    <w:rsid w:val="213A566A"/>
    <w:rsid w:val="21444A90"/>
    <w:rsid w:val="2195298B"/>
    <w:rsid w:val="21CE72BA"/>
    <w:rsid w:val="22072FB3"/>
    <w:rsid w:val="22112B50"/>
    <w:rsid w:val="224433AA"/>
    <w:rsid w:val="22791318"/>
    <w:rsid w:val="22A85555"/>
    <w:rsid w:val="22FD3CF7"/>
    <w:rsid w:val="23056708"/>
    <w:rsid w:val="234D0A23"/>
    <w:rsid w:val="23746473"/>
    <w:rsid w:val="239F4625"/>
    <w:rsid w:val="23B5012E"/>
    <w:rsid w:val="23C04A55"/>
    <w:rsid w:val="248E1514"/>
    <w:rsid w:val="25076D21"/>
    <w:rsid w:val="25533D7B"/>
    <w:rsid w:val="25823163"/>
    <w:rsid w:val="25E2090D"/>
    <w:rsid w:val="25F37706"/>
    <w:rsid w:val="26BE3321"/>
    <w:rsid w:val="2722776F"/>
    <w:rsid w:val="27457A1B"/>
    <w:rsid w:val="274B704D"/>
    <w:rsid w:val="279C2686"/>
    <w:rsid w:val="27EF1D1C"/>
    <w:rsid w:val="28042C4F"/>
    <w:rsid w:val="280660E7"/>
    <w:rsid w:val="28706D19"/>
    <w:rsid w:val="28CF7D70"/>
    <w:rsid w:val="291F3D28"/>
    <w:rsid w:val="29DA5D7B"/>
    <w:rsid w:val="29F02881"/>
    <w:rsid w:val="2A071140"/>
    <w:rsid w:val="2AB2711F"/>
    <w:rsid w:val="2AC967C3"/>
    <w:rsid w:val="2B020E86"/>
    <w:rsid w:val="2B0F5B99"/>
    <w:rsid w:val="2B5C1158"/>
    <w:rsid w:val="2B6C5691"/>
    <w:rsid w:val="2B797C93"/>
    <w:rsid w:val="2BDA2720"/>
    <w:rsid w:val="2BE93C1A"/>
    <w:rsid w:val="2BED313B"/>
    <w:rsid w:val="2C695F59"/>
    <w:rsid w:val="2CA413CA"/>
    <w:rsid w:val="2CA90A4C"/>
    <w:rsid w:val="2CE90E48"/>
    <w:rsid w:val="2CF55C1F"/>
    <w:rsid w:val="2D5B1D46"/>
    <w:rsid w:val="2D665E74"/>
    <w:rsid w:val="2D99286E"/>
    <w:rsid w:val="2DA9678E"/>
    <w:rsid w:val="2DBB4BC6"/>
    <w:rsid w:val="2DF41412"/>
    <w:rsid w:val="2DF84522"/>
    <w:rsid w:val="2E234DC0"/>
    <w:rsid w:val="2E27059C"/>
    <w:rsid w:val="2E2B0E5E"/>
    <w:rsid w:val="2E575FCC"/>
    <w:rsid w:val="2E693B84"/>
    <w:rsid w:val="2E8645F4"/>
    <w:rsid w:val="2EB108A7"/>
    <w:rsid w:val="2ED9380E"/>
    <w:rsid w:val="2F3C1896"/>
    <w:rsid w:val="2F5F3B7C"/>
    <w:rsid w:val="2FAD15F5"/>
    <w:rsid w:val="2FB63E0A"/>
    <w:rsid w:val="2FC17E5A"/>
    <w:rsid w:val="30136908"/>
    <w:rsid w:val="302A2D00"/>
    <w:rsid w:val="305E1890"/>
    <w:rsid w:val="30677FAE"/>
    <w:rsid w:val="30FF6F51"/>
    <w:rsid w:val="31104BF6"/>
    <w:rsid w:val="31353885"/>
    <w:rsid w:val="314D409C"/>
    <w:rsid w:val="31526CE7"/>
    <w:rsid w:val="316B62D0"/>
    <w:rsid w:val="318178A1"/>
    <w:rsid w:val="31AC0DC2"/>
    <w:rsid w:val="31C55E0D"/>
    <w:rsid w:val="31E76326"/>
    <w:rsid w:val="31FE5396"/>
    <w:rsid w:val="321C6AB4"/>
    <w:rsid w:val="3233535A"/>
    <w:rsid w:val="323572F6"/>
    <w:rsid w:val="3292724F"/>
    <w:rsid w:val="329A3D4F"/>
    <w:rsid w:val="32BE2A91"/>
    <w:rsid w:val="33074498"/>
    <w:rsid w:val="330D4250"/>
    <w:rsid w:val="33525E3B"/>
    <w:rsid w:val="33694DA7"/>
    <w:rsid w:val="338843DC"/>
    <w:rsid w:val="33AE791F"/>
    <w:rsid w:val="33F26834"/>
    <w:rsid w:val="3408478C"/>
    <w:rsid w:val="34325184"/>
    <w:rsid w:val="346E1C27"/>
    <w:rsid w:val="34DF14AF"/>
    <w:rsid w:val="34F27B67"/>
    <w:rsid w:val="351F5B3F"/>
    <w:rsid w:val="3522571C"/>
    <w:rsid w:val="35591BE5"/>
    <w:rsid w:val="35FE0154"/>
    <w:rsid w:val="36064E50"/>
    <w:rsid w:val="362863AF"/>
    <w:rsid w:val="36597105"/>
    <w:rsid w:val="36844F22"/>
    <w:rsid w:val="36D178DD"/>
    <w:rsid w:val="377B59BA"/>
    <w:rsid w:val="37AF0454"/>
    <w:rsid w:val="37D05C01"/>
    <w:rsid w:val="384E10B3"/>
    <w:rsid w:val="38590496"/>
    <w:rsid w:val="38613F89"/>
    <w:rsid w:val="3899102A"/>
    <w:rsid w:val="38B12F90"/>
    <w:rsid w:val="38B62F41"/>
    <w:rsid w:val="38E34C6A"/>
    <w:rsid w:val="39012FAB"/>
    <w:rsid w:val="391F1B16"/>
    <w:rsid w:val="39225E0E"/>
    <w:rsid w:val="398A76FF"/>
    <w:rsid w:val="39A352DB"/>
    <w:rsid w:val="39D440DC"/>
    <w:rsid w:val="39D96E5F"/>
    <w:rsid w:val="3A1B5E20"/>
    <w:rsid w:val="3A6B125E"/>
    <w:rsid w:val="3A954F3B"/>
    <w:rsid w:val="3ACC4E51"/>
    <w:rsid w:val="3AD218BA"/>
    <w:rsid w:val="3B163B4E"/>
    <w:rsid w:val="3B7E51F7"/>
    <w:rsid w:val="3B8811A4"/>
    <w:rsid w:val="3BAC10D3"/>
    <w:rsid w:val="3BC6514F"/>
    <w:rsid w:val="3C0F220A"/>
    <w:rsid w:val="3C267544"/>
    <w:rsid w:val="3C8C6D91"/>
    <w:rsid w:val="3CD44D29"/>
    <w:rsid w:val="3CDE029E"/>
    <w:rsid w:val="3D36354C"/>
    <w:rsid w:val="3D3831E2"/>
    <w:rsid w:val="3DA632A2"/>
    <w:rsid w:val="3DBB413B"/>
    <w:rsid w:val="3DC93A44"/>
    <w:rsid w:val="3DD11BB1"/>
    <w:rsid w:val="3DED4811"/>
    <w:rsid w:val="3E1D6EB4"/>
    <w:rsid w:val="3E1F3CAD"/>
    <w:rsid w:val="3E292C29"/>
    <w:rsid w:val="3E417CA1"/>
    <w:rsid w:val="3E78615B"/>
    <w:rsid w:val="3E8E35FE"/>
    <w:rsid w:val="3E8F22E6"/>
    <w:rsid w:val="3F19434D"/>
    <w:rsid w:val="3F261A88"/>
    <w:rsid w:val="3F984C13"/>
    <w:rsid w:val="40271DD6"/>
    <w:rsid w:val="41015B84"/>
    <w:rsid w:val="410C362B"/>
    <w:rsid w:val="428E7BE1"/>
    <w:rsid w:val="42B20B36"/>
    <w:rsid w:val="42FB66C8"/>
    <w:rsid w:val="43192944"/>
    <w:rsid w:val="43394480"/>
    <w:rsid w:val="43DA5243"/>
    <w:rsid w:val="447255E6"/>
    <w:rsid w:val="44B30D3B"/>
    <w:rsid w:val="44CD7E13"/>
    <w:rsid w:val="453A628D"/>
    <w:rsid w:val="454B2248"/>
    <w:rsid w:val="456B28EB"/>
    <w:rsid w:val="45B61DB8"/>
    <w:rsid w:val="45D2152F"/>
    <w:rsid w:val="45EE0F95"/>
    <w:rsid w:val="45F42F70"/>
    <w:rsid w:val="45F85626"/>
    <w:rsid w:val="462273F5"/>
    <w:rsid w:val="466556B5"/>
    <w:rsid w:val="46710516"/>
    <w:rsid w:val="467529A8"/>
    <w:rsid w:val="4692195B"/>
    <w:rsid w:val="46B609DC"/>
    <w:rsid w:val="470E15D4"/>
    <w:rsid w:val="47234C6F"/>
    <w:rsid w:val="47E36768"/>
    <w:rsid w:val="4810142F"/>
    <w:rsid w:val="48142C67"/>
    <w:rsid w:val="482D17EB"/>
    <w:rsid w:val="484162BE"/>
    <w:rsid w:val="48643D4D"/>
    <w:rsid w:val="487D7E3E"/>
    <w:rsid w:val="489624DB"/>
    <w:rsid w:val="48967192"/>
    <w:rsid w:val="489A6313"/>
    <w:rsid w:val="48A95C04"/>
    <w:rsid w:val="48CE0A5C"/>
    <w:rsid w:val="4949445D"/>
    <w:rsid w:val="495A3295"/>
    <w:rsid w:val="49B51BAE"/>
    <w:rsid w:val="4A1225DB"/>
    <w:rsid w:val="4A442B3D"/>
    <w:rsid w:val="4A5E47CC"/>
    <w:rsid w:val="4A7E09CA"/>
    <w:rsid w:val="4A884CC6"/>
    <w:rsid w:val="4AA55BC3"/>
    <w:rsid w:val="4ABC7D85"/>
    <w:rsid w:val="4AC97E97"/>
    <w:rsid w:val="4BA3693A"/>
    <w:rsid w:val="4BDB1104"/>
    <w:rsid w:val="4C254B4B"/>
    <w:rsid w:val="4C676E45"/>
    <w:rsid w:val="4D07114B"/>
    <w:rsid w:val="4D403EDA"/>
    <w:rsid w:val="4D954046"/>
    <w:rsid w:val="4E1F7D24"/>
    <w:rsid w:val="4E202AF3"/>
    <w:rsid w:val="4E5E7FDF"/>
    <w:rsid w:val="4E6D29C4"/>
    <w:rsid w:val="4E7A06F8"/>
    <w:rsid w:val="4E9A0D74"/>
    <w:rsid w:val="4F282F37"/>
    <w:rsid w:val="4F701691"/>
    <w:rsid w:val="4FAA2095"/>
    <w:rsid w:val="4FC60E49"/>
    <w:rsid w:val="4FCD31AD"/>
    <w:rsid w:val="4FF52C71"/>
    <w:rsid w:val="503A7A08"/>
    <w:rsid w:val="50512976"/>
    <w:rsid w:val="5052092F"/>
    <w:rsid w:val="5055041F"/>
    <w:rsid w:val="509A51EA"/>
    <w:rsid w:val="509E3ED1"/>
    <w:rsid w:val="50B44F07"/>
    <w:rsid w:val="514E559A"/>
    <w:rsid w:val="51D610EC"/>
    <w:rsid w:val="51E92988"/>
    <w:rsid w:val="520E62B8"/>
    <w:rsid w:val="528312E8"/>
    <w:rsid w:val="529A4BA7"/>
    <w:rsid w:val="52B50FFA"/>
    <w:rsid w:val="52BB3578"/>
    <w:rsid w:val="52C31E67"/>
    <w:rsid w:val="52DA54E7"/>
    <w:rsid w:val="52E468A6"/>
    <w:rsid w:val="52E8669F"/>
    <w:rsid w:val="531F42E7"/>
    <w:rsid w:val="53D6797D"/>
    <w:rsid w:val="53E775E0"/>
    <w:rsid w:val="54723052"/>
    <w:rsid w:val="54BC690A"/>
    <w:rsid w:val="54FD5330"/>
    <w:rsid w:val="55132EB9"/>
    <w:rsid w:val="55E101CF"/>
    <w:rsid w:val="55F00828"/>
    <w:rsid w:val="56174AC2"/>
    <w:rsid w:val="56431446"/>
    <w:rsid w:val="56C12F72"/>
    <w:rsid w:val="56E5591B"/>
    <w:rsid w:val="56E8059A"/>
    <w:rsid w:val="57012393"/>
    <w:rsid w:val="57091C60"/>
    <w:rsid w:val="57631674"/>
    <w:rsid w:val="5794495B"/>
    <w:rsid w:val="57A500D0"/>
    <w:rsid w:val="57C351F2"/>
    <w:rsid w:val="57C6432D"/>
    <w:rsid w:val="57D4431F"/>
    <w:rsid w:val="583C0340"/>
    <w:rsid w:val="58532224"/>
    <w:rsid w:val="586903C5"/>
    <w:rsid w:val="58711142"/>
    <w:rsid w:val="588726B7"/>
    <w:rsid w:val="58F57085"/>
    <w:rsid w:val="593212FE"/>
    <w:rsid w:val="59590F80"/>
    <w:rsid w:val="59A732EE"/>
    <w:rsid w:val="59C3464B"/>
    <w:rsid w:val="59DE2BBE"/>
    <w:rsid w:val="5A28151F"/>
    <w:rsid w:val="5A410A6F"/>
    <w:rsid w:val="5A4A2677"/>
    <w:rsid w:val="5AC55338"/>
    <w:rsid w:val="5B3F45CC"/>
    <w:rsid w:val="5BC17152"/>
    <w:rsid w:val="5C157C52"/>
    <w:rsid w:val="5C432399"/>
    <w:rsid w:val="5C65447A"/>
    <w:rsid w:val="5C983E75"/>
    <w:rsid w:val="5CCD039C"/>
    <w:rsid w:val="5CE05C01"/>
    <w:rsid w:val="5D067F46"/>
    <w:rsid w:val="5D227959"/>
    <w:rsid w:val="5D670D19"/>
    <w:rsid w:val="5DEA6484"/>
    <w:rsid w:val="5E2A0506"/>
    <w:rsid w:val="5E714BC8"/>
    <w:rsid w:val="5F816B3B"/>
    <w:rsid w:val="5F8A2976"/>
    <w:rsid w:val="5F8B5C0B"/>
    <w:rsid w:val="5FB9070F"/>
    <w:rsid w:val="5FE039CC"/>
    <w:rsid w:val="600E7957"/>
    <w:rsid w:val="606D70BF"/>
    <w:rsid w:val="60C87067"/>
    <w:rsid w:val="60D137C0"/>
    <w:rsid w:val="60EB4FAC"/>
    <w:rsid w:val="611C2FBF"/>
    <w:rsid w:val="613D03AF"/>
    <w:rsid w:val="615269E1"/>
    <w:rsid w:val="622C1128"/>
    <w:rsid w:val="62840C9B"/>
    <w:rsid w:val="62C3746A"/>
    <w:rsid w:val="62E95123"/>
    <w:rsid w:val="63753EA0"/>
    <w:rsid w:val="63923347"/>
    <w:rsid w:val="63A60D41"/>
    <w:rsid w:val="63C45248"/>
    <w:rsid w:val="63C6035F"/>
    <w:rsid w:val="646E0F66"/>
    <w:rsid w:val="64912F7B"/>
    <w:rsid w:val="649A1D1D"/>
    <w:rsid w:val="64E04304"/>
    <w:rsid w:val="659B691E"/>
    <w:rsid w:val="65D242C5"/>
    <w:rsid w:val="65D43361"/>
    <w:rsid w:val="65F10142"/>
    <w:rsid w:val="66124991"/>
    <w:rsid w:val="662D4F6B"/>
    <w:rsid w:val="66770C98"/>
    <w:rsid w:val="66E10C4D"/>
    <w:rsid w:val="67035B0B"/>
    <w:rsid w:val="676236F6"/>
    <w:rsid w:val="67D22629"/>
    <w:rsid w:val="68442F0B"/>
    <w:rsid w:val="685D140B"/>
    <w:rsid w:val="68D47A7B"/>
    <w:rsid w:val="68DF193E"/>
    <w:rsid w:val="68E84E3F"/>
    <w:rsid w:val="68F76E5C"/>
    <w:rsid w:val="69455133"/>
    <w:rsid w:val="69937B96"/>
    <w:rsid w:val="69C2222A"/>
    <w:rsid w:val="69DF21C2"/>
    <w:rsid w:val="6A3757AC"/>
    <w:rsid w:val="6A62031D"/>
    <w:rsid w:val="6A701523"/>
    <w:rsid w:val="6AC1406F"/>
    <w:rsid w:val="6B4120C8"/>
    <w:rsid w:val="6B58506D"/>
    <w:rsid w:val="6B79224C"/>
    <w:rsid w:val="6B8E33C6"/>
    <w:rsid w:val="6B9B5986"/>
    <w:rsid w:val="6BDD42B9"/>
    <w:rsid w:val="6BE84649"/>
    <w:rsid w:val="6C085287"/>
    <w:rsid w:val="6C401523"/>
    <w:rsid w:val="6C7D0E73"/>
    <w:rsid w:val="6CD00EA6"/>
    <w:rsid w:val="6CE6131C"/>
    <w:rsid w:val="6D1A2C05"/>
    <w:rsid w:val="6D313420"/>
    <w:rsid w:val="6DDB7D5E"/>
    <w:rsid w:val="6DDD5A51"/>
    <w:rsid w:val="6DE51FC5"/>
    <w:rsid w:val="6E042F01"/>
    <w:rsid w:val="6E4D2AB7"/>
    <w:rsid w:val="6E9047F2"/>
    <w:rsid w:val="6EA15698"/>
    <w:rsid w:val="6EA231BA"/>
    <w:rsid w:val="6ED30F77"/>
    <w:rsid w:val="6F3A3E03"/>
    <w:rsid w:val="6F482D42"/>
    <w:rsid w:val="6FA523D2"/>
    <w:rsid w:val="6FAA57D6"/>
    <w:rsid w:val="6FDE58E3"/>
    <w:rsid w:val="701045B5"/>
    <w:rsid w:val="701C133B"/>
    <w:rsid w:val="703D37EB"/>
    <w:rsid w:val="70BF5715"/>
    <w:rsid w:val="712D6B22"/>
    <w:rsid w:val="71305754"/>
    <w:rsid w:val="715B4B81"/>
    <w:rsid w:val="717B055E"/>
    <w:rsid w:val="71B16C93"/>
    <w:rsid w:val="724F0F1D"/>
    <w:rsid w:val="729C3F60"/>
    <w:rsid w:val="729E26DA"/>
    <w:rsid w:val="72D4516E"/>
    <w:rsid w:val="730069FC"/>
    <w:rsid w:val="7301390F"/>
    <w:rsid w:val="73070F3B"/>
    <w:rsid w:val="73B07EB2"/>
    <w:rsid w:val="73ED585D"/>
    <w:rsid w:val="741E6BF6"/>
    <w:rsid w:val="74257F85"/>
    <w:rsid w:val="747607E0"/>
    <w:rsid w:val="74885165"/>
    <w:rsid w:val="751000FD"/>
    <w:rsid w:val="757A7E5C"/>
    <w:rsid w:val="75E01033"/>
    <w:rsid w:val="76065B94"/>
    <w:rsid w:val="768C7E47"/>
    <w:rsid w:val="76B15B00"/>
    <w:rsid w:val="76BB01D4"/>
    <w:rsid w:val="76D56593"/>
    <w:rsid w:val="775A1CF3"/>
    <w:rsid w:val="77624692"/>
    <w:rsid w:val="778446AD"/>
    <w:rsid w:val="77845FB9"/>
    <w:rsid w:val="77DF59B7"/>
    <w:rsid w:val="783F4636"/>
    <w:rsid w:val="784A36AB"/>
    <w:rsid w:val="78AE6557"/>
    <w:rsid w:val="78E75FB4"/>
    <w:rsid w:val="794949B1"/>
    <w:rsid w:val="79F151EA"/>
    <w:rsid w:val="79FE1404"/>
    <w:rsid w:val="7A043533"/>
    <w:rsid w:val="7A4B1055"/>
    <w:rsid w:val="7A63567B"/>
    <w:rsid w:val="7A7F4E68"/>
    <w:rsid w:val="7AD161DF"/>
    <w:rsid w:val="7ADC47C3"/>
    <w:rsid w:val="7B4B6523"/>
    <w:rsid w:val="7B764AA9"/>
    <w:rsid w:val="7BD07335"/>
    <w:rsid w:val="7BD227A0"/>
    <w:rsid w:val="7C07399B"/>
    <w:rsid w:val="7C2D5E41"/>
    <w:rsid w:val="7C7F0961"/>
    <w:rsid w:val="7CA010C3"/>
    <w:rsid w:val="7CA34E54"/>
    <w:rsid w:val="7CCE6A29"/>
    <w:rsid w:val="7CF33270"/>
    <w:rsid w:val="7D02603F"/>
    <w:rsid w:val="7D2C2B03"/>
    <w:rsid w:val="7D4A280A"/>
    <w:rsid w:val="7D7550E8"/>
    <w:rsid w:val="7DC205F3"/>
    <w:rsid w:val="7E146C66"/>
    <w:rsid w:val="7E1D3989"/>
    <w:rsid w:val="7E261D0D"/>
    <w:rsid w:val="7E6E437D"/>
    <w:rsid w:val="7ED61979"/>
    <w:rsid w:val="7F051133"/>
    <w:rsid w:val="7F150C8C"/>
    <w:rsid w:val="7F61079B"/>
    <w:rsid w:val="7FC50E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qFormat="1" w:unhideWhenUsed="0" w:uiPriority="0" w:semiHidden="0" w:name="toc 2"/>
    <w:lsdException w:qFormat="1"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qFormat="1" w:uiPriority="0" w:semiHidden="0" w:name="annotation reference"/>
    <w:lsdException w:unhideWhenUsed="0" w:uiPriority="0" w:semiHidden="0" w:name="line number"/>
    <w:lsdException w:qFormat="1" w:unhideWhenUsed="0" w:uiPriority="99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widowControl w:val="0"/>
      <w:spacing w:before="340" w:after="330" w:line="578" w:lineRule="auto"/>
      <w:jc w:val="both"/>
      <w:outlineLvl w:val="0"/>
    </w:pPr>
    <w:rPr>
      <w:rFonts w:ascii="Times New Roman" w:hAnsi="Times New Roman" w:eastAsia="宋体" w:cs="Times New Roman"/>
      <w:b/>
      <w:bCs/>
      <w:kern w:val="44"/>
      <w:sz w:val="44"/>
      <w:szCs w:val="24"/>
    </w:rPr>
  </w:style>
  <w:style w:type="paragraph" w:styleId="3">
    <w:name w:val="heading 2"/>
    <w:basedOn w:val="1"/>
    <w:next w:val="1"/>
    <w:qFormat/>
    <w:uiPriority w:val="0"/>
    <w:pPr>
      <w:keepNext/>
      <w:keepLines/>
      <w:spacing w:before="260" w:after="260" w:line="413" w:lineRule="auto"/>
      <w:outlineLvl w:val="1"/>
    </w:pPr>
    <w:rPr>
      <w:rFonts w:eastAsia="黑体"/>
      <w:b/>
      <w:bCs/>
      <w:sz w:val="32"/>
      <w:szCs w:val="32"/>
    </w:rPr>
  </w:style>
  <w:style w:type="paragraph" w:styleId="4">
    <w:name w:val="heading 4"/>
    <w:basedOn w:val="1"/>
    <w:next w:val="1"/>
    <w:link w:val="32"/>
    <w:semiHidden/>
    <w:unhideWhenUsed/>
    <w:qFormat/>
    <w:uiPriority w:val="0"/>
    <w:pPr>
      <w:keepNext/>
      <w:keepLines/>
      <w:spacing w:before="280" w:after="290" w:line="372" w:lineRule="auto"/>
      <w:outlineLvl w:val="3"/>
    </w:pPr>
    <w:rPr>
      <w:rFonts w:eastAsia="黑体"/>
      <w:b/>
      <w:sz w:val="28"/>
    </w:rPr>
  </w:style>
  <w:style w:type="character" w:default="1" w:styleId="20">
    <w:name w:val="Default Paragraph Font"/>
    <w:semiHidden/>
    <w:unhideWhenUsed/>
    <w:qFormat/>
    <w:uiPriority w:val="1"/>
  </w:style>
  <w:style w:type="table" w:default="1" w:styleId="1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annotation text"/>
    <w:basedOn w:val="1"/>
    <w:qFormat/>
    <w:uiPriority w:val="0"/>
  </w:style>
  <w:style w:type="paragraph" w:styleId="6">
    <w:name w:val="Body Text"/>
    <w:basedOn w:val="1"/>
    <w:qFormat/>
    <w:uiPriority w:val="0"/>
    <w:rPr>
      <w:rFonts w:ascii="仿宋" w:hAnsi="仿宋" w:eastAsia="仿宋" w:cs="仿宋"/>
      <w:sz w:val="30"/>
      <w:szCs w:val="30"/>
    </w:rPr>
  </w:style>
  <w:style w:type="paragraph" w:styleId="7">
    <w:name w:val="Body Text Indent"/>
    <w:basedOn w:val="1"/>
    <w:next w:val="8"/>
    <w:unhideWhenUsed/>
    <w:qFormat/>
    <w:uiPriority w:val="99"/>
    <w:pPr>
      <w:spacing w:after="120"/>
      <w:ind w:left="420" w:leftChars="200"/>
    </w:pPr>
    <w:rPr>
      <w:rFonts w:eastAsia="微软雅黑"/>
      <w:sz w:val="24"/>
      <w:szCs w:val="20"/>
    </w:rPr>
  </w:style>
  <w:style w:type="paragraph" w:styleId="8">
    <w:name w:val="Body Text First Indent 2"/>
    <w:basedOn w:val="7"/>
    <w:qFormat/>
    <w:uiPriority w:val="0"/>
    <w:pPr>
      <w:ind w:firstLine="420"/>
    </w:pPr>
  </w:style>
  <w:style w:type="paragraph" w:styleId="9">
    <w:name w:val="toc 3"/>
    <w:basedOn w:val="1"/>
    <w:next w:val="1"/>
    <w:qFormat/>
    <w:uiPriority w:val="0"/>
    <w:pPr>
      <w:ind w:left="840" w:leftChars="400"/>
    </w:pPr>
  </w:style>
  <w:style w:type="paragraph" w:styleId="10">
    <w:name w:val="Plain Text"/>
    <w:basedOn w:val="1"/>
    <w:qFormat/>
    <w:uiPriority w:val="0"/>
    <w:rPr>
      <w:rFonts w:ascii="宋体" w:hAnsi="Courier New"/>
      <w:sz w:val="20"/>
    </w:rPr>
  </w:style>
  <w:style w:type="paragraph" w:styleId="11">
    <w:name w:val="footer"/>
    <w:basedOn w:val="1"/>
    <w:qFormat/>
    <w:uiPriority w:val="0"/>
    <w:pPr>
      <w:tabs>
        <w:tab w:val="center" w:pos="4153"/>
        <w:tab w:val="right" w:pos="8306"/>
      </w:tabs>
    </w:pPr>
    <w:rPr>
      <w:sz w:val="18"/>
    </w:rPr>
  </w:style>
  <w:style w:type="paragraph" w:styleId="12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jc w:val="both"/>
    </w:pPr>
    <w:rPr>
      <w:sz w:val="18"/>
    </w:rPr>
  </w:style>
  <w:style w:type="paragraph" w:styleId="13">
    <w:name w:val="toc 1"/>
    <w:basedOn w:val="1"/>
    <w:next w:val="1"/>
    <w:qFormat/>
    <w:uiPriority w:val="0"/>
  </w:style>
  <w:style w:type="paragraph" w:styleId="14">
    <w:name w:val="Subtitle"/>
    <w:basedOn w:val="1"/>
    <w:next w:val="1"/>
    <w:qFormat/>
    <w:uiPriority w:val="0"/>
    <w:pPr>
      <w:spacing w:before="240" w:after="60" w:line="312" w:lineRule="auto"/>
      <w:jc w:val="center"/>
      <w:outlineLvl w:val="1"/>
    </w:pPr>
    <w:rPr>
      <w:rFonts w:ascii="Cambria" w:hAnsi="Cambria"/>
      <w:b/>
      <w:bCs/>
      <w:kern w:val="28"/>
      <w:sz w:val="32"/>
      <w:szCs w:val="32"/>
    </w:rPr>
  </w:style>
  <w:style w:type="paragraph" w:styleId="15">
    <w:name w:val="toc 2"/>
    <w:basedOn w:val="1"/>
    <w:next w:val="1"/>
    <w:qFormat/>
    <w:uiPriority w:val="0"/>
    <w:pPr>
      <w:ind w:left="420" w:leftChars="200"/>
    </w:pPr>
  </w:style>
  <w:style w:type="paragraph" w:styleId="16">
    <w:name w:val="Normal (Web)"/>
    <w:basedOn w:val="1"/>
    <w:qFormat/>
    <w:uiPriority w:val="0"/>
    <w:pPr>
      <w:spacing w:before="100" w:beforeAutospacing="1" w:after="100" w:afterAutospacing="1"/>
    </w:pPr>
    <w:rPr>
      <w:rFonts w:ascii="宋体" w:hAnsi="宋体" w:eastAsia="宋体" w:cs="宋体"/>
      <w:sz w:val="24"/>
    </w:rPr>
  </w:style>
  <w:style w:type="paragraph" w:styleId="17">
    <w:name w:val="Body Text First Indent"/>
    <w:basedOn w:val="6"/>
    <w:qFormat/>
    <w:uiPriority w:val="0"/>
    <w:pPr>
      <w:ind w:firstLine="420" w:firstLineChars="100"/>
    </w:pPr>
  </w:style>
  <w:style w:type="table" w:styleId="19">
    <w:name w:val="Table Grid"/>
    <w:basedOn w:val="18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21">
    <w:name w:val="Strong"/>
    <w:basedOn w:val="20"/>
    <w:qFormat/>
    <w:uiPriority w:val="0"/>
    <w:rPr>
      <w:b/>
    </w:rPr>
  </w:style>
  <w:style w:type="character" w:styleId="22">
    <w:name w:val="page number"/>
    <w:basedOn w:val="20"/>
    <w:qFormat/>
    <w:uiPriority w:val="99"/>
    <w:rPr>
      <w:rFonts w:cs="Times New Roman"/>
    </w:rPr>
  </w:style>
  <w:style w:type="character" w:styleId="23">
    <w:name w:val="Emphasis"/>
    <w:qFormat/>
    <w:uiPriority w:val="0"/>
  </w:style>
  <w:style w:type="character" w:styleId="24">
    <w:name w:val="Hyperlink"/>
    <w:basedOn w:val="20"/>
    <w:qFormat/>
    <w:uiPriority w:val="0"/>
    <w:rPr>
      <w:color w:val="0000FF"/>
      <w:u w:val="single"/>
    </w:rPr>
  </w:style>
  <w:style w:type="character" w:styleId="25">
    <w:name w:val="annotation reference"/>
    <w:unhideWhenUsed/>
    <w:qFormat/>
    <w:uiPriority w:val="0"/>
    <w:rPr>
      <w:sz w:val="21"/>
      <w:szCs w:val="21"/>
    </w:rPr>
  </w:style>
  <w:style w:type="paragraph" w:customStyle="1" w:styleId="26">
    <w:name w:val="正文缩进1"/>
    <w:basedOn w:val="1"/>
    <w:qFormat/>
    <w:uiPriority w:val="0"/>
    <w:pPr>
      <w:ind w:firstLine="420" w:firstLineChars="200"/>
    </w:pPr>
  </w:style>
  <w:style w:type="table" w:customStyle="1" w:styleId="27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28">
    <w:name w:val="Table Text"/>
    <w:basedOn w:val="1"/>
    <w:semiHidden/>
    <w:qFormat/>
    <w:uiPriority w:val="0"/>
  </w:style>
  <w:style w:type="paragraph" w:customStyle="1" w:styleId="29">
    <w:name w:val="Heading #2|1"/>
    <w:basedOn w:val="1"/>
    <w:qFormat/>
    <w:uiPriority w:val="0"/>
    <w:pPr>
      <w:widowControl w:val="0"/>
      <w:spacing w:after="580" w:line="634" w:lineRule="exact"/>
      <w:jc w:val="center"/>
      <w:outlineLvl w:val="1"/>
    </w:pPr>
    <w:rPr>
      <w:rFonts w:ascii="宋体" w:hAnsi="宋体" w:eastAsia="宋体" w:cs="宋体"/>
      <w:sz w:val="44"/>
      <w:szCs w:val="44"/>
      <w:lang w:val="zh-TW" w:eastAsia="zh-TW" w:bidi="zh-TW"/>
    </w:rPr>
  </w:style>
  <w:style w:type="paragraph" w:customStyle="1" w:styleId="30">
    <w:name w:val="Body text|1"/>
    <w:basedOn w:val="1"/>
    <w:qFormat/>
    <w:uiPriority w:val="0"/>
    <w:pPr>
      <w:widowControl w:val="0"/>
      <w:spacing w:line="432" w:lineRule="auto"/>
      <w:ind w:firstLine="400"/>
    </w:pPr>
    <w:rPr>
      <w:rFonts w:ascii="宋体" w:hAnsi="宋体" w:eastAsia="宋体" w:cs="宋体"/>
      <w:sz w:val="30"/>
      <w:szCs w:val="30"/>
      <w:lang w:val="zh-TW" w:eastAsia="zh-TW" w:bidi="zh-TW"/>
    </w:rPr>
  </w:style>
  <w:style w:type="paragraph" w:customStyle="1" w:styleId="31">
    <w:name w:val="Body text|2"/>
    <w:basedOn w:val="1"/>
    <w:qFormat/>
    <w:uiPriority w:val="0"/>
    <w:pPr>
      <w:widowControl w:val="0"/>
    </w:pPr>
    <w:rPr>
      <w:rFonts w:ascii="宋体" w:hAnsi="宋体" w:eastAsia="宋体" w:cs="宋体"/>
      <w:sz w:val="26"/>
      <w:szCs w:val="26"/>
      <w:lang w:val="zh-TW" w:eastAsia="zh-TW" w:bidi="zh-TW"/>
    </w:rPr>
  </w:style>
  <w:style w:type="character" w:customStyle="1" w:styleId="32">
    <w:name w:val="标题 4 字符"/>
    <w:link w:val="4"/>
    <w:qFormat/>
    <w:uiPriority w:val="0"/>
    <w:rPr>
      <w:rFonts w:ascii="Arial" w:hAnsi="Arial" w:eastAsia="黑体"/>
      <w:b/>
      <w:sz w:val="28"/>
    </w:rPr>
  </w:style>
  <w:style w:type="paragraph" w:customStyle="1" w:styleId="33">
    <w:name w:val="正文_0_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paragraph" w:customStyle="1" w:styleId="34">
    <w:name w:val="样式1"/>
    <w:basedOn w:val="2"/>
    <w:qFormat/>
    <w:uiPriority w:val="0"/>
    <w:pPr>
      <w:spacing w:before="240" w:after="240" w:line="440" w:lineRule="exact"/>
      <w:jc w:val="center"/>
    </w:pPr>
    <w:rPr>
      <w:rFonts w:eastAsia="楷体"/>
      <w:sz w:val="36"/>
      <w:szCs w:val="28"/>
    </w:rPr>
  </w:style>
  <w:style w:type="character" w:customStyle="1" w:styleId="35">
    <w:name w:val="font31"/>
    <w:qFormat/>
    <w:uiPriority w:val="0"/>
    <w:rPr>
      <w:rFonts w:hint="eastAsia" w:ascii="宋体" w:hAnsi="宋体" w:eastAsia="宋体" w:cs="宋体"/>
      <w:color w:val="000000"/>
      <w:sz w:val="21"/>
      <w:szCs w:val="21"/>
      <w:u w:val="none"/>
    </w:rPr>
  </w:style>
  <w:style w:type="paragraph" w:customStyle="1" w:styleId="36">
    <w:name w:val="Default"/>
    <w:qFormat/>
    <w:uiPriority w:val="0"/>
    <w:pPr>
      <w:widowControl w:val="0"/>
      <w:autoSpaceDE w:val="0"/>
      <w:autoSpaceDN w:val="0"/>
      <w:adjustRightInd w:val="0"/>
    </w:pPr>
    <w:rPr>
      <w:rFonts w:ascii="Times New Roman" w:hAnsi="Times New Roman" w:eastAsia="宋体" w:cs="Times New Roman"/>
      <w:color w:val="000000"/>
      <w:sz w:val="24"/>
      <w:szCs w:val="24"/>
      <w:lang w:val="en-US" w:eastAsia="zh-CN" w:bidi="ar-SA"/>
    </w:rPr>
  </w:style>
  <w:style w:type="character" w:customStyle="1" w:styleId="37">
    <w:name w:val="font41"/>
    <w:qFormat/>
    <w:uiPriority w:val="0"/>
    <w:rPr>
      <w:rFonts w:hint="eastAsia" w:ascii="仿宋" w:hAnsi="仿宋" w:eastAsia="仿宋" w:cs="仿宋"/>
      <w:color w:val="000000"/>
      <w:sz w:val="24"/>
      <w:szCs w:val="24"/>
      <w:u w:val="none"/>
    </w:rPr>
  </w:style>
  <w:style w:type="table" w:customStyle="1" w:styleId="38">
    <w:name w:val="_Style 14"/>
    <w:basedOn w:val="39"/>
    <w:qFormat/>
    <w:uiPriority w:val="0"/>
  </w:style>
  <w:style w:type="table" w:customStyle="1" w:styleId="39">
    <w:name w:val="TableNormal"/>
    <w:qFormat/>
    <w:uiPriority w:val="0"/>
    <w:tblPr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40">
    <w:name w:val="_Style 15"/>
    <w:basedOn w:val="39"/>
    <w:qFormat/>
    <w:uiPriority w:val="0"/>
  </w:style>
  <w:style w:type="paragraph" w:customStyle="1" w:styleId="41">
    <w:name w:val="WPSOffice手动目录 1"/>
    <w:qFormat/>
    <w:uiPriority w:val="0"/>
    <w:rPr>
      <w:rFonts w:ascii="Times New Roman" w:hAnsi="Times New Roman" w:eastAsia="宋体" w:cs="Times New Roman"/>
      <w:lang w:val="en-US" w:eastAsia="zh-CN" w:bidi="ar-SA"/>
    </w:rPr>
  </w:style>
  <w:style w:type="paragraph" w:customStyle="1" w:styleId="42">
    <w:name w:val="WPSOffice手动目录 2"/>
    <w:qFormat/>
    <w:uiPriority w:val="0"/>
    <w:pPr>
      <w:ind w:left="200" w:leftChars="200"/>
    </w:pPr>
    <w:rPr>
      <w:rFonts w:ascii="Times New Roman" w:hAnsi="Times New Roman" w:eastAsia="宋体" w:cs="Times New Roman"/>
      <w:lang w:val="en-US" w:eastAsia="zh-CN" w:bidi="ar-SA"/>
    </w:rPr>
  </w:style>
  <w:style w:type="paragraph" w:customStyle="1" w:styleId="43">
    <w:name w:val="WPSOffice手动目录 3"/>
    <w:qFormat/>
    <w:uiPriority w:val="0"/>
    <w:pPr>
      <w:ind w:left="400" w:leftChars="400"/>
    </w:pPr>
    <w:rPr>
      <w:rFonts w:ascii="Times New Roman" w:hAnsi="Times New Roman" w:eastAsia="宋体" w:cs="Times New Roman"/>
      <w:lang w:val="en-US" w:eastAsia="zh-CN" w:bidi="ar-SA"/>
    </w:rPr>
  </w:style>
  <w:style w:type="paragraph" w:customStyle="1" w:styleId="44">
    <w:name w:val="Revision"/>
    <w:hidden/>
    <w:unhideWhenUsed/>
    <w:qFormat/>
    <w:uiPriority w:val="99"/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6911</Words>
  <Characters>7534</Characters>
  <Lines>1651</Lines>
  <Paragraphs>1481</Paragraphs>
  <TotalTime>38</TotalTime>
  <ScaleCrop>false</ScaleCrop>
  <LinksUpToDate>false</LinksUpToDate>
  <CharactersWithSpaces>7854</CharactersWithSpaces>
  <Application>WPS Office_12.8.2.18913_F1E327BC-269C-435d-A152-05C5408002CA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2023-09-05T04:49:00Z</dcterms:created>
  <dc:creator>hxw</dc:creator>
  <cp:lastModifiedBy>LENOVO</cp:lastModifiedBy>
  <cp:lastPrinted>2026-01-19T01:43:00Z</cp:lastPrinted>
  <dcterms:modified xsi:type="dcterms:W3CDTF">2026-06-17T06:57:53Z</dcterms:modified>
  <dc:title>政府采购招标文件</dc:title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wqlLaW5nc29mdCBQREYgdG8gV1BTIDkw</vt:lpwstr>
  </property>
  <property fmtid="{D5CDD505-2E9C-101B-9397-08002B2CF9AE}" pid="3" name="Created">
    <vt:filetime>2023-09-01T08:44:53Z</vt:filetime>
  </property>
  <property fmtid="{D5CDD505-2E9C-101B-9397-08002B2CF9AE}" pid="4" name="KSOProductBuildVer">
    <vt:lpwstr>2052-12.8.2.18913</vt:lpwstr>
  </property>
  <property fmtid="{D5CDD505-2E9C-101B-9397-08002B2CF9AE}" pid="5" name="ICV">
    <vt:lpwstr>0E103389EAC5445E906CF6D6558D1147_13</vt:lpwstr>
  </property>
  <property fmtid="{D5CDD505-2E9C-101B-9397-08002B2CF9AE}" pid="6" name="KSOTemplateDocerSaveRecord">
    <vt:lpwstr>eyJoZGlkIjoiYzFlZjg3ZmEzODA2N2IyNTIzODhjMGRlYjgxZGY3ZjQiLCJ1c2VySWQiOiIxMzIxMTU2NzEyIn0=</vt:lpwstr>
  </property>
</Properties>
</file>