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3A40A">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31778"/>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4CB3EBE9">
      <w:pPr>
        <w:pageBreakBefore w:val="0"/>
        <w:widowControl w:val="0"/>
        <w:wordWrap/>
        <w:overflowPunct/>
        <w:topLinePunct w:val="0"/>
        <w:bidi w:val="0"/>
        <w:spacing w:line="257" w:lineRule="auto"/>
        <w:rPr>
          <w:color w:val="auto"/>
          <w:highlight w:val="none"/>
        </w:rPr>
      </w:pPr>
    </w:p>
    <w:p w14:paraId="7C5A5707">
      <w:pPr>
        <w:widowControl w:val="0"/>
        <w:spacing w:line="360" w:lineRule="auto"/>
        <w:ind w:firstLine="552" w:firstLineChars="200"/>
        <w:jc w:val="both"/>
        <w:outlineLvl w:val="1"/>
        <w:rPr>
          <w:rFonts w:ascii="仿宋_GB2312" w:eastAsia="仿宋_GB2312" w:hAnsiTheme="minorEastAsia" w:cstheme="minorEastAsia"/>
          <w:color w:val="auto"/>
          <w:sz w:val="28"/>
          <w:szCs w:val="28"/>
          <w:lang w:eastAsia="zh-CN"/>
        </w:rPr>
      </w:pPr>
      <w:bookmarkStart w:id="1" w:name="_Toc12120"/>
      <w:r>
        <w:rPr>
          <w:rFonts w:hint="eastAsia" w:ascii="仿宋_GB2312" w:eastAsia="仿宋_GB2312" w:hAnsiTheme="minorEastAsia" w:cstheme="minorEastAsia"/>
          <w:color w:val="auto"/>
          <w:spacing w:val="-2"/>
          <w:sz w:val="28"/>
          <w:szCs w:val="28"/>
          <w:lang w:eastAsia="zh-CN"/>
          <w14:textOutline w14:w="4356" w14:cap="sq" w14:cmpd="sng" w14:algn="ctr">
            <w14:solidFill>
              <w14:srgbClr w14:val="000000"/>
            </w14:solidFill>
            <w14:prstDash w14:val="solid"/>
            <w14:bevel/>
          </w14:textOutline>
        </w:rPr>
        <w:t>一、技术要求</w:t>
      </w:r>
      <w:bookmarkEnd w:id="1"/>
    </w:p>
    <w:p w14:paraId="5A123151">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（一）项目背景</w:t>
      </w:r>
    </w:p>
    <w:p w14:paraId="0343EF18">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2025年，上饶经开区大气污染防治咨询服务项目以政府</w:t>
      </w:r>
      <w:r>
        <w:rPr>
          <w:rFonts w:hint="eastAsia" w:ascii="仿宋_GB2312" w:hAnsi="Times New Roman" w:eastAsia="仿宋_GB2312" w:cs="Times New Roman"/>
          <w:sz w:val="28"/>
          <w:szCs w:val="28"/>
          <w:lang w:val="en-US" w:eastAsia="zh-CN"/>
        </w:rPr>
        <w:t>采购</w:t>
      </w:r>
      <w:r>
        <w:rPr>
          <w:rFonts w:hint="eastAsia" w:ascii="仿宋_GB2312" w:hAnsi="Times New Roman" w:eastAsia="仿宋_GB2312" w:cs="Times New Roman"/>
          <w:sz w:val="28"/>
          <w:szCs w:val="28"/>
          <w:lang w:eastAsia="zh-CN"/>
        </w:rPr>
        <w:t>的形式，引进第三方服务团队，服务周期为四个月。通过引进第三方技术服务，完善了我区大气攻坚指挥作战工作机制、强化了科技精准治污能力水平、提升了区域污染预警和工业企业治理能力等，助力经开区改善环境空气质量。由于服务周期较短，排名靠后的被动局面仍未彻底扭转。同时，2026年为“十五五”开年，保持持续改善和完成“十五五”空气质量目标面临挑战，有必要继续引入具有丰富经验和先进水平的大气污染防治专家团队驻场，丰富工作抓手，提升精准治污能力，促进责任落实，巩固“十四五”期间大气污染防治攻坚战成果。</w:t>
      </w:r>
    </w:p>
    <w:p w14:paraId="21899896">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以习近平生态文明思想为指导，全面贯彻落实总书记“视察江西”系列重要讲话精神，坚持稳中求进总基调，认真落实减污降碳总要求，以全面改善空气质量为核心，以降低细颗粒物（PM</w:t>
      </w:r>
      <w:r>
        <w:rPr>
          <w:rFonts w:hint="eastAsia" w:ascii="仿宋_GB2312" w:hAnsi="Times New Roman" w:eastAsia="仿宋_GB2312" w:cs="Times New Roman"/>
          <w:sz w:val="28"/>
          <w:szCs w:val="28"/>
          <w:vertAlign w:val="subscript"/>
          <w:lang w:eastAsia="zh-CN"/>
        </w:rPr>
        <w:t>2.5</w:t>
      </w:r>
      <w:r>
        <w:rPr>
          <w:rFonts w:hint="eastAsia" w:ascii="仿宋_GB2312" w:hAnsi="Times New Roman" w:eastAsia="仿宋_GB2312" w:cs="Times New Roman"/>
          <w:sz w:val="28"/>
          <w:szCs w:val="28"/>
          <w:lang w:eastAsia="zh-CN"/>
        </w:rPr>
        <w:t>）浓度为主线，大力推动氮氧化物和挥发性有机物（VOCs）减排，坚持工业源、移动源、扬尘源、生活面源“四源同治”，坚持把蓝天保卫战作为持续深入打好污染防治攻坚战的重中之重，系统谋划、整体推进；突出精准、科学、依法治污，合理运用科技监测手段实施精准分析，提高污染防治工作效率，巩固扩大蓝天保卫战工作成果，切实保障人民群众身体健康。</w:t>
      </w:r>
    </w:p>
    <w:p w14:paraId="6166E34B">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（二）项目实施目标</w:t>
      </w:r>
      <w:r>
        <w:rPr>
          <w:rFonts w:hint="eastAsia" w:ascii="仿宋_GB2312" w:hAnsi="Times New Roman" w:eastAsia="仿宋_GB2312" w:cs="Times New Roman"/>
          <w:sz w:val="28"/>
          <w:szCs w:val="28"/>
          <w:lang w:eastAsia="zh-CN"/>
        </w:rPr>
        <w:tab/>
      </w:r>
    </w:p>
    <w:p w14:paraId="1D928A1D">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通过本项目的实施，有效提升上饶经开区空气质量数据分析能力和环境污染应急应对能力，坚持目标导向、问题导向和结果导向原则，确保达成2026年下达的经开区PM</w:t>
      </w:r>
      <w:r>
        <w:rPr>
          <w:rFonts w:hint="eastAsia" w:ascii="仿宋_GB2312" w:hAnsi="Times New Roman" w:eastAsia="仿宋_GB2312" w:cs="Times New Roman"/>
          <w:sz w:val="28"/>
          <w:szCs w:val="28"/>
          <w:vertAlign w:val="subscript"/>
          <w:lang w:eastAsia="zh-CN"/>
        </w:rPr>
        <w:t>2.5</w:t>
      </w:r>
      <w:r>
        <w:rPr>
          <w:rFonts w:hint="eastAsia" w:ascii="仿宋_GB2312" w:hAnsi="Times New Roman" w:eastAsia="仿宋_GB2312" w:cs="Times New Roman"/>
          <w:sz w:val="28"/>
          <w:szCs w:val="28"/>
          <w:lang w:eastAsia="zh-CN"/>
        </w:rPr>
        <w:t>浓度、优良天数比率目标。针对大气污染防控工作，围绕加强大气污染防治工作机制体制建立；加强大气污染防治科技支撑能力建设；加强重点区域周边精细化管控能力；进一步提升涉气企业废气排放管理能力等方面开展，力保目标完成，全面提升污染防治工作水平。</w:t>
      </w:r>
    </w:p>
    <w:p w14:paraId="3C88AFEF">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（三）项目实施内容</w:t>
      </w:r>
    </w:p>
    <w:p w14:paraId="6CA3CDED">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项目实施期限为一年，由项目负责人统筹主要开展以下工作：</w:t>
      </w:r>
    </w:p>
    <w:p w14:paraId="1F881BBC">
      <w:pPr>
        <w:topLinePunct/>
        <w:spacing w:line="341" w:lineRule="auto"/>
        <w:ind w:firstLine="562" w:firstLineChars="200"/>
        <w:rPr>
          <w:rFonts w:ascii="仿宋_GB2312" w:eastAsia="仿宋_GB2312"/>
          <w:sz w:val="28"/>
          <w:szCs w:val="28"/>
          <w:highlight w:val="none"/>
          <w:lang w:eastAsia="zh-CN"/>
        </w:rPr>
      </w:pPr>
      <w:r>
        <w:rPr>
          <w:rFonts w:hint="eastAsia" w:ascii="仿宋_GB2312" w:hAnsi="Times New Roman" w:eastAsia="仿宋_GB2312" w:cs="Times New Roman"/>
          <w:b/>
          <w:bCs/>
          <w:color w:val="0000FF"/>
          <w:sz w:val="28"/>
          <w:szCs w:val="28"/>
          <w:highlight w:val="none"/>
          <w:lang w:eastAsia="zh-CN"/>
        </w:rPr>
        <w:t>专业技术团队驻场人员3名（其中项目经理1人(大专及以上学历)、数据分析人1人、污染巡查人员1人），非驻场2名（技术负责人1人(具有大专学历和环境类初级职称的)，无人机驾驶员1人（具有中国民用航空局签发的“民用无人驾驶航空器操控员执照））</w:t>
      </w:r>
      <w:r>
        <w:rPr>
          <w:rFonts w:hint="eastAsia" w:eastAsia="宋体"/>
          <w:lang w:eastAsia="zh-CN"/>
        </w:rPr>
        <w:t>，</w:t>
      </w:r>
      <w:r>
        <w:rPr>
          <w:rFonts w:hint="eastAsia" w:ascii="仿宋_GB2312" w:eastAsia="仿宋_GB2312" w:cs="Times New Roman"/>
          <w:sz w:val="28"/>
          <w:szCs w:val="28"/>
          <w:highlight w:val="none"/>
          <w:lang w:eastAsia="zh-CN"/>
        </w:rPr>
        <w:t>并自备1辆</w:t>
      </w:r>
      <w:r>
        <w:rPr>
          <w:rFonts w:hint="eastAsia" w:ascii="仿宋_GB2312" w:hAnsi="Arial" w:eastAsia="仿宋_GB2312" w:cs="Times New Roman"/>
          <w:sz w:val="28"/>
          <w:szCs w:val="28"/>
          <w:highlight w:val="none"/>
          <w:lang w:eastAsia="zh-CN"/>
        </w:rPr>
        <w:t>专用</w:t>
      </w:r>
      <w:r>
        <w:rPr>
          <w:rFonts w:hint="eastAsia" w:ascii="仿宋_GB2312" w:eastAsia="仿宋_GB2312" w:cs="Times New Roman"/>
          <w:sz w:val="28"/>
          <w:szCs w:val="28"/>
          <w:highlight w:val="none"/>
          <w:lang w:eastAsia="zh-CN"/>
        </w:rPr>
        <w:t>巡查车（自行配备、自行承担燃油、保险、维修、年检、违章、事故等全部费用与安全责任；确保服务期内正常可用，满足日常巡查与应急响应需求）。</w:t>
      </w:r>
    </w:p>
    <w:p w14:paraId="3DE8B852">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建立组织架构与完善工作机制，协助细化各相关部门职责分工，建立“上饶经开区大气污染防治工作群”，由第三方驻场管家团队负责日常管理，系统化地统筹开展全市大气污染防治工作。驻场团队对经开区空气质量月、年完成情况进行动态达标统计，每日通报目标完成情况，实时掌控重点监测指标的达标情况及剩余时间段的控制目标。</w:t>
      </w:r>
    </w:p>
    <w:p w14:paraId="2BFB9B22">
      <w:pPr>
        <w:topLinePunct/>
        <w:spacing w:line="341" w:lineRule="auto"/>
        <w:ind w:firstLine="562" w:firstLineChars="200"/>
        <w:outlineLvl w:val="3"/>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2、技术团队驻场</w:t>
      </w:r>
      <w:r>
        <w:rPr>
          <w:rFonts w:hint="eastAsia" w:ascii="仿宋_GB2312" w:eastAsia="仿宋_GB2312" w:cs="Times New Roman"/>
          <w:b/>
          <w:bCs/>
          <w:sz w:val="28"/>
          <w:szCs w:val="28"/>
          <w:lang w:eastAsia="zh-CN"/>
        </w:rPr>
        <w:t>详细内容</w:t>
      </w:r>
    </w:p>
    <w:p w14:paraId="4ADA332D">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（1）日常驻场会商服务</w:t>
      </w:r>
    </w:p>
    <w:p w14:paraId="31F197EB">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驻场服务团队利用多源数据，每日总结前一日空气质量六因子变化特点及相关性、巡查发现问题、目标完成情况、污染源交办整改销号情况、未来空气质量形势，提出下一步大气污染防治工作重点。</w:t>
      </w:r>
    </w:p>
    <w:p w14:paraId="4E2A8F93">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（2）数据专报服务</w:t>
      </w:r>
    </w:p>
    <w:p w14:paraId="786C20ED">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安排专业数据分析人员进行数据盯控及专报服务，进行数据高值提醒，每日对空气质量进行早间播报，每周形成空气质量周报，每月形成空气质量月报，并根据需要不定期形成分析专报。</w:t>
      </w:r>
    </w:p>
    <w:p w14:paraId="0AE84331">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（3）专项管控方案编制服务</w:t>
      </w:r>
    </w:p>
    <w:p w14:paraId="15B6CF1C">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降低细颗粒物（PM</w:t>
      </w:r>
      <w:r>
        <w:rPr>
          <w:rFonts w:hint="eastAsia" w:ascii="仿宋_GB2312" w:hAnsi="Times New Roman" w:eastAsia="仿宋_GB2312" w:cs="Times New Roman"/>
          <w:sz w:val="28"/>
          <w:szCs w:val="28"/>
          <w:vertAlign w:val="subscript"/>
          <w:lang w:eastAsia="zh-CN"/>
        </w:rPr>
        <w:t>2.5</w:t>
      </w:r>
      <w:r>
        <w:rPr>
          <w:rFonts w:hint="eastAsia" w:ascii="仿宋_GB2312" w:hAnsi="Times New Roman" w:eastAsia="仿宋_GB2312" w:cs="Times New Roman"/>
          <w:sz w:val="28"/>
          <w:szCs w:val="28"/>
          <w:lang w:eastAsia="zh-CN"/>
        </w:rPr>
        <w:t>）浓度为主线，聚焦臭氧污染防控，结合本地实际情况，协助将大气污染治理的各项工作细化分解到各个责任单位；同时根据上级相关文件、工作任务提交各类本地大气污染防治方案，厘清责任、传导压力，确保污染减排的各项措施落到实处，促进各项治理工作按时保质顺利开展，保障经开区完成空气质量考核指标。</w:t>
      </w:r>
    </w:p>
    <w:p w14:paraId="0227AB87">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（4）专题污染事件研究</w:t>
      </w:r>
    </w:p>
    <w:p w14:paraId="78C5096B">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针对经开区典型季节污染过程进行分析，从气象、监测数据、污染气团后向轨迹、排放转化等多方面对污染成因进行研判，根据预报预警信息，跟踪污染过程，及时组织污染前、污染中和污染后的空气质量分析，针对污染天气应急措施进行评估分析，撰写污染天气评估分析报告，提出管控方向和治理建议。</w:t>
      </w:r>
    </w:p>
    <w:p w14:paraId="33D47880">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（5）污染源巡查和督导检查服务</w:t>
      </w:r>
    </w:p>
    <w:p w14:paraId="57053D9A">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对重点管控区域开展日常巡查，对走航监测高值区域开展专项检查。以问题快速发现为目标，以考核站点周边各类污染源精细化管控为重点，充分发挥监测预警体系优势，对经开区各类污染源进行巡查并提供现场技术指导，形成管控指令，督促责任单位整改落实形成污染源巡查台账；开展臭氧应急现场督导工作。达到短期锁源、中期跟踪、长期巩固的目的，通过污染源查找及整治实现空气质量考核指标。</w:t>
      </w:r>
    </w:p>
    <w:p w14:paraId="233C693F">
      <w:pPr>
        <w:topLinePunct/>
        <w:spacing w:line="341" w:lineRule="auto"/>
        <w:ind w:firstLine="562" w:firstLineChars="200"/>
        <w:outlineLvl w:val="3"/>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3、预警预测数据服务</w:t>
      </w:r>
    </w:p>
    <w:p w14:paraId="67170609">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提供空气质量预测预报，预报本地污染物变化趋势，针对污染天气提前预警，及时辅助发布污染天气管控建议，对未来的污染形势进行研判分析，为大气污染管控和重污染应急提供技术支持，有效应对污染天气。</w:t>
      </w:r>
    </w:p>
    <w:p w14:paraId="1F77C097">
      <w:pPr>
        <w:topLinePunct/>
        <w:spacing w:line="341" w:lineRule="auto"/>
        <w:ind w:firstLine="562" w:firstLineChars="200"/>
        <w:outlineLvl w:val="3"/>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4、空间立体监测技术网络服务</w:t>
      </w:r>
    </w:p>
    <w:p w14:paraId="6D6A43A9">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（1）无人机巡查服务</w:t>
      </w:r>
    </w:p>
    <w:p w14:paraId="6F8C4F89">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利用经开区生态环境局无人机在全市行政辖区进行高空巡航监测，重点针对露天焚烧、工地扬尘、高架源进行高空飞行检查，精准发现污染问题，拍摄留存，及时将问题交办责任区域。</w:t>
      </w:r>
    </w:p>
    <w:p w14:paraId="7A322715">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（2）便携式仪器设备检测服务</w:t>
      </w:r>
    </w:p>
    <w:p w14:paraId="45E772B1">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利用经开区生态环境局便携式仪器设备，在服务期内，用于现场巡查时地面监测污染源环境质量数据和精准取证。</w:t>
      </w:r>
    </w:p>
    <w:p w14:paraId="7A6DF798">
      <w:pPr>
        <w:topLinePunct/>
        <w:spacing w:line="341" w:lineRule="auto"/>
        <w:ind w:firstLine="562" w:firstLineChars="200"/>
        <w:outlineLvl w:val="4"/>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（3）道路积尘负荷走航监测服务</w:t>
      </w:r>
    </w:p>
    <w:p w14:paraId="15ABAE35">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服务期内对上饶经开区主要道路开展四次道路积尘负荷走航监测，通过移动监测车自动、快速、实时监测分析不同道路类型，不同路段的道路积尘负荷数据，准确评估各道路扬尘污染水平，从而为道路扬尘控制靶向治理提供科学的数据支撑，提高精准治污能力，有效控制城市道路扬尘污染。每次走航公里数不少于100km，并提供道路积尘负荷走航监测报告1份。服务期内提供道路积尘负荷走航监测报告4份。协助查找尘负荷高值路段，并为采取控制措施及考核提供数据支撑。</w:t>
      </w:r>
    </w:p>
    <w:p w14:paraId="6F3D8A8B">
      <w:pPr>
        <w:topLinePunct/>
        <w:spacing w:line="341" w:lineRule="auto"/>
        <w:ind w:firstLine="562" w:firstLineChars="200"/>
        <w:outlineLvl w:val="3"/>
        <w:rPr>
          <w:rFonts w:ascii="仿宋_GB2312" w:eastAsia="仿宋_GB2312"/>
          <w:b/>
          <w:bCs/>
          <w:sz w:val="28"/>
          <w:szCs w:val="28"/>
          <w:lang w:eastAsia="zh-CN"/>
        </w:rPr>
      </w:pPr>
      <w:r>
        <w:rPr>
          <w:rFonts w:hint="eastAsia" w:ascii="仿宋_GB2312" w:hAnsi="Times New Roman" w:eastAsia="仿宋_GB2312" w:cs="Times New Roman"/>
          <w:b/>
          <w:bCs/>
          <w:sz w:val="28"/>
          <w:szCs w:val="28"/>
          <w:lang w:eastAsia="zh-CN"/>
        </w:rPr>
        <w:t>5、工业企业技术指导服务</w:t>
      </w:r>
    </w:p>
    <w:p w14:paraId="4EFBF750">
      <w:pPr>
        <w:topLinePunct/>
        <w:spacing w:line="341" w:lineRule="auto"/>
        <w:ind w:firstLine="560" w:firstLineChars="200"/>
        <w:rPr>
          <w:rFonts w:ascii="仿宋_GB2312" w:eastAsia="仿宋_GB2312"/>
          <w:sz w:val="28"/>
          <w:szCs w:val="28"/>
          <w:lang w:eastAsia="zh-CN"/>
        </w:rPr>
      </w:pPr>
      <w:r>
        <w:rPr>
          <w:rFonts w:hint="eastAsia" w:ascii="仿宋_GB2312" w:hAnsi="Times New Roman" w:eastAsia="仿宋_GB2312" w:cs="Times New Roman"/>
          <w:sz w:val="28"/>
          <w:szCs w:val="28"/>
          <w:lang w:eastAsia="zh-CN"/>
        </w:rPr>
        <w:t>针对重点企业进行帮扶指导服务，进行现场帮扶指导，针对环保管理台账、工艺流程产排污节点、污染治理设施、污染源自动监控设施进行指导检查。针对企业绩效分级创B争A工作开展指导，并出具指导意见。</w:t>
      </w:r>
    </w:p>
    <w:p w14:paraId="48FAE75A">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hAnsi="Times New Roman" w:eastAsia="仿宋_GB2312" w:cs="Times New Roman"/>
          <w:sz w:val="28"/>
          <w:szCs w:val="28"/>
          <w:lang w:eastAsia="zh-CN"/>
        </w:rPr>
        <w:t>对经开区辖区内重点行业企业开展专项检查，在服务期内对辖区不少于10家排放企业进行问题诊断排查，形成“一企一策”整改建议。</w:t>
      </w:r>
    </w:p>
    <w:p w14:paraId="210F4D1D">
      <w:pPr>
        <w:pStyle w:val="3"/>
        <w:ind w:firstLine="280"/>
        <w:rPr>
          <w:rFonts w:ascii="仿宋_GB2312" w:eastAsia="仿宋_GB2312"/>
          <w:sz w:val="28"/>
          <w:szCs w:val="28"/>
          <w:lang w:eastAsia="zh-CN"/>
        </w:rPr>
      </w:pPr>
    </w:p>
    <w:p w14:paraId="26F8CDB7">
      <w:pPr>
        <w:widowControl w:val="0"/>
        <w:spacing w:line="360" w:lineRule="auto"/>
        <w:ind w:firstLine="552" w:firstLineChars="200"/>
        <w:jc w:val="both"/>
        <w:outlineLvl w:val="1"/>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pacing w:val="-2"/>
          <w:sz w:val="28"/>
          <w:szCs w:val="28"/>
          <w:lang w:eastAsia="zh-CN"/>
          <w14:textOutline w14:w="4356" w14:cap="sq" w14:cmpd="sng" w14:algn="ctr">
            <w14:solidFill>
              <w14:srgbClr w14:val="000000"/>
            </w14:solidFill>
            <w14:prstDash w14:val="solid"/>
            <w14:bevel/>
          </w14:textOutline>
        </w:rPr>
        <w:t>二、商务要求</w:t>
      </w:r>
    </w:p>
    <w:p w14:paraId="5132FE43">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1.服务期限：自合同生效之日起服务期限为一年。</w:t>
      </w:r>
    </w:p>
    <w:p w14:paraId="310DD642">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2.服务地点：上饶市经济技术开发区</w:t>
      </w:r>
    </w:p>
    <w:p w14:paraId="2836193D">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3.付款方式：</w:t>
      </w:r>
    </w:p>
    <w:p w14:paraId="4D9262BA">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highlight w:val="none"/>
          <w:lang w:eastAsia="zh-CN"/>
        </w:rPr>
      </w:pPr>
      <w:r>
        <w:rPr>
          <w:rFonts w:hint="eastAsia" w:ascii="仿宋_GB2312" w:eastAsia="仿宋_GB2312" w:hAnsiTheme="minorEastAsia" w:cstheme="minorEastAsia"/>
          <w:color w:val="auto"/>
          <w:sz w:val="28"/>
          <w:szCs w:val="28"/>
          <w:highlight w:val="none"/>
          <w:lang w:eastAsia="zh-CN"/>
        </w:rPr>
        <w:t>分3个阶段进行支付，合同签订后3</w:t>
      </w:r>
      <w:r>
        <w:rPr>
          <w:rFonts w:ascii="仿宋_GB2312" w:eastAsia="仿宋_GB2312" w:hAnsiTheme="minorEastAsia" w:cstheme="minorEastAsia"/>
          <w:color w:val="auto"/>
          <w:sz w:val="28"/>
          <w:szCs w:val="28"/>
          <w:highlight w:val="none"/>
          <w:lang w:eastAsia="zh-CN"/>
        </w:rPr>
        <w:t>0</w:t>
      </w:r>
      <w:r>
        <w:rPr>
          <w:rFonts w:hint="eastAsia" w:ascii="Calibri" w:hAnsi="Calibri" w:eastAsia="仿宋_GB2312" w:cs="Calibri"/>
          <w:color w:val="auto"/>
          <w:sz w:val="28"/>
          <w:szCs w:val="28"/>
          <w:highlight w:val="none"/>
          <w:lang w:eastAsia="zh-CN"/>
        </w:rPr>
        <w:t>个工作</w:t>
      </w:r>
      <w:r>
        <w:rPr>
          <w:rFonts w:hint="eastAsia" w:ascii="仿宋_GB2312" w:eastAsia="仿宋_GB2312" w:hAnsiTheme="minorEastAsia" w:cstheme="minorEastAsia"/>
          <w:color w:val="auto"/>
          <w:sz w:val="28"/>
          <w:szCs w:val="28"/>
          <w:highlight w:val="none"/>
          <w:lang w:eastAsia="zh-CN"/>
        </w:rPr>
        <w:t>日内内支付合同金额的</w:t>
      </w:r>
      <w:r>
        <w:rPr>
          <w:rFonts w:hint="eastAsia" w:ascii="仿宋_GB2312" w:eastAsia="仿宋_GB2312" w:hAnsiTheme="minorEastAsia" w:cstheme="minorEastAsia"/>
          <w:color w:val="auto"/>
          <w:sz w:val="28"/>
          <w:szCs w:val="28"/>
          <w:highlight w:val="none"/>
          <w:lang w:val="en-US" w:eastAsia="zh-CN"/>
        </w:rPr>
        <w:t>35</w:t>
      </w:r>
      <w:r>
        <w:rPr>
          <w:rFonts w:ascii="仿宋_GB2312" w:eastAsia="仿宋_GB2312" w:hAnsiTheme="minorEastAsia" w:cstheme="minorEastAsia"/>
          <w:color w:val="auto"/>
          <w:sz w:val="28"/>
          <w:szCs w:val="28"/>
          <w:highlight w:val="none"/>
          <w:lang w:eastAsia="zh-CN"/>
        </w:rPr>
        <w:t>%</w:t>
      </w:r>
      <w:r>
        <w:rPr>
          <w:rFonts w:hint="eastAsia" w:ascii="仿宋_GB2312" w:eastAsia="仿宋_GB2312" w:hAnsiTheme="minorEastAsia" w:cstheme="minorEastAsia"/>
          <w:color w:val="auto"/>
          <w:sz w:val="28"/>
          <w:szCs w:val="28"/>
          <w:highlight w:val="none"/>
          <w:lang w:eastAsia="zh-CN"/>
        </w:rPr>
        <w:t>；服务期</w:t>
      </w:r>
      <w:r>
        <w:rPr>
          <w:rFonts w:hint="eastAsia" w:ascii="仿宋" w:hAnsi="仿宋" w:eastAsia="仿宋" w:cs="微软雅黑"/>
          <w:color w:val="auto"/>
          <w:sz w:val="28"/>
          <w:szCs w:val="28"/>
          <w:highlight w:val="none"/>
          <w:lang w:eastAsia="zh-CN"/>
        </w:rPr>
        <w:t>半年后</w:t>
      </w:r>
      <w:r>
        <w:rPr>
          <w:rFonts w:hint="eastAsia" w:ascii="仿宋_GB2312" w:eastAsia="仿宋_GB2312" w:hAnsiTheme="minorEastAsia" w:cstheme="minorEastAsia"/>
          <w:color w:val="auto"/>
          <w:sz w:val="28"/>
          <w:szCs w:val="28"/>
          <w:highlight w:val="none"/>
          <w:lang w:eastAsia="zh-CN"/>
        </w:rPr>
        <w:t>支付合同金额的</w:t>
      </w:r>
      <w:r>
        <w:rPr>
          <w:rFonts w:hint="eastAsia" w:ascii="仿宋_GB2312" w:eastAsia="仿宋_GB2312" w:hAnsiTheme="minorEastAsia" w:cstheme="minorEastAsia"/>
          <w:color w:val="auto"/>
          <w:sz w:val="28"/>
          <w:szCs w:val="28"/>
          <w:highlight w:val="none"/>
          <w:lang w:val="en-US" w:eastAsia="zh-CN"/>
        </w:rPr>
        <w:t>30</w:t>
      </w:r>
      <w:r>
        <w:rPr>
          <w:rFonts w:ascii="仿宋_GB2312" w:eastAsia="仿宋_GB2312" w:hAnsiTheme="minorEastAsia" w:cstheme="minorEastAsia"/>
          <w:color w:val="auto"/>
          <w:sz w:val="28"/>
          <w:szCs w:val="28"/>
          <w:highlight w:val="none"/>
          <w:lang w:eastAsia="zh-CN"/>
        </w:rPr>
        <w:t>%</w:t>
      </w:r>
      <w:r>
        <w:rPr>
          <w:rFonts w:hint="eastAsia" w:ascii="仿宋_GB2312" w:eastAsia="仿宋_GB2312" w:hAnsiTheme="minorEastAsia" w:cstheme="minorEastAsia"/>
          <w:color w:val="auto"/>
          <w:sz w:val="28"/>
          <w:szCs w:val="28"/>
          <w:highlight w:val="none"/>
          <w:lang w:eastAsia="zh-CN"/>
        </w:rPr>
        <w:t>；服务期结束且提交完整服务材料后3</w:t>
      </w:r>
      <w:r>
        <w:rPr>
          <w:rFonts w:ascii="仿宋_GB2312" w:eastAsia="仿宋_GB2312" w:hAnsiTheme="minorEastAsia" w:cstheme="minorEastAsia"/>
          <w:color w:val="auto"/>
          <w:sz w:val="28"/>
          <w:szCs w:val="28"/>
          <w:highlight w:val="none"/>
          <w:lang w:eastAsia="zh-CN"/>
        </w:rPr>
        <w:t>0</w:t>
      </w:r>
      <w:r>
        <w:rPr>
          <w:rFonts w:hint="eastAsia" w:ascii="Calibri" w:hAnsi="Calibri" w:eastAsia="仿宋_GB2312" w:cs="Calibri"/>
          <w:color w:val="auto"/>
          <w:sz w:val="28"/>
          <w:szCs w:val="28"/>
          <w:highlight w:val="none"/>
          <w:lang w:eastAsia="zh-CN"/>
        </w:rPr>
        <w:t>个工作日</w:t>
      </w:r>
      <w:r>
        <w:rPr>
          <w:rFonts w:hint="eastAsia" w:ascii="仿宋_GB2312" w:eastAsia="仿宋_GB2312" w:hAnsiTheme="minorEastAsia" w:cstheme="minorEastAsia"/>
          <w:color w:val="auto"/>
          <w:sz w:val="28"/>
          <w:szCs w:val="28"/>
          <w:highlight w:val="none"/>
          <w:lang w:eastAsia="zh-CN"/>
        </w:rPr>
        <w:t>内，支付合同金额的</w:t>
      </w:r>
      <w:r>
        <w:rPr>
          <w:rFonts w:hint="eastAsia" w:ascii="仿宋_GB2312" w:eastAsia="仿宋_GB2312" w:hAnsiTheme="minorEastAsia" w:cstheme="minorEastAsia"/>
          <w:color w:val="auto"/>
          <w:sz w:val="28"/>
          <w:szCs w:val="28"/>
          <w:highlight w:val="none"/>
          <w:lang w:val="en-US" w:eastAsia="zh-CN"/>
        </w:rPr>
        <w:t>35</w:t>
      </w:r>
      <w:r>
        <w:rPr>
          <w:rFonts w:ascii="仿宋_GB2312" w:eastAsia="仿宋_GB2312" w:hAnsiTheme="minorEastAsia" w:cstheme="minorEastAsia"/>
          <w:color w:val="auto"/>
          <w:sz w:val="28"/>
          <w:szCs w:val="28"/>
          <w:highlight w:val="none"/>
          <w:lang w:eastAsia="zh-CN"/>
        </w:rPr>
        <w:t>%</w:t>
      </w:r>
      <w:r>
        <w:rPr>
          <w:rFonts w:hint="eastAsia" w:ascii="仿宋_GB2312" w:eastAsia="仿宋_GB2312" w:hAnsiTheme="minorEastAsia" w:cstheme="minorEastAsia"/>
          <w:color w:val="auto"/>
          <w:sz w:val="28"/>
          <w:szCs w:val="28"/>
          <w:highlight w:val="none"/>
          <w:lang w:eastAsia="zh-CN"/>
        </w:rPr>
        <w:t>，同时该笔费用付款前，甲乙双方应根据本合同约定的考核内容进行核算，经双方确认后，甲方按照最终核算金额予以支付。</w:t>
      </w:r>
      <w:r>
        <w:rPr>
          <w:rFonts w:hint="eastAsia" w:ascii="仿宋_GB2312" w:eastAsia="仿宋_GB2312" w:hAnsiTheme="minorEastAsia" w:cstheme="minorEastAsia"/>
          <w:color w:val="auto"/>
          <w:sz w:val="28"/>
          <w:szCs w:val="28"/>
          <w:highlight w:val="none"/>
          <w:lang w:val="en-US" w:eastAsia="zh-CN"/>
        </w:rPr>
        <w:t>上述</w:t>
      </w:r>
      <w:r>
        <w:rPr>
          <w:rFonts w:hint="eastAsia" w:ascii="仿宋_GB2312" w:eastAsia="仿宋_GB2312" w:hAnsiTheme="minorEastAsia" w:cstheme="minorEastAsia"/>
          <w:bCs w:val="0"/>
          <w:color w:val="auto"/>
          <w:sz w:val="28"/>
          <w:szCs w:val="28"/>
          <w:highlight w:val="none"/>
          <w:lang w:val="en-US" w:eastAsia="zh-CN"/>
        </w:rPr>
        <w:t>各个阶段</w:t>
      </w:r>
      <w:r>
        <w:rPr>
          <w:rFonts w:hint="eastAsia" w:ascii="仿宋_GB2312" w:eastAsia="仿宋_GB2312" w:hAnsiTheme="minorEastAsia" w:cstheme="minorEastAsia"/>
          <w:bCs w:val="0"/>
          <w:color w:val="auto"/>
          <w:sz w:val="28"/>
          <w:szCs w:val="28"/>
          <w:highlight w:val="none"/>
          <w:lang w:eastAsia="zh-CN"/>
        </w:rPr>
        <w:t>收到</w:t>
      </w:r>
      <w:r>
        <w:rPr>
          <w:rFonts w:hint="eastAsia" w:ascii="仿宋_GB2312" w:eastAsia="仿宋_GB2312" w:hAnsiTheme="minorEastAsia" w:cstheme="minorEastAsia"/>
          <w:bCs w:val="0"/>
          <w:color w:val="auto"/>
          <w:sz w:val="28"/>
          <w:szCs w:val="28"/>
          <w:highlight w:val="none"/>
          <w:lang w:val="en-US" w:eastAsia="zh-CN"/>
        </w:rPr>
        <w:t>成交供应商</w:t>
      </w:r>
      <w:r>
        <w:rPr>
          <w:rFonts w:hint="eastAsia" w:ascii="仿宋_GB2312" w:eastAsia="仿宋_GB2312" w:hAnsiTheme="minorEastAsia" w:cstheme="minorEastAsia"/>
          <w:bCs w:val="0"/>
          <w:color w:val="auto"/>
          <w:sz w:val="28"/>
          <w:szCs w:val="28"/>
          <w:highlight w:val="none"/>
          <w:lang w:eastAsia="zh-CN"/>
        </w:rPr>
        <w:t>开具的发票后</w:t>
      </w:r>
      <w:r>
        <w:rPr>
          <w:rFonts w:hint="eastAsia" w:ascii="仿宋_GB2312" w:eastAsia="仿宋_GB2312" w:hAnsiTheme="minorEastAsia" w:cstheme="minorEastAsia"/>
          <w:bCs w:val="0"/>
          <w:color w:val="auto"/>
          <w:sz w:val="28"/>
          <w:szCs w:val="28"/>
          <w:highlight w:val="none"/>
          <w:lang w:val="en-US" w:eastAsia="zh-CN"/>
        </w:rPr>
        <w:t>10个工作日</w:t>
      </w:r>
      <w:r>
        <w:rPr>
          <w:rFonts w:hint="eastAsia" w:ascii="仿宋_GB2312" w:eastAsia="仿宋_GB2312" w:hAnsiTheme="minorEastAsia" w:cstheme="minorEastAsia"/>
          <w:bCs w:val="0"/>
          <w:color w:val="auto"/>
          <w:sz w:val="28"/>
          <w:szCs w:val="28"/>
          <w:highlight w:val="none"/>
          <w:lang w:eastAsia="zh-CN"/>
        </w:rPr>
        <w:t>内办理支付手续。</w:t>
      </w:r>
    </w:p>
    <w:p w14:paraId="4C0197FB">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4. 保密要求：</w:t>
      </w:r>
    </w:p>
    <w:p w14:paraId="618A47FD">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4.1成交供应商须建立严格的保密制度，并加强对工作人员的保密管理及保密知识教育。</w:t>
      </w:r>
    </w:p>
    <w:p w14:paraId="59AC0FCD">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4.2成交供应商须承担与此有关的技术情报和数据资料的保密责任。与本项目有关的资料及数据成果中涉及国家秘密的内容，均要求按照《国家保密法》及相关法律法规执行。</w:t>
      </w:r>
    </w:p>
    <w:p w14:paraId="5483EEEF">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5.考核机制</w:t>
      </w:r>
    </w:p>
    <w:p w14:paraId="377423B0">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1</w:t>
      </w: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PM2.5</w:t>
      </w:r>
      <w:r>
        <w:rPr>
          <w:rFonts w:hint="eastAsia" w:ascii="仿宋_GB2312" w:eastAsia="仿宋_GB2312" w:hAnsiTheme="minorEastAsia" w:cstheme="minorEastAsia"/>
          <w:color w:val="auto"/>
          <w:sz w:val="28"/>
          <w:szCs w:val="28"/>
          <w:lang w:eastAsia="zh-CN"/>
        </w:rPr>
        <w:t>考核目标未完成，扣款</w:t>
      </w:r>
      <w:r>
        <w:rPr>
          <w:rFonts w:ascii="仿宋_GB2312" w:eastAsia="仿宋_GB2312" w:hAnsiTheme="minorEastAsia" w:cstheme="minorEastAsia"/>
          <w:color w:val="auto"/>
          <w:sz w:val="28"/>
          <w:szCs w:val="28"/>
          <w:lang w:eastAsia="zh-CN"/>
        </w:rPr>
        <w:t>5</w:t>
      </w:r>
      <w:r>
        <w:rPr>
          <w:rFonts w:hint="eastAsia" w:ascii="仿宋_GB2312" w:eastAsia="仿宋_GB2312" w:hAnsiTheme="minorEastAsia" w:cstheme="minorEastAsia"/>
          <w:color w:val="auto"/>
          <w:sz w:val="28"/>
          <w:szCs w:val="28"/>
          <w:lang w:eastAsia="zh-CN"/>
        </w:rPr>
        <w:t>万元；</w:t>
      </w:r>
    </w:p>
    <w:p w14:paraId="4BB40C9E">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2</w:t>
      </w:r>
      <w:r>
        <w:rPr>
          <w:rFonts w:hint="eastAsia" w:ascii="仿宋_GB2312" w:eastAsia="仿宋_GB2312" w:hAnsiTheme="minorEastAsia" w:cstheme="minorEastAsia"/>
          <w:color w:val="auto"/>
          <w:sz w:val="28"/>
          <w:szCs w:val="28"/>
          <w:lang w:eastAsia="zh-CN"/>
        </w:rPr>
        <w:t>）优良天数比例考核目标未完成，扣款</w:t>
      </w:r>
      <w:r>
        <w:rPr>
          <w:rFonts w:ascii="仿宋_GB2312" w:eastAsia="仿宋_GB2312" w:hAnsiTheme="minorEastAsia" w:cstheme="minorEastAsia"/>
          <w:color w:val="auto"/>
          <w:sz w:val="28"/>
          <w:szCs w:val="28"/>
          <w:lang w:eastAsia="zh-CN"/>
        </w:rPr>
        <w:t>5</w:t>
      </w:r>
      <w:r>
        <w:rPr>
          <w:rFonts w:hint="eastAsia" w:ascii="仿宋_GB2312" w:eastAsia="仿宋_GB2312" w:hAnsiTheme="minorEastAsia" w:cstheme="minorEastAsia"/>
          <w:color w:val="auto"/>
          <w:sz w:val="28"/>
          <w:szCs w:val="28"/>
          <w:lang w:eastAsia="zh-CN"/>
        </w:rPr>
        <w:t>万元；</w:t>
      </w:r>
    </w:p>
    <w:p w14:paraId="437591A1">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3</w:t>
      </w:r>
      <w:r>
        <w:rPr>
          <w:rFonts w:hint="eastAsia" w:ascii="仿宋_GB2312" w:eastAsia="仿宋_GB2312" w:hAnsiTheme="minorEastAsia" w:cstheme="minorEastAsia"/>
          <w:color w:val="auto"/>
          <w:sz w:val="28"/>
          <w:szCs w:val="28"/>
          <w:lang w:eastAsia="zh-CN"/>
        </w:rPr>
        <w:t>）未按合同要求配备驻场人员的，每缺少一人扣款</w:t>
      </w:r>
      <w:r>
        <w:rPr>
          <w:rFonts w:ascii="仿宋_GB2312" w:eastAsia="仿宋_GB2312" w:hAnsiTheme="minorEastAsia" w:cstheme="minorEastAsia"/>
          <w:color w:val="auto"/>
          <w:sz w:val="28"/>
          <w:szCs w:val="28"/>
          <w:lang w:eastAsia="zh-CN"/>
        </w:rPr>
        <w:t>6</w:t>
      </w:r>
      <w:r>
        <w:rPr>
          <w:rFonts w:hint="eastAsia" w:ascii="仿宋_GB2312" w:eastAsia="仿宋_GB2312" w:hAnsiTheme="minorEastAsia" w:cstheme="minorEastAsia"/>
          <w:color w:val="auto"/>
          <w:sz w:val="28"/>
          <w:szCs w:val="28"/>
          <w:lang w:eastAsia="zh-CN"/>
        </w:rPr>
        <w:t>万元；</w:t>
      </w:r>
    </w:p>
    <w:p w14:paraId="34875A71">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4</w:t>
      </w:r>
      <w:r>
        <w:rPr>
          <w:rFonts w:hint="eastAsia" w:ascii="仿宋_GB2312" w:eastAsia="仿宋_GB2312" w:hAnsiTheme="minorEastAsia" w:cstheme="minorEastAsia"/>
          <w:color w:val="auto"/>
          <w:sz w:val="28"/>
          <w:szCs w:val="28"/>
          <w:lang w:eastAsia="zh-CN"/>
        </w:rPr>
        <w:t>）未按合同要求配备巡查车辆的，扣款</w:t>
      </w:r>
      <w:r>
        <w:rPr>
          <w:rFonts w:ascii="仿宋_GB2312" w:eastAsia="仿宋_GB2312" w:hAnsiTheme="minorEastAsia" w:cstheme="minorEastAsia"/>
          <w:color w:val="auto"/>
          <w:sz w:val="28"/>
          <w:szCs w:val="28"/>
          <w:lang w:eastAsia="zh-CN"/>
        </w:rPr>
        <w:t>10</w:t>
      </w:r>
      <w:r>
        <w:rPr>
          <w:rFonts w:hint="eastAsia" w:ascii="仿宋_GB2312" w:eastAsia="仿宋_GB2312" w:hAnsiTheme="minorEastAsia" w:cstheme="minorEastAsia"/>
          <w:color w:val="auto"/>
          <w:sz w:val="28"/>
          <w:szCs w:val="28"/>
          <w:lang w:eastAsia="zh-CN"/>
        </w:rPr>
        <w:t>万元；</w:t>
      </w:r>
    </w:p>
    <w:p w14:paraId="6BF60D44">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5</w:t>
      </w:r>
      <w:r>
        <w:rPr>
          <w:rFonts w:hint="eastAsia" w:ascii="仿宋_GB2312" w:eastAsia="仿宋_GB2312" w:hAnsiTheme="minorEastAsia" w:cstheme="minorEastAsia"/>
          <w:color w:val="auto"/>
          <w:sz w:val="28"/>
          <w:szCs w:val="28"/>
          <w:lang w:eastAsia="zh-CN"/>
        </w:rPr>
        <w:t>）未按要求提供周报、月报、预警预测报告等服务的，每次扣款</w:t>
      </w:r>
      <w:r>
        <w:rPr>
          <w:rFonts w:ascii="仿宋_GB2312" w:eastAsia="仿宋_GB2312" w:hAnsiTheme="minorEastAsia" w:cstheme="minorEastAsia"/>
          <w:color w:val="auto"/>
          <w:sz w:val="28"/>
          <w:szCs w:val="28"/>
          <w:lang w:eastAsia="zh-CN"/>
        </w:rPr>
        <w:t>0.05</w:t>
      </w:r>
      <w:r>
        <w:rPr>
          <w:rFonts w:hint="eastAsia" w:ascii="仿宋_GB2312" w:eastAsia="仿宋_GB2312" w:hAnsiTheme="minorEastAsia" w:cstheme="minorEastAsia"/>
          <w:color w:val="auto"/>
          <w:sz w:val="28"/>
          <w:szCs w:val="28"/>
          <w:lang w:eastAsia="zh-CN"/>
        </w:rPr>
        <w:t>万元；</w:t>
      </w:r>
    </w:p>
    <w:p w14:paraId="51E90AC2">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6</w:t>
      </w:r>
      <w:r>
        <w:rPr>
          <w:rFonts w:hint="eastAsia" w:ascii="仿宋_GB2312" w:eastAsia="仿宋_GB2312" w:hAnsiTheme="minorEastAsia" w:cstheme="minorEastAsia"/>
          <w:color w:val="auto"/>
          <w:sz w:val="28"/>
          <w:szCs w:val="28"/>
          <w:lang w:eastAsia="zh-CN"/>
        </w:rPr>
        <w:t>）未按要求完成积尘负荷走航监测任务的，每次扣款</w:t>
      </w:r>
      <w:r>
        <w:rPr>
          <w:rFonts w:ascii="仿宋_GB2312" w:eastAsia="仿宋_GB2312" w:hAnsiTheme="minorEastAsia" w:cstheme="minorEastAsia"/>
          <w:color w:val="auto"/>
          <w:sz w:val="28"/>
          <w:szCs w:val="28"/>
          <w:lang w:eastAsia="zh-CN"/>
        </w:rPr>
        <w:t>0.5</w:t>
      </w:r>
      <w:r>
        <w:rPr>
          <w:rFonts w:hint="eastAsia" w:ascii="仿宋_GB2312" w:eastAsia="仿宋_GB2312" w:hAnsiTheme="minorEastAsia" w:cstheme="minorEastAsia"/>
          <w:color w:val="auto"/>
          <w:sz w:val="28"/>
          <w:szCs w:val="28"/>
          <w:lang w:eastAsia="zh-CN"/>
        </w:rPr>
        <w:t>万元；</w:t>
      </w:r>
    </w:p>
    <w:p w14:paraId="45AF2EBB">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w:t>
      </w:r>
      <w:r>
        <w:rPr>
          <w:rFonts w:ascii="仿宋_GB2312" w:eastAsia="仿宋_GB2312" w:hAnsiTheme="minorEastAsia" w:cstheme="minorEastAsia"/>
          <w:color w:val="auto"/>
          <w:sz w:val="28"/>
          <w:szCs w:val="28"/>
          <w:lang w:eastAsia="zh-CN"/>
        </w:rPr>
        <w:t>7</w:t>
      </w:r>
      <w:r>
        <w:rPr>
          <w:rFonts w:hint="eastAsia" w:ascii="仿宋_GB2312" w:eastAsia="仿宋_GB2312" w:hAnsiTheme="minorEastAsia" w:cstheme="minorEastAsia"/>
          <w:color w:val="auto"/>
          <w:sz w:val="28"/>
          <w:szCs w:val="28"/>
          <w:lang w:eastAsia="zh-CN"/>
        </w:rPr>
        <w:t>）未按要求开展企业帮扶任务的，每少帮扶一家企业扣款</w:t>
      </w:r>
      <w:r>
        <w:rPr>
          <w:rFonts w:ascii="仿宋_GB2312" w:eastAsia="仿宋_GB2312" w:hAnsiTheme="minorEastAsia" w:cstheme="minorEastAsia"/>
          <w:color w:val="auto"/>
          <w:sz w:val="28"/>
          <w:szCs w:val="28"/>
          <w:lang w:eastAsia="zh-CN"/>
        </w:rPr>
        <w:t>0.5</w:t>
      </w:r>
      <w:r>
        <w:rPr>
          <w:rFonts w:hint="eastAsia" w:ascii="仿宋_GB2312" w:eastAsia="仿宋_GB2312" w:hAnsiTheme="minorEastAsia" w:cstheme="minorEastAsia"/>
          <w:color w:val="auto"/>
          <w:sz w:val="28"/>
          <w:szCs w:val="28"/>
          <w:lang w:eastAsia="zh-CN"/>
        </w:rPr>
        <w:t>万元。</w:t>
      </w:r>
    </w:p>
    <w:p w14:paraId="7C04BBC6">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6.项目验收：根据国家标准进行验收。</w:t>
      </w:r>
    </w:p>
    <w:p w14:paraId="27FCB44F">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7. 其它要求：</w:t>
      </w:r>
    </w:p>
    <w:p w14:paraId="7106472D">
      <w:pPr>
        <w:widowControl w:val="0"/>
        <w:kinsoku/>
        <w:autoSpaceDE/>
        <w:autoSpaceDN/>
        <w:adjustRightInd/>
        <w:snapToGrid/>
        <w:spacing w:line="360" w:lineRule="auto"/>
        <w:ind w:firstLine="560" w:firstLineChars="200"/>
        <w:jc w:val="both"/>
        <w:textAlignment w:val="auto"/>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7.1成交供应商应保证采购人在中华人民共和国使用成交供应商所提供的货物或服务的任何一部分时，免受第三方提出侵犯专利权、商标权、著作权或其它知识产权起诉的指控；如果任何第三方提出侵权指控，成交供应商承担一切与之有关的责任。</w:t>
      </w:r>
    </w:p>
    <w:p w14:paraId="68144E38">
      <w:pPr>
        <w:topLinePunct/>
        <w:spacing w:line="341" w:lineRule="auto"/>
        <w:ind w:firstLine="560" w:firstLineChars="200"/>
        <w:rPr>
          <w:rFonts w:ascii="仿宋_GB2312" w:eastAsia="仿宋_GB2312" w:hAnsiTheme="minorEastAsia" w:cstheme="minorEastAsia"/>
          <w:color w:val="auto"/>
          <w:sz w:val="28"/>
          <w:szCs w:val="28"/>
          <w:lang w:eastAsia="zh-CN"/>
        </w:rPr>
      </w:pPr>
      <w:r>
        <w:rPr>
          <w:rFonts w:hint="eastAsia" w:ascii="仿宋_GB2312" w:eastAsia="仿宋_GB2312" w:hAnsiTheme="minorEastAsia" w:cstheme="minorEastAsia"/>
          <w:color w:val="auto"/>
          <w:sz w:val="28"/>
          <w:szCs w:val="28"/>
          <w:lang w:eastAsia="zh-CN"/>
        </w:rPr>
        <w:t>7</w:t>
      </w:r>
      <w:r>
        <w:rPr>
          <w:rFonts w:ascii="仿宋_GB2312" w:eastAsia="仿宋_GB2312" w:hAnsiTheme="minorEastAsia" w:cstheme="minorEastAsia"/>
          <w:color w:val="auto"/>
          <w:sz w:val="28"/>
          <w:szCs w:val="28"/>
          <w:lang w:eastAsia="zh-CN"/>
        </w:rPr>
        <w:t>.2在本项目服务期间，每个月需进行服务考评打分，考评总分值100分，90分为合格，连续两次低于90分，直接解除合同。</w:t>
      </w:r>
    </w:p>
    <w:p w14:paraId="5B0F6183">
      <w:pPr>
        <w:pStyle w:val="7"/>
        <w:spacing w:line="360" w:lineRule="auto"/>
        <w:jc w:val="center"/>
        <w:rPr>
          <w:rFonts w:ascii="Times New Roman" w:hAnsi="Times New Roman" w:eastAsia="黑体" w:cs="Times New Roman"/>
          <w:sz w:val="22"/>
          <w:szCs w:val="32"/>
          <w:lang w:eastAsia="zh-CN"/>
        </w:rPr>
      </w:pPr>
      <w:r>
        <w:rPr>
          <w:rFonts w:ascii="Times New Roman" w:hAnsi="Times New Roman" w:eastAsia="黑体" w:cs="Times New Roman"/>
          <w:sz w:val="22"/>
          <w:szCs w:val="32"/>
          <w:lang w:eastAsia="zh-CN"/>
        </w:rPr>
        <w:t>大气污染防治驻点咨询服务采购合同评分表</w:t>
      </w:r>
    </w:p>
    <w:tbl>
      <w:tblPr>
        <w:tblStyle w:val="9"/>
        <w:tblW w:w="8616" w:type="dxa"/>
        <w:tblInd w:w="96" w:type="dxa"/>
        <w:tblLayout w:type="autofit"/>
        <w:tblCellMar>
          <w:top w:w="0" w:type="dxa"/>
          <w:left w:w="108" w:type="dxa"/>
          <w:bottom w:w="0" w:type="dxa"/>
          <w:right w:w="108" w:type="dxa"/>
        </w:tblCellMar>
      </w:tblPr>
      <w:tblGrid>
        <w:gridCol w:w="741"/>
        <w:gridCol w:w="1625"/>
        <w:gridCol w:w="5407"/>
        <w:gridCol w:w="843"/>
      </w:tblGrid>
      <w:tr w14:paraId="5EF1FE01">
        <w:tblPrEx>
          <w:tblCellMar>
            <w:top w:w="0" w:type="dxa"/>
            <w:left w:w="108" w:type="dxa"/>
            <w:bottom w:w="0" w:type="dxa"/>
            <w:right w:w="108" w:type="dxa"/>
          </w:tblCellMar>
        </w:tblPrEx>
        <w:trPr>
          <w:trHeight w:val="642" w:hRule="atLeast"/>
          <w:tblHeader/>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258F">
            <w:pPr>
              <w:jc w:val="center"/>
              <w:rPr>
                <w:rFonts w:eastAsiaTheme="minorEastAsia"/>
                <w:b/>
                <w:bCs/>
              </w:rPr>
            </w:pPr>
            <w:r>
              <w:rPr>
                <w:rFonts w:ascii="Times New Roman" w:hAnsi="Times New Roman" w:cs="Times New Roman" w:eastAsiaTheme="minorEastAsia"/>
                <w:b/>
                <w:bCs/>
                <w:lang w:eastAsia="zh-CN"/>
              </w:rPr>
              <w:t>序号</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AF62E">
            <w:pPr>
              <w:jc w:val="center"/>
              <w:rPr>
                <w:rFonts w:eastAsiaTheme="minorEastAsia"/>
                <w:b/>
                <w:bCs/>
              </w:rPr>
            </w:pPr>
            <w:r>
              <w:rPr>
                <w:rFonts w:ascii="Times New Roman" w:hAnsi="Times New Roman" w:cs="Times New Roman" w:eastAsiaTheme="minorEastAsia"/>
                <w:b/>
                <w:bCs/>
                <w:lang w:eastAsia="zh-CN"/>
              </w:rPr>
              <w:t>评审内容</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E52C0">
            <w:pPr>
              <w:jc w:val="center"/>
              <w:rPr>
                <w:rFonts w:eastAsiaTheme="minorEastAsia"/>
                <w:b/>
                <w:bCs/>
              </w:rPr>
            </w:pPr>
            <w:r>
              <w:rPr>
                <w:rFonts w:ascii="Times New Roman" w:hAnsi="Times New Roman" w:cs="Times New Roman" w:eastAsiaTheme="minorEastAsia"/>
                <w:b/>
                <w:bCs/>
                <w:lang w:eastAsia="zh-CN"/>
              </w:rPr>
              <w:t>评审标准</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8A826">
            <w:pPr>
              <w:jc w:val="center"/>
              <w:rPr>
                <w:rFonts w:eastAsiaTheme="minorEastAsia"/>
                <w:b/>
                <w:bCs/>
              </w:rPr>
            </w:pPr>
            <w:r>
              <w:rPr>
                <w:rFonts w:ascii="Times New Roman" w:hAnsi="Times New Roman" w:cs="Times New Roman" w:eastAsiaTheme="minorEastAsia"/>
                <w:b/>
                <w:bCs/>
                <w:lang w:eastAsia="zh-CN"/>
              </w:rPr>
              <w:t>分值</w:t>
            </w:r>
          </w:p>
        </w:tc>
      </w:tr>
      <w:tr w14:paraId="66005735">
        <w:tblPrEx>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11F91">
            <w:pPr>
              <w:jc w:val="center"/>
              <w:rPr>
                <w:rFonts w:eastAsiaTheme="minorEastAsia"/>
              </w:rPr>
            </w:pPr>
            <w:r>
              <w:rPr>
                <w:rFonts w:ascii="Times New Roman" w:hAnsi="Times New Roman" w:cs="Times New Roman" w:eastAsiaTheme="minorEastAsia"/>
                <w:lang w:eastAsia="zh-CN"/>
              </w:rPr>
              <w:t>1</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5DDA">
            <w:pPr>
              <w:jc w:val="center"/>
              <w:rPr>
                <w:rFonts w:eastAsiaTheme="minorEastAsia"/>
              </w:rPr>
            </w:pPr>
            <w:r>
              <w:rPr>
                <w:rFonts w:ascii="Times New Roman" w:hAnsi="Times New Roman" w:cs="Times New Roman" w:eastAsiaTheme="minorEastAsia"/>
                <w:lang w:eastAsia="zh-CN"/>
              </w:rPr>
              <w:t>项目需求</w:t>
            </w:r>
          </w:p>
          <w:p w14:paraId="400EDDFD">
            <w:pPr>
              <w:jc w:val="center"/>
              <w:rPr>
                <w:rFonts w:eastAsiaTheme="minorEastAsia"/>
              </w:rPr>
            </w:pPr>
            <w:r>
              <w:rPr>
                <w:rFonts w:ascii="Times New Roman" w:hAnsi="Times New Roman" w:cs="Times New Roman" w:eastAsiaTheme="minorEastAsia"/>
                <w:lang w:eastAsia="zh-CN"/>
              </w:rPr>
              <w:t>理解</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CFCB9">
            <w:pPr>
              <w:rPr>
                <w:rFonts w:eastAsiaTheme="minorEastAsia"/>
                <w:lang w:eastAsia="zh-CN"/>
              </w:rPr>
            </w:pPr>
            <w:r>
              <w:rPr>
                <w:rFonts w:hint="eastAsia" w:cs="Times New Roman" w:eastAsiaTheme="minorEastAsia"/>
                <w:lang w:eastAsia="zh-CN"/>
              </w:rPr>
              <w:t>（1）</w:t>
            </w:r>
            <w:r>
              <w:rPr>
                <w:rFonts w:ascii="Times New Roman" w:hAnsi="Times New Roman" w:cs="Times New Roman" w:eastAsiaTheme="minorEastAsia"/>
                <w:lang w:eastAsia="zh-CN"/>
              </w:rPr>
              <w:t>精准把握PM₂.₅、优良天数等核心考核目标；</w:t>
            </w:r>
            <w:r>
              <w:rPr>
                <w:rFonts w:hint="eastAsia" w:cs="Times New Roman" w:eastAsiaTheme="minorEastAsia"/>
                <w:lang w:eastAsia="zh-CN"/>
              </w:rPr>
              <w:t>（2）</w:t>
            </w:r>
            <w:r>
              <w:rPr>
                <w:rFonts w:ascii="Times New Roman" w:hAnsi="Times New Roman" w:cs="Times New Roman" w:eastAsiaTheme="minorEastAsia"/>
                <w:lang w:eastAsia="zh-CN"/>
              </w:rPr>
              <w:t>清晰掌握经开区污染源结构与管控重点；</w:t>
            </w:r>
            <w:r>
              <w:rPr>
                <w:rFonts w:hint="eastAsia" w:cs="Times New Roman" w:eastAsiaTheme="minorEastAsia"/>
                <w:lang w:eastAsia="zh-CN"/>
              </w:rPr>
              <w:t>（3）</w:t>
            </w:r>
            <w:r>
              <w:rPr>
                <w:rFonts w:ascii="Times New Roman" w:hAnsi="Times New Roman" w:cs="Times New Roman" w:eastAsiaTheme="minorEastAsia"/>
                <w:lang w:eastAsia="zh-CN"/>
              </w:rPr>
              <w:t>明确驻场、监测、企业帮扶、应急全流程任务；</w:t>
            </w:r>
            <w:r>
              <w:rPr>
                <w:rFonts w:hint="eastAsia" w:cs="Times New Roman" w:eastAsiaTheme="minorEastAsia"/>
                <w:lang w:eastAsia="zh-CN"/>
              </w:rPr>
              <w:t>（4）</w:t>
            </w:r>
            <w:r>
              <w:rPr>
                <w:rFonts w:hint="eastAsia" w:ascii="Times New Roman" w:hAnsi="Times New Roman" w:cs="Times New Roman" w:eastAsiaTheme="minorEastAsia"/>
                <w:lang w:eastAsia="zh-CN"/>
              </w:rPr>
              <w:t>针对</w:t>
            </w:r>
            <w:r>
              <w:rPr>
                <w:rFonts w:ascii="Times New Roman" w:hAnsi="Times New Roman" w:cs="Times New Roman" w:eastAsiaTheme="minorEastAsia"/>
                <w:lang w:eastAsia="zh-CN"/>
              </w:rPr>
              <w:t>上饶经开区实际提出落地</w:t>
            </w:r>
            <w:r>
              <w:rPr>
                <w:rFonts w:hint="eastAsia" w:cs="Times New Roman" w:eastAsiaTheme="minorEastAsia"/>
                <w:lang w:eastAsia="zh-CN"/>
              </w:rPr>
              <w:t>管控</w:t>
            </w:r>
            <w:r>
              <w:rPr>
                <w:rFonts w:ascii="Times New Roman" w:hAnsi="Times New Roman" w:cs="Times New Roman" w:eastAsiaTheme="minorEastAsia"/>
                <w:lang w:eastAsia="zh-CN"/>
              </w:rPr>
              <w:t>思路。</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D6031">
            <w:pPr>
              <w:jc w:val="center"/>
              <w:rPr>
                <w:rFonts w:eastAsiaTheme="minorEastAsia"/>
              </w:rPr>
            </w:pPr>
            <w:r>
              <w:rPr>
                <w:rFonts w:ascii="Times New Roman" w:hAnsi="Times New Roman" w:cs="Times New Roman" w:eastAsiaTheme="minorEastAsia"/>
                <w:lang w:eastAsia="zh-CN"/>
              </w:rPr>
              <w:t>10分</w:t>
            </w:r>
          </w:p>
        </w:tc>
      </w:tr>
      <w:tr w14:paraId="4C31FA29">
        <w:tblPrEx>
          <w:tblCellMar>
            <w:top w:w="0" w:type="dxa"/>
            <w:left w:w="108" w:type="dxa"/>
            <w:bottom w:w="0" w:type="dxa"/>
            <w:right w:w="108" w:type="dxa"/>
          </w:tblCellMar>
        </w:tblPrEx>
        <w:trPr>
          <w:trHeight w:val="134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F30A3">
            <w:pPr>
              <w:jc w:val="center"/>
              <w:rPr>
                <w:rFonts w:eastAsiaTheme="minorEastAsia"/>
              </w:rPr>
            </w:pPr>
            <w:r>
              <w:rPr>
                <w:rFonts w:ascii="Times New Roman" w:hAnsi="Times New Roman" w:cs="Times New Roman" w:eastAsiaTheme="minorEastAsia"/>
                <w:lang w:eastAsia="zh-CN"/>
              </w:rPr>
              <w:t>2</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98C8D">
            <w:pPr>
              <w:jc w:val="center"/>
              <w:rPr>
                <w:rFonts w:eastAsiaTheme="minorEastAsia"/>
                <w:lang w:eastAsia="zh-CN"/>
              </w:rPr>
            </w:pPr>
            <w:r>
              <w:rPr>
                <w:rFonts w:ascii="Times New Roman" w:hAnsi="Times New Roman" w:cs="Times New Roman" w:eastAsiaTheme="minorEastAsia"/>
                <w:lang w:eastAsia="zh-CN"/>
              </w:rPr>
              <w:t>重难点分析及解决方案</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92255">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数据分析：多源融合、高值预警、趋势研判方法可行；</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重点区域：考核站点周边精细化管控方案具体；</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污染源调查：分类排查、溯源、建档流程完整；</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难点应对：臭氧、扬尘、外来传输针对性措施明确</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A63F6">
            <w:pPr>
              <w:jc w:val="center"/>
              <w:rPr>
                <w:rFonts w:eastAsiaTheme="minorEastAsia"/>
              </w:rPr>
            </w:pPr>
            <w:r>
              <w:rPr>
                <w:rFonts w:ascii="Times New Roman" w:hAnsi="Times New Roman" w:cs="Times New Roman" w:eastAsiaTheme="minorEastAsia"/>
                <w:lang w:eastAsia="zh-CN"/>
              </w:rPr>
              <w:t>10分</w:t>
            </w:r>
          </w:p>
        </w:tc>
      </w:tr>
      <w:tr w14:paraId="499D73E8">
        <w:tblPrEx>
          <w:tblCellMar>
            <w:top w:w="0" w:type="dxa"/>
            <w:left w:w="108" w:type="dxa"/>
            <w:bottom w:w="0" w:type="dxa"/>
            <w:right w:w="108" w:type="dxa"/>
          </w:tblCellMar>
        </w:tblPrEx>
        <w:trPr>
          <w:trHeight w:val="712"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8F4CF">
            <w:pPr>
              <w:jc w:val="center"/>
              <w:rPr>
                <w:rFonts w:eastAsiaTheme="minorEastAsia"/>
              </w:rPr>
            </w:pPr>
            <w:r>
              <w:rPr>
                <w:rFonts w:ascii="Times New Roman" w:hAnsi="Times New Roman" w:cs="Times New Roman" w:eastAsiaTheme="minorEastAsia"/>
                <w:lang w:eastAsia="zh-CN"/>
              </w:rPr>
              <w:t>3</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D8E1">
            <w:pPr>
              <w:jc w:val="center"/>
              <w:rPr>
                <w:rFonts w:eastAsiaTheme="minorEastAsia"/>
              </w:rPr>
            </w:pPr>
            <w:r>
              <w:rPr>
                <w:rFonts w:ascii="Times New Roman" w:hAnsi="Times New Roman" w:cs="Times New Roman" w:eastAsiaTheme="minorEastAsia"/>
                <w:lang w:eastAsia="zh-CN"/>
              </w:rPr>
              <w:t>项目工作</w:t>
            </w:r>
          </w:p>
          <w:p w14:paraId="242140B1">
            <w:pPr>
              <w:jc w:val="center"/>
              <w:rPr>
                <w:rFonts w:eastAsiaTheme="minorEastAsia"/>
              </w:rPr>
            </w:pPr>
            <w:r>
              <w:rPr>
                <w:rFonts w:ascii="Times New Roman" w:hAnsi="Times New Roman" w:cs="Times New Roman" w:eastAsiaTheme="minorEastAsia"/>
                <w:lang w:eastAsia="zh-CN"/>
              </w:rPr>
              <w:t>方案</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B02DE">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组织架构清晰，3人岗位职责明确到人；</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年度/季度/月度进度计划可落地；</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内部</w:t>
            </w:r>
            <w:r>
              <w:rPr>
                <w:rFonts w:hint="eastAsia" w:ascii="Times New Roman" w:hAnsi="Times New Roman" w:cs="Times New Roman" w:eastAsiaTheme="minorEastAsia"/>
                <w:lang w:eastAsia="zh-CN"/>
              </w:rPr>
              <w:t>、</w:t>
            </w:r>
            <w:r>
              <w:rPr>
                <w:rFonts w:ascii="Times New Roman" w:hAnsi="Times New Roman" w:cs="Times New Roman" w:eastAsiaTheme="minorEastAsia"/>
                <w:lang w:eastAsia="zh-CN"/>
              </w:rPr>
              <w:t>外部沟通机制健全、响应及时；</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质量管控：报告审核、巡查闭环、整改复核到位</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B07E5">
            <w:pPr>
              <w:jc w:val="center"/>
              <w:rPr>
                <w:rFonts w:eastAsiaTheme="minorEastAsia"/>
              </w:rPr>
            </w:pPr>
            <w:r>
              <w:rPr>
                <w:rFonts w:ascii="Times New Roman" w:hAnsi="Times New Roman" w:cs="Times New Roman" w:eastAsiaTheme="minorEastAsia"/>
                <w:lang w:eastAsia="zh-CN"/>
              </w:rPr>
              <w:t>10分</w:t>
            </w:r>
          </w:p>
        </w:tc>
      </w:tr>
      <w:tr w14:paraId="1076E430">
        <w:tblPrEx>
          <w:tblCellMar>
            <w:top w:w="0" w:type="dxa"/>
            <w:left w:w="108" w:type="dxa"/>
            <w:bottom w:w="0" w:type="dxa"/>
            <w:right w:w="108" w:type="dxa"/>
          </w:tblCellMar>
        </w:tblPrEx>
        <w:trPr>
          <w:trHeight w:val="101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08917">
            <w:pPr>
              <w:jc w:val="center"/>
              <w:rPr>
                <w:rFonts w:eastAsiaTheme="minorEastAsia"/>
              </w:rPr>
            </w:pPr>
            <w:r>
              <w:rPr>
                <w:rFonts w:ascii="Times New Roman" w:hAnsi="Times New Roman" w:cs="Times New Roman" w:eastAsiaTheme="minorEastAsia"/>
                <w:lang w:eastAsia="zh-CN"/>
              </w:rPr>
              <w:t>4</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0CCF">
            <w:pPr>
              <w:jc w:val="center"/>
              <w:rPr>
                <w:rFonts w:eastAsiaTheme="minorEastAsia"/>
              </w:rPr>
            </w:pPr>
            <w:r>
              <w:rPr>
                <w:rFonts w:ascii="Times New Roman" w:hAnsi="Times New Roman" w:cs="Times New Roman" w:eastAsiaTheme="minorEastAsia"/>
                <w:lang w:eastAsia="zh-CN"/>
              </w:rPr>
              <w:t>突发事件</w:t>
            </w:r>
          </w:p>
          <w:p w14:paraId="7982AE38">
            <w:pPr>
              <w:jc w:val="center"/>
              <w:rPr>
                <w:rFonts w:eastAsiaTheme="minorEastAsia"/>
              </w:rPr>
            </w:pPr>
            <w:r>
              <w:rPr>
                <w:rFonts w:ascii="Times New Roman" w:hAnsi="Times New Roman" w:cs="Times New Roman" w:eastAsiaTheme="minorEastAsia"/>
                <w:lang w:eastAsia="zh-CN"/>
              </w:rPr>
              <w:t>应急预案</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307F8">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指挥体系：联动流程清晰；</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风险分级：轻/中/重污染天气分级标准明确；</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监测预警：数据</w:t>
            </w:r>
            <w:r>
              <w:rPr>
                <w:rFonts w:hint="eastAsia" w:ascii="Times New Roman" w:hAnsi="Times New Roman" w:cs="Times New Roman" w:eastAsiaTheme="minorEastAsia"/>
                <w:lang w:eastAsia="zh-CN"/>
              </w:rPr>
              <w:t>限值</w:t>
            </w:r>
            <w:r>
              <w:rPr>
                <w:rFonts w:ascii="Times New Roman" w:hAnsi="Times New Roman" w:cs="Times New Roman" w:eastAsiaTheme="minorEastAsia"/>
                <w:lang w:eastAsia="zh-CN"/>
              </w:rPr>
              <w:t>、发布流程、响应时限具体；</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应急响应：管控措施、现场督导、复盘评估完整</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D77B5">
            <w:pPr>
              <w:jc w:val="center"/>
              <w:rPr>
                <w:rFonts w:eastAsiaTheme="minorEastAsia"/>
              </w:rPr>
            </w:pPr>
            <w:r>
              <w:rPr>
                <w:rFonts w:ascii="Times New Roman" w:hAnsi="Times New Roman" w:cs="Times New Roman" w:eastAsiaTheme="minorEastAsia"/>
                <w:lang w:eastAsia="zh-CN"/>
              </w:rPr>
              <w:t>10分</w:t>
            </w:r>
          </w:p>
        </w:tc>
      </w:tr>
      <w:tr w14:paraId="15B3720A">
        <w:tblPrEx>
          <w:tblCellMar>
            <w:top w:w="0" w:type="dxa"/>
            <w:left w:w="108" w:type="dxa"/>
            <w:bottom w:w="0" w:type="dxa"/>
            <w:right w:w="108" w:type="dxa"/>
          </w:tblCellMar>
        </w:tblPrEx>
        <w:trPr>
          <w:trHeight w:val="115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12700">
            <w:pPr>
              <w:jc w:val="center"/>
              <w:rPr>
                <w:rFonts w:eastAsiaTheme="minorEastAsia"/>
              </w:rPr>
            </w:pPr>
            <w:r>
              <w:rPr>
                <w:rFonts w:ascii="Times New Roman" w:hAnsi="Times New Roman" w:cs="Times New Roman" w:eastAsiaTheme="minorEastAsia"/>
                <w:lang w:eastAsia="zh-CN"/>
              </w:rPr>
              <w:t>5</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6C490">
            <w:pPr>
              <w:jc w:val="center"/>
              <w:rPr>
                <w:rFonts w:eastAsiaTheme="minorEastAsia"/>
              </w:rPr>
            </w:pPr>
            <w:r>
              <w:rPr>
                <w:rFonts w:ascii="Times New Roman" w:hAnsi="Times New Roman" w:cs="Times New Roman" w:eastAsiaTheme="minorEastAsia"/>
                <w:lang w:eastAsia="zh-CN"/>
              </w:rPr>
              <w:t>项目合理化</w:t>
            </w:r>
          </w:p>
          <w:p w14:paraId="19F7F0A2">
            <w:pPr>
              <w:jc w:val="center"/>
              <w:rPr>
                <w:rFonts w:eastAsiaTheme="minorEastAsia"/>
              </w:rPr>
            </w:pPr>
            <w:r>
              <w:rPr>
                <w:rFonts w:ascii="Times New Roman" w:hAnsi="Times New Roman" w:cs="Times New Roman" w:eastAsiaTheme="minorEastAsia"/>
                <w:lang w:eastAsia="zh-CN"/>
              </w:rPr>
              <w:t>建议</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5D4C2">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数据达标风险预判与压降措施；</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本地污染源与外来传输协同管控；</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科技赋能落地建议；</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部门联动、长效机制建议</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05ACF">
            <w:pPr>
              <w:jc w:val="center"/>
              <w:rPr>
                <w:rFonts w:eastAsiaTheme="minorEastAsia"/>
              </w:rPr>
            </w:pPr>
            <w:r>
              <w:rPr>
                <w:rFonts w:ascii="Times New Roman" w:hAnsi="Times New Roman" w:cs="Times New Roman" w:eastAsiaTheme="minorEastAsia"/>
                <w:lang w:eastAsia="zh-CN"/>
              </w:rPr>
              <w:t>10分</w:t>
            </w:r>
          </w:p>
        </w:tc>
      </w:tr>
      <w:tr w14:paraId="6DF5C25D">
        <w:tblPrEx>
          <w:tblCellMar>
            <w:top w:w="0" w:type="dxa"/>
            <w:left w:w="108" w:type="dxa"/>
            <w:bottom w:w="0" w:type="dxa"/>
            <w:right w:w="108" w:type="dxa"/>
          </w:tblCellMar>
        </w:tblPrEx>
        <w:trPr>
          <w:trHeight w:val="110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E2FE5">
            <w:pPr>
              <w:jc w:val="center"/>
              <w:rPr>
                <w:rFonts w:eastAsiaTheme="minorEastAsia"/>
              </w:rPr>
            </w:pPr>
            <w:r>
              <w:rPr>
                <w:rFonts w:ascii="Times New Roman" w:hAnsi="Times New Roman" w:cs="Times New Roman" w:eastAsiaTheme="minorEastAsia"/>
                <w:lang w:eastAsia="zh-CN"/>
              </w:rPr>
              <w:t>6</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9AA06">
            <w:pPr>
              <w:jc w:val="center"/>
              <w:rPr>
                <w:rFonts w:eastAsiaTheme="minorEastAsia"/>
              </w:rPr>
            </w:pPr>
            <w:r>
              <w:rPr>
                <w:rFonts w:ascii="Times New Roman" w:hAnsi="Times New Roman" w:cs="Times New Roman" w:eastAsiaTheme="minorEastAsia"/>
                <w:lang w:eastAsia="zh-CN"/>
              </w:rPr>
              <w:t>文件管理</w:t>
            </w:r>
          </w:p>
          <w:p w14:paraId="1BB11631">
            <w:pPr>
              <w:jc w:val="center"/>
              <w:rPr>
                <w:rFonts w:eastAsiaTheme="minorEastAsia"/>
              </w:rPr>
            </w:pPr>
            <w:r>
              <w:rPr>
                <w:rFonts w:ascii="Times New Roman" w:hAnsi="Times New Roman" w:cs="Times New Roman" w:eastAsiaTheme="minorEastAsia"/>
                <w:lang w:eastAsia="zh-CN"/>
              </w:rPr>
              <w:t>制度</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72A4D">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档案分类：数据、报告、巡查、企业全归档；</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格式统一：命名、模板、装订标准化；</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全过程管理：收集、审核、存档规范；</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统计监督：台账可查、进度可追、责任可溯</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F6F90">
            <w:pPr>
              <w:jc w:val="center"/>
              <w:rPr>
                <w:rFonts w:eastAsiaTheme="minorEastAsia"/>
              </w:rPr>
            </w:pPr>
            <w:r>
              <w:rPr>
                <w:rFonts w:ascii="Times New Roman" w:hAnsi="Times New Roman" w:cs="Times New Roman" w:eastAsiaTheme="minorEastAsia"/>
                <w:lang w:eastAsia="zh-CN"/>
              </w:rPr>
              <w:t>10分</w:t>
            </w:r>
          </w:p>
        </w:tc>
      </w:tr>
      <w:tr w14:paraId="5EF51367">
        <w:tblPrEx>
          <w:tblCellMar>
            <w:top w:w="0" w:type="dxa"/>
            <w:left w:w="108" w:type="dxa"/>
            <w:bottom w:w="0" w:type="dxa"/>
            <w:right w:w="108" w:type="dxa"/>
          </w:tblCellMar>
        </w:tblPrEx>
        <w:trPr>
          <w:trHeight w:val="113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CC6B0">
            <w:pPr>
              <w:jc w:val="center"/>
              <w:rPr>
                <w:rFonts w:eastAsiaTheme="minorEastAsia"/>
              </w:rPr>
            </w:pPr>
            <w:r>
              <w:rPr>
                <w:rFonts w:ascii="Times New Roman" w:hAnsi="Times New Roman" w:cs="Times New Roman" w:eastAsiaTheme="minorEastAsia"/>
                <w:lang w:eastAsia="zh-CN"/>
              </w:rPr>
              <w:t>7</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77C40">
            <w:pPr>
              <w:jc w:val="center"/>
              <w:rPr>
                <w:rFonts w:eastAsiaTheme="minorEastAsia"/>
              </w:rPr>
            </w:pPr>
            <w:r>
              <w:rPr>
                <w:rFonts w:ascii="Times New Roman" w:hAnsi="Times New Roman" w:cs="Times New Roman" w:eastAsiaTheme="minorEastAsia"/>
                <w:lang w:eastAsia="zh-CN"/>
              </w:rPr>
              <w:t>组织保障</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0098">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团队成员专业对口、经验匹配、驻场稳定；</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项目经理具备同类项目驻场管理经验；</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与责任单位沟通协调机制高效；</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人员考勤、值班、应急备勤保障到位</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17509">
            <w:pPr>
              <w:jc w:val="center"/>
              <w:rPr>
                <w:rFonts w:eastAsiaTheme="minorEastAsia"/>
              </w:rPr>
            </w:pPr>
            <w:r>
              <w:rPr>
                <w:rFonts w:ascii="Times New Roman" w:hAnsi="Times New Roman" w:cs="Times New Roman" w:eastAsiaTheme="minorEastAsia"/>
                <w:lang w:eastAsia="zh-CN"/>
              </w:rPr>
              <w:t>10分</w:t>
            </w:r>
          </w:p>
        </w:tc>
      </w:tr>
      <w:tr w14:paraId="3053C529">
        <w:tblPrEx>
          <w:tblCellMar>
            <w:top w:w="0" w:type="dxa"/>
            <w:left w:w="108" w:type="dxa"/>
            <w:bottom w:w="0" w:type="dxa"/>
            <w:right w:w="108" w:type="dxa"/>
          </w:tblCellMar>
        </w:tblPrEx>
        <w:trPr>
          <w:trHeight w:val="99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29C5F">
            <w:pPr>
              <w:jc w:val="center"/>
              <w:rPr>
                <w:rFonts w:eastAsiaTheme="minorEastAsia"/>
              </w:rPr>
            </w:pPr>
            <w:r>
              <w:rPr>
                <w:rFonts w:ascii="Times New Roman" w:hAnsi="Times New Roman" w:cs="Times New Roman" w:eastAsiaTheme="minorEastAsia"/>
                <w:lang w:eastAsia="zh-CN"/>
              </w:rPr>
              <w:t>8</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AAF5">
            <w:pPr>
              <w:jc w:val="center"/>
              <w:rPr>
                <w:rFonts w:eastAsiaTheme="minorEastAsia"/>
              </w:rPr>
            </w:pPr>
            <w:r>
              <w:rPr>
                <w:rFonts w:ascii="Times New Roman" w:hAnsi="Times New Roman" w:cs="Times New Roman" w:eastAsiaTheme="minorEastAsia"/>
                <w:lang w:eastAsia="zh-CN"/>
              </w:rPr>
              <w:t>专业技术能力支撑</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6EAF">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熟练使用监测设备、数据分析平台、报告编制；</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污染高值快速溯源、现场处置、应急响应能力；</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巡查问题精准发现、记录、交办、销号能力；</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企业诊断、一企一策、绩效分级指导专业度</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470FF">
            <w:pPr>
              <w:jc w:val="center"/>
              <w:rPr>
                <w:rFonts w:eastAsiaTheme="minorEastAsia"/>
              </w:rPr>
            </w:pPr>
            <w:r>
              <w:rPr>
                <w:rFonts w:ascii="Times New Roman" w:hAnsi="Times New Roman" w:cs="Times New Roman" w:eastAsiaTheme="minorEastAsia"/>
                <w:lang w:eastAsia="zh-CN"/>
              </w:rPr>
              <w:t>10分</w:t>
            </w:r>
          </w:p>
        </w:tc>
      </w:tr>
      <w:tr w14:paraId="2C945AEA">
        <w:tblPrEx>
          <w:tblCellMar>
            <w:top w:w="0" w:type="dxa"/>
            <w:left w:w="108" w:type="dxa"/>
            <w:bottom w:w="0" w:type="dxa"/>
            <w:right w:w="108" w:type="dxa"/>
          </w:tblCellMar>
        </w:tblPrEx>
        <w:trPr>
          <w:trHeight w:val="98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35A05">
            <w:pPr>
              <w:jc w:val="center"/>
              <w:rPr>
                <w:rFonts w:eastAsiaTheme="minorEastAsia"/>
              </w:rPr>
            </w:pPr>
            <w:r>
              <w:rPr>
                <w:rFonts w:ascii="Times New Roman" w:hAnsi="Times New Roman" w:cs="Times New Roman" w:eastAsiaTheme="minorEastAsia"/>
                <w:lang w:eastAsia="zh-CN"/>
              </w:rPr>
              <w:t>9</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4A6F9">
            <w:pPr>
              <w:jc w:val="center"/>
              <w:rPr>
                <w:rFonts w:eastAsiaTheme="minorEastAsia"/>
              </w:rPr>
            </w:pPr>
            <w:r>
              <w:rPr>
                <w:rFonts w:ascii="Times New Roman" w:hAnsi="Times New Roman" w:cs="Times New Roman" w:eastAsiaTheme="minorEastAsia"/>
                <w:lang w:eastAsia="zh-CN"/>
              </w:rPr>
              <w:t>工作态度</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05FE4">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主动履职、提前预警、闭环落实；</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遵守甲方制度、驻场考勤、保密要求；</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积极配合检查、督导、考评与整改；</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责任心强、响应迅速、服务意识到位</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785CF">
            <w:pPr>
              <w:jc w:val="center"/>
              <w:rPr>
                <w:rFonts w:eastAsiaTheme="minorEastAsia"/>
              </w:rPr>
            </w:pPr>
            <w:r>
              <w:rPr>
                <w:rFonts w:ascii="Times New Roman" w:hAnsi="Times New Roman" w:cs="Times New Roman" w:eastAsiaTheme="minorEastAsia"/>
                <w:lang w:eastAsia="zh-CN"/>
              </w:rPr>
              <w:t>10分</w:t>
            </w:r>
          </w:p>
        </w:tc>
      </w:tr>
      <w:tr w14:paraId="44BCA1C3">
        <w:tblPrEx>
          <w:tblCellMar>
            <w:top w:w="0" w:type="dxa"/>
            <w:left w:w="108" w:type="dxa"/>
            <w:bottom w:w="0" w:type="dxa"/>
            <w:right w:w="108" w:type="dxa"/>
          </w:tblCellMar>
        </w:tblPrEx>
        <w:trPr>
          <w:trHeight w:val="106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DA698">
            <w:pPr>
              <w:jc w:val="center"/>
              <w:rPr>
                <w:rFonts w:eastAsiaTheme="minorEastAsia"/>
              </w:rPr>
            </w:pPr>
            <w:r>
              <w:rPr>
                <w:rFonts w:ascii="Times New Roman" w:hAnsi="Times New Roman" w:cs="Times New Roman" w:eastAsiaTheme="minorEastAsia"/>
                <w:lang w:eastAsia="zh-CN"/>
              </w:rPr>
              <w:t>10</w:t>
            </w:r>
          </w:p>
        </w:tc>
        <w:tc>
          <w:tcPr>
            <w:tcW w:w="16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56074">
            <w:pPr>
              <w:jc w:val="center"/>
              <w:rPr>
                <w:rFonts w:eastAsiaTheme="minorEastAsia"/>
              </w:rPr>
            </w:pPr>
            <w:r>
              <w:rPr>
                <w:rFonts w:ascii="Times New Roman" w:hAnsi="Times New Roman" w:cs="Times New Roman" w:eastAsiaTheme="minorEastAsia"/>
                <w:lang w:eastAsia="zh-CN"/>
              </w:rPr>
              <w:t>创新能力</w:t>
            </w:r>
          </w:p>
        </w:tc>
        <w:tc>
          <w:tcPr>
            <w:tcW w:w="5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62F6">
            <w:pPr>
              <w:rPr>
                <w:rFonts w:eastAsiaTheme="minorEastAsia"/>
                <w:lang w:eastAsia="zh-CN"/>
              </w:rPr>
            </w:pPr>
            <w:r>
              <w:rPr>
                <w:rFonts w:hint="eastAsia" w:ascii="Times New Roman" w:hAnsi="Times New Roman" w:cs="Times New Roman" w:eastAsiaTheme="minorEastAsia"/>
                <w:lang w:eastAsia="zh-CN"/>
              </w:rPr>
              <w:t>（1）</w:t>
            </w:r>
            <w:r>
              <w:rPr>
                <w:rFonts w:ascii="Times New Roman" w:hAnsi="Times New Roman" w:cs="Times New Roman" w:eastAsiaTheme="minorEastAsia"/>
                <w:lang w:eastAsia="zh-CN"/>
              </w:rPr>
              <w:t>溯源分析、管控措施有本地化创新；</w:t>
            </w:r>
            <w:r>
              <w:rPr>
                <w:rFonts w:hint="eastAsia" w:ascii="Times New Roman" w:hAnsi="Times New Roman" w:cs="Times New Roman" w:eastAsiaTheme="minorEastAsia"/>
                <w:lang w:eastAsia="zh-CN"/>
              </w:rPr>
              <w:t>（2）</w:t>
            </w:r>
            <w:r>
              <w:rPr>
                <w:rFonts w:ascii="Times New Roman" w:hAnsi="Times New Roman" w:cs="Times New Roman" w:eastAsiaTheme="minorEastAsia"/>
                <w:lang w:eastAsia="zh-CN"/>
              </w:rPr>
              <w:t>运用新工具</w:t>
            </w:r>
            <w:r>
              <w:rPr>
                <w:rFonts w:hint="eastAsia" w:ascii="Times New Roman" w:hAnsi="Times New Roman" w:cs="Times New Roman" w:eastAsiaTheme="minorEastAsia"/>
                <w:lang w:eastAsia="zh-CN"/>
              </w:rPr>
              <w:t>、</w:t>
            </w:r>
            <w:r>
              <w:rPr>
                <w:rFonts w:ascii="Times New Roman" w:hAnsi="Times New Roman" w:cs="Times New Roman" w:eastAsiaTheme="minorEastAsia"/>
                <w:lang w:eastAsia="zh-CN"/>
              </w:rPr>
              <w:t>新方法提升效率与精准度；</w:t>
            </w:r>
            <w:r>
              <w:rPr>
                <w:rFonts w:hint="eastAsia" w:ascii="Times New Roman" w:hAnsi="Times New Roman" w:cs="Times New Roman" w:eastAsiaTheme="minorEastAsia"/>
                <w:lang w:eastAsia="zh-CN"/>
              </w:rPr>
              <w:t>（3）</w:t>
            </w:r>
            <w:r>
              <w:rPr>
                <w:rFonts w:ascii="Times New Roman" w:hAnsi="Times New Roman" w:cs="Times New Roman" w:eastAsiaTheme="minorEastAsia"/>
                <w:lang w:eastAsia="zh-CN"/>
              </w:rPr>
              <w:t>提出可复制长效机制与提质增效建议；</w:t>
            </w:r>
            <w:r>
              <w:rPr>
                <w:rFonts w:hint="eastAsia" w:ascii="Times New Roman" w:hAnsi="Times New Roman" w:cs="Times New Roman" w:eastAsiaTheme="minorEastAsia"/>
                <w:lang w:eastAsia="zh-CN"/>
              </w:rPr>
              <w:t>（4）</w:t>
            </w:r>
            <w:r>
              <w:rPr>
                <w:rFonts w:ascii="Times New Roman" w:hAnsi="Times New Roman" w:cs="Times New Roman" w:eastAsiaTheme="minorEastAsia"/>
                <w:lang w:eastAsia="zh-CN"/>
              </w:rPr>
              <w:t>创新点贴合经开区实际、可落地见效</w:t>
            </w:r>
            <w:r>
              <w:rPr>
                <w:rFonts w:hint="eastAsia" w:ascii="Times New Roman" w:hAnsi="Times New Roman" w:cs="Times New Roman" w:eastAsiaTheme="minorEastAsia"/>
                <w:lang w:eastAsia="zh-CN"/>
              </w:rPr>
              <w:t>。</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571B0">
            <w:pPr>
              <w:jc w:val="center"/>
              <w:rPr>
                <w:rFonts w:eastAsiaTheme="minorEastAsia"/>
              </w:rPr>
            </w:pPr>
            <w:r>
              <w:rPr>
                <w:rFonts w:ascii="Times New Roman" w:hAnsi="Times New Roman" w:cs="Times New Roman" w:eastAsiaTheme="minorEastAsia"/>
                <w:lang w:eastAsia="zh-CN"/>
              </w:rPr>
              <w:t>10分</w:t>
            </w:r>
          </w:p>
        </w:tc>
      </w:tr>
      <w:tr w14:paraId="5B245911">
        <w:tblPrEx>
          <w:tblCellMar>
            <w:top w:w="0" w:type="dxa"/>
            <w:left w:w="108" w:type="dxa"/>
            <w:bottom w:w="0" w:type="dxa"/>
            <w:right w:w="108" w:type="dxa"/>
          </w:tblCellMar>
        </w:tblPrEx>
        <w:trPr>
          <w:trHeight w:val="497" w:hRule="atLeast"/>
        </w:trPr>
        <w:tc>
          <w:tcPr>
            <w:tcW w:w="77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C28FF7">
            <w:pPr>
              <w:jc w:val="center"/>
              <w:rPr>
                <w:rFonts w:eastAsiaTheme="minorEastAsia"/>
              </w:rPr>
            </w:pPr>
            <w:r>
              <w:rPr>
                <w:rFonts w:ascii="Times New Roman" w:hAnsi="Times New Roman" w:cs="Times New Roman" w:eastAsiaTheme="minorEastAsia"/>
                <w:lang w:eastAsia="zh-CN"/>
              </w:rPr>
              <w:t>总分</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A2E9C">
            <w:pPr>
              <w:jc w:val="center"/>
              <w:rPr>
                <w:rFonts w:eastAsiaTheme="minorEastAsia"/>
              </w:rPr>
            </w:pPr>
          </w:p>
        </w:tc>
      </w:tr>
    </w:tbl>
    <w:p w14:paraId="3EC303E5">
      <w:pPr>
        <w:widowControl w:val="0"/>
        <w:kinsoku/>
        <w:autoSpaceDE/>
        <w:autoSpaceDN/>
        <w:adjustRightInd/>
        <w:snapToGrid/>
        <w:spacing w:line="360" w:lineRule="auto"/>
        <w:ind w:firstLine="560" w:firstLineChars="200"/>
        <w:jc w:val="both"/>
        <w:textAlignment w:val="auto"/>
        <w:rPr>
          <w:rFonts w:hint="eastAsia" w:ascii="仿宋_GB2312" w:eastAsia="仿宋_GB2312" w:hAnsiTheme="minorEastAsia" w:cstheme="minorEastAsia"/>
          <w:b/>
          <w:bCs/>
          <w:color w:val="auto"/>
          <w:sz w:val="28"/>
          <w:szCs w:val="28"/>
          <w:lang w:eastAsia="zh-CN"/>
        </w:rPr>
      </w:pPr>
      <w:r>
        <w:rPr>
          <w:rFonts w:hint="eastAsia" w:ascii="仿宋_GB2312" w:eastAsia="仿宋_GB2312" w:hAnsiTheme="minorEastAsia" w:cstheme="minorEastAsia"/>
          <w:color w:val="auto"/>
          <w:sz w:val="28"/>
          <w:szCs w:val="28"/>
          <w:lang w:eastAsia="zh-CN"/>
        </w:rPr>
        <w:t>7.</w:t>
      </w:r>
      <w:r>
        <w:rPr>
          <w:rFonts w:ascii="仿宋_GB2312" w:eastAsia="仿宋_GB2312" w:hAnsiTheme="minorEastAsia" w:cstheme="minorEastAsia"/>
          <w:color w:val="auto"/>
          <w:sz w:val="28"/>
          <w:szCs w:val="28"/>
          <w:lang w:eastAsia="zh-CN"/>
        </w:rPr>
        <w:t>3</w:t>
      </w:r>
      <w:r>
        <w:rPr>
          <w:rFonts w:hint="eastAsia" w:ascii="仿宋_GB2312" w:eastAsia="仿宋_GB2312" w:hAnsiTheme="minorEastAsia" w:cstheme="minorEastAsia"/>
          <w:color w:val="auto"/>
          <w:sz w:val="28"/>
          <w:szCs w:val="28"/>
          <w:lang w:eastAsia="zh-CN"/>
        </w:rPr>
        <w:t>供应商未受到中华人民共和国生态环境部（原环境保护部）或中国环境监测总站或中国环境保护产业协会或省级生态环境主管部门的通报、处罚或约谈。</w:t>
      </w:r>
      <w:r>
        <w:rPr>
          <w:rFonts w:hint="eastAsia" w:ascii="仿宋_GB2312" w:eastAsia="仿宋_GB2312" w:hAnsiTheme="minorEastAsia" w:cstheme="minorEastAsia"/>
          <w:b/>
          <w:bCs/>
          <w:color w:val="auto"/>
          <w:sz w:val="28"/>
          <w:szCs w:val="28"/>
          <w:lang w:eastAsia="zh-CN"/>
        </w:rPr>
        <w:t>（提供承诺函加盖</w:t>
      </w:r>
      <w:r>
        <w:rPr>
          <w:rFonts w:hint="eastAsia" w:ascii="仿宋_GB2312" w:eastAsia="仿宋_GB2312" w:hAnsiTheme="minorEastAsia" w:cstheme="minorEastAsia"/>
          <w:b/>
          <w:bCs/>
          <w:color w:val="auto"/>
          <w:sz w:val="28"/>
          <w:szCs w:val="28"/>
          <w:lang w:val="en-US" w:eastAsia="zh-CN"/>
        </w:rPr>
        <w:t>供应商</w:t>
      </w:r>
      <w:r>
        <w:rPr>
          <w:rFonts w:hint="eastAsia" w:ascii="仿宋_GB2312" w:eastAsia="仿宋_GB2312" w:hAnsiTheme="minorEastAsia" w:cstheme="minorEastAsia"/>
          <w:b/>
          <w:bCs/>
          <w:color w:val="auto"/>
          <w:sz w:val="28"/>
          <w:szCs w:val="28"/>
          <w:lang w:eastAsia="zh-CN"/>
        </w:rPr>
        <w:t>公章）</w:t>
      </w:r>
    </w:p>
    <w:p w14:paraId="74FB0268">
      <w:pPr>
        <w:widowControl w:val="0"/>
        <w:kinsoku/>
        <w:autoSpaceDE/>
        <w:autoSpaceDN/>
        <w:adjustRightInd/>
        <w:snapToGrid/>
        <w:spacing w:line="360" w:lineRule="auto"/>
        <w:ind w:firstLine="560" w:firstLineChars="200"/>
        <w:jc w:val="both"/>
        <w:textAlignment w:val="auto"/>
        <w:rPr>
          <w:rFonts w:hint="eastAsia"/>
          <w:highlight w:val="none"/>
          <w:lang w:val="en-US" w:eastAsia="zh-CN"/>
        </w:rPr>
      </w:pPr>
      <w:r>
        <w:rPr>
          <w:rFonts w:hint="eastAsia" w:ascii="仿宋_GB2312" w:eastAsia="仿宋_GB2312" w:hAnsiTheme="minorEastAsia" w:cstheme="minorEastAsia"/>
          <w:color w:val="auto"/>
          <w:sz w:val="28"/>
          <w:szCs w:val="28"/>
          <w:lang w:eastAsia="zh-CN"/>
        </w:rPr>
        <w:t>7.</w:t>
      </w:r>
      <w:r>
        <w:rPr>
          <w:rFonts w:ascii="仿宋_GB2312" w:eastAsia="仿宋_GB2312" w:hAnsiTheme="minorEastAsia" w:cstheme="minorEastAsia"/>
          <w:color w:val="auto"/>
          <w:sz w:val="28"/>
          <w:szCs w:val="28"/>
          <w:lang w:eastAsia="zh-CN"/>
        </w:rPr>
        <w:t>4</w:t>
      </w:r>
      <w:r>
        <w:rPr>
          <w:rFonts w:hint="eastAsia" w:ascii="仿宋_GB2312" w:eastAsia="仿宋_GB2312" w:hAnsiTheme="minorEastAsia" w:cstheme="minorEastAsia"/>
          <w:color w:val="auto"/>
          <w:sz w:val="28"/>
          <w:szCs w:val="28"/>
          <w:lang w:eastAsia="zh-CN"/>
        </w:rPr>
        <w:t>其他未尽事宜可在合同中约定。</w:t>
      </w:r>
    </w:p>
    <w:p w14:paraId="2209CB50">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633C00"/>
    <w:rsid w:val="0E0B0D07"/>
    <w:rsid w:val="282F63B2"/>
    <w:rsid w:val="2A492CDC"/>
    <w:rsid w:val="39633C00"/>
    <w:rsid w:val="50FD42F8"/>
    <w:rsid w:val="62EF1C6C"/>
    <w:rsid w:val="64036CA5"/>
    <w:rsid w:val="6C1277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1"/>
    <w:basedOn w:val="1"/>
    <w:next w:val="1"/>
    <w:link w:val="12"/>
    <w:qFormat/>
    <w:uiPriority w:val="0"/>
    <w:pPr>
      <w:keepNext/>
      <w:keepLines/>
      <w:spacing w:before="340" w:beforeLines="0" w:beforeAutospacing="0" w:after="330" w:afterLines="0" w:afterAutospacing="0" w:line="576" w:lineRule="auto"/>
      <w:jc w:val="center"/>
      <w:outlineLvl w:val="0"/>
    </w:pPr>
    <w:rPr>
      <w:rFonts w:ascii="Times New Roman" w:hAnsi="Times New Roman" w:eastAsia="宋体"/>
      <w:b/>
      <w:color w:val="000000"/>
      <w:kern w:val="44"/>
      <w:sz w:val="44"/>
      <w:lang w:eastAsia="en-US" w:bidi="en-US"/>
    </w:rPr>
  </w:style>
  <w:style w:type="paragraph" w:styleId="5">
    <w:name w:val="heading 2"/>
    <w:basedOn w:val="6"/>
    <w:next w:val="1"/>
    <w:link w:val="13"/>
    <w:semiHidden/>
    <w:unhideWhenUsed/>
    <w:qFormat/>
    <w:uiPriority w:val="0"/>
    <w:pPr>
      <w:keepNext/>
      <w:keepLines/>
      <w:spacing w:before="260" w:after="260" w:line="413" w:lineRule="auto"/>
      <w:jc w:val="center"/>
      <w:outlineLvl w:val="1"/>
    </w:pPr>
    <w:rPr>
      <w:rFonts w:eastAsia="宋体" w:cs="Arial"/>
      <w:b/>
      <w:bCs/>
      <w:sz w:val="30"/>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6">
    <w:name w:val="toa heading"/>
    <w:basedOn w:val="1"/>
    <w:next w:val="1"/>
    <w:qFormat/>
    <w:uiPriority w:val="0"/>
    <w:pPr>
      <w:spacing w:before="120" w:beforeLines="0" w:beforeAutospacing="0"/>
    </w:pPr>
    <w:rPr>
      <w:rFonts w:ascii="Arial" w:hAnsi="Arial"/>
      <w:sz w:val="24"/>
    </w:rPr>
  </w:style>
  <w:style w:type="paragraph" w:styleId="7">
    <w:name w:val="Plain Text"/>
    <w:basedOn w:val="1"/>
    <w:qFormat/>
    <w:uiPriority w:val="0"/>
    <w:rPr>
      <w:rFonts w:ascii="宋体" w:hAnsi="Courier New"/>
      <w:kern w:val="0"/>
      <w:sz w:val="20"/>
      <w:szCs w:val="21"/>
    </w:rPr>
  </w:style>
  <w:style w:type="paragraph" w:styleId="8">
    <w:name w:val="footer"/>
    <w:basedOn w:val="1"/>
    <w:qFormat/>
    <w:uiPriority w:val="0"/>
    <w:pPr>
      <w:tabs>
        <w:tab w:val="center" w:pos="4153"/>
        <w:tab w:val="right" w:pos="8306"/>
      </w:tabs>
    </w:pPr>
    <w:rPr>
      <w:sz w:val="18"/>
    </w:rPr>
  </w:style>
  <w:style w:type="paragraph" w:customStyle="1" w:styleId="11">
    <w:name w:val="样式2"/>
    <w:basedOn w:val="1"/>
    <w:next w:val="1"/>
    <w:qFormat/>
    <w:uiPriority w:val="0"/>
    <w:pPr>
      <w:keepNext/>
      <w:spacing w:line="360" w:lineRule="auto"/>
      <w:outlineLvl w:val="0"/>
    </w:pPr>
    <w:rPr>
      <w:rFonts w:hint="eastAsia" w:ascii="Arial" w:hAnsi="Arial" w:eastAsia="宋体" w:cs="Arial"/>
      <w:b/>
      <w:color w:val="000000"/>
      <w:sz w:val="30"/>
      <w:szCs w:val="36"/>
    </w:rPr>
  </w:style>
  <w:style w:type="character" w:customStyle="1" w:styleId="12">
    <w:name w:val="标题 1 字符"/>
    <w:link w:val="4"/>
    <w:qFormat/>
    <w:uiPriority w:val="0"/>
    <w:rPr>
      <w:rFonts w:ascii="Times New Roman" w:hAnsi="Times New Roman" w:eastAsia="宋体" w:cs="Arial"/>
      <w:b/>
      <w:color w:val="000000"/>
      <w:kern w:val="2"/>
      <w:sz w:val="32"/>
      <w:lang w:eastAsia="en-US" w:bidi="en-US"/>
    </w:rPr>
  </w:style>
  <w:style w:type="character" w:customStyle="1" w:styleId="13">
    <w:name w:val="标题 2 字符"/>
    <w:link w:val="5"/>
    <w:qFormat/>
    <w:uiPriority w:val="9"/>
    <w:rPr>
      <w:rFonts w:eastAsia="宋体" w:cs="Arial"/>
      <w:b/>
      <w:bCs/>
      <w:kern w:val="2"/>
      <w:sz w:val="30"/>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2026-06-17T06:43:00Z</dcterms:created>
  <dc:creator>admin</dc:creator>
  <cp:lastModifiedBy>admin</cp:lastModifiedBy>
  <dcterms:modified xsi:type="dcterms:W3CDTF">2026-06-17T06:44:20Z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0DBC68BD6DF24F0480578DC71E771057_11</vt:lpwstr>
  </property>
  <property fmtid="{D5CDD505-2E9C-101B-9397-08002B2CF9AE}" pid="4" name="KSOTemplateDocerSaveRecord">
    <vt:lpwstr>eyJoZGlkIjoiMmQ2MTY4OWI2ZDRjMzRlMGYzNGJmZDc2NjhiNGFjNzQiLCJ1c2VySWQiOiI1ODA1NTcwODMifQ==</vt:lpwstr>
  </property>
</Properties>
</file>