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54F7D9">
      <w:pPr>
        <w:pageBreakBefore w:val="0"/>
        <w:widowControl w:val="0"/>
        <w:kinsoku/>
        <w:wordWrap/>
        <w:overflowPunct/>
        <w:topLinePunct w:val="0"/>
        <w:bidi w:val="0"/>
        <w:spacing w:before="63" w:line="224" w:lineRule="auto"/>
        <w:jc w:val="center"/>
        <w:outlineLvl w:val="0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30F454B4">
      <w:pPr>
        <w:pageBreakBefore w:val="0"/>
        <w:widowControl w:val="0"/>
        <w:kinsoku/>
        <w:wordWrap/>
        <w:overflowPunct/>
        <w:topLinePunct w:val="0"/>
        <w:bidi w:val="0"/>
        <w:spacing w:line="309" w:lineRule="auto"/>
        <w:jc w:val="center"/>
        <w:rPr>
          <w:color w:val="auto"/>
          <w:highlight w:val="none"/>
          <w:lang w:eastAsia="zh-CN"/>
        </w:rPr>
      </w:pPr>
    </w:p>
    <w:p w14:paraId="7C976DE4">
      <w:pPr>
        <w:pageBreakBefore w:val="0"/>
        <w:widowControl w:val="0"/>
        <w:kinsoku/>
        <w:wordWrap/>
        <w:overflowPunct/>
        <w:topLinePunct w:val="0"/>
        <w:bidi w:val="0"/>
        <w:spacing w:before="78" w:line="220" w:lineRule="auto"/>
        <w:outlineLvl w:val="9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1B6CA214">
      <w:pPr>
        <w:pageBreakBefore w:val="0"/>
        <w:widowControl w:val="0"/>
        <w:kinsoku/>
        <w:wordWrap/>
        <w:overflowPunct/>
        <w:topLinePunct w:val="0"/>
        <w:bidi w:val="0"/>
        <w:spacing w:before="78" w:line="220" w:lineRule="auto"/>
        <w:jc w:val="both"/>
        <w:outlineLvl w:val="1"/>
        <w:rPr>
          <w:color w:val="auto"/>
          <w:sz w:val="22"/>
          <w:szCs w:val="22"/>
          <w:highlight w:val="none"/>
        </w:rPr>
      </w:pPr>
      <w:bookmarkStart w:id="0" w:name="_Toc18902"/>
      <w:bookmarkStart w:id="1" w:name="_Toc7426"/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End w:id="0"/>
      <w:bookmarkEnd w:id="1"/>
    </w:p>
    <w:tbl>
      <w:tblPr>
        <w:tblStyle w:val="11"/>
        <w:tblpPr w:leftFromText="180" w:rightFromText="180" w:vertAnchor="text" w:horzAnchor="page" w:tblpX="1392" w:tblpY="255"/>
        <w:tblOverlap w:val="never"/>
        <w:tblW w:w="9319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994"/>
        <w:gridCol w:w="6588"/>
      </w:tblGrid>
      <w:tr w14:paraId="6A4EFD6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1737" w:type="dxa"/>
            <w:tcBorders>
              <w:right w:val="nil"/>
            </w:tcBorders>
          </w:tcPr>
          <w:p w14:paraId="4ACF59C7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3C95A374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5D6B5C22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3925D9DD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7433BB82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1C50C7E9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994" w:type="dxa"/>
            <w:tcBorders>
              <w:left w:val="nil"/>
            </w:tcBorders>
          </w:tcPr>
          <w:p w14:paraId="7B116E0A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43A34923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294496D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1668424B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588" w:type="dxa"/>
            <w:vAlign w:val="center"/>
          </w:tcPr>
          <w:p w14:paraId="68E95ED3">
            <w:pPr>
              <w:pStyle w:val="13"/>
              <w:keepNext w:val="0"/>
              <w:keepLines w:val="0"/>
              <w:pageBreakBefore w:val="0"/>
              <w:widowControl/>
              <w:tabs>
                <w:tab w:val="center" w:pos="4201"/>
                <w:tab w:val="right" w:leader="dot" w:pos="9298"/>
              </w:tabs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6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 w:bidi="ar-SA"/>
              </w:rPr>
              <w:t>安源中学多功能报告厅及相关电路提升项目</w:t>
            </w:r>
          </w:p>
          <w:p w14:paraId="21DBBC80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</w:p>
        </w:tc>
      </w:tr>
      <w:tr w14:paraId="69411A0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2" w:hRule="atLeast"/>
        </w:trPr>
        <w:tc>
          <w:tcPr>
            <w:tcW w:w="2731" w:type="dxa"/>
            <w:gridSpan w:val="2"/>
          </w:tcPr>
          <w:p w14:paraId="750E3F67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588" w:type="dxa"/>
            <w:vAlign w:val="center"/>
          </w:tcPr>
          <w:p w14:paraId="2E18FACB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1套</w:t>
            </w:r>
          </w:p>
        </w:tc>
      </w:tr>
      <w:tr w14:paraId="6B14E9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731" w:type="dxa"/>
            <w:gridSpan w:val="2"/>
          </w:tcPr>
          <w:p w14:paraId="0CA76668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交货期</w:t>
            </w:r>
          </w:p>
        </w:tc>
        <w:tc>
          <w:tcPr>
            <w:tcW w:w="6588" w:type="dxa"/>
            <w:vAlign w:val="center"/>
          </w:tcPr>
          <w:p w14:paraId="7413C069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color w:val="auto"/>
                <w:highlight w:val="none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eastAsia="zh-CN"/>
              </w:rPr>
              <w:t>合同签订后30日内施工、安装完成并验收合格。</w:t>
            </w:r>
          </w:p>
        </w:tc>
      </w:tr>
      <w:tr w14:paraId="49092B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731" w:type="dxa"/>
            <w:gridSpan w:val="2"/>
          </w:tcPr>
          <w:p w14:paraId="5E8B45C2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交货地点</w:t>
            </w:r>
          </w:p>
        </w:tc>
        <w:tc>
          <w:tcPr>
            <w:tcW w:w="6588" w:type="dxa"/>
            <w:vAlign w:val="center"/>
          </w:tcPr>
          <w:p w14:paraId="1E45A937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eastAsia="zh-CN"/>
              </w:rPr>
              <w:t>采购人指定地点</w:t>
            </w:r>
          </w:p>
        </w:tc>
      </w:tr>
      <w:tr w14:paraId="63B8E3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2731" w:type="dxa"/>
            <w:gridSpan w:val="2"/>
          </w:tcPr>
          <w:p w14:paraId="194C5D65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7" w:line="220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安装地点</w:t>
            </w:r>
          </w:p>
        </w:tc>
        <w:tc>
          <w:tcPr>
            <w:tcW w:w="6588" w:type="dxa"/>
            <w:vAlign w:val="center"/>
          </w:tcPr>
          <w:p w14:paraId="0A28FEA1">
            <w:pPr>
              <w:pStyle w:val="12"/>
              <w:pageBreakBefore w:val="0"/>
              <w:widowControl w:val="0"/>
              <w:kinsoku/>
              <w:wordWrap/>
              <w:overflowPunct/>
              <w:topLinePunct w:val="0"/>
              <w:bidi w:val="0"/>
              <w:jc w:val="center"/>
              <w:rPr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eastAsia="zh-CN"/>
              </w:rPr>
              <w:t>采购人指定地点</w:t>
            </w:r>
          </w:p>
        </w:tc>
      </w:tr>
      <w:tr w14:paraId="48A7B3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731" w:type="dxa"/>
            <w:gridSpan w:val="2"/>
          </w:tcPr>
          <w:p w14:paraId="4D15BAD1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588" w:type="dxa"/>
            <w:vAlign w:val="center"/>
          </w:tcPr>
          <w:p w14:paraId="61A81B1E">
            <w:pPr>
              <w:pStyle w:val="12"/>
              <w:spacing w:line="360" w:lineRule="auto"/>
              <w:ind w:firstLine="480" w:firstLineChars="200"/>
              <w:jc w:val="left"/>
              <w:rPr>
                <w:rFonts w:hint="eastAsia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eastAsia="zh-CN"/>
              </w:rPr>
              <w:t>投标报价包含招标文件所约定的范围内全部内容价格体现的“交钥匙工程”。</w:t>
            </w:r>
            <w:r>
              <w:rPr>
                <w:rFonts w:hint="eastAsia" w:eastAsia="宋体"/>
                <w:color w:val="auto"/>
                <w:sz w:val="24"/>
                <w:szCs w:val="24"/>
                <w:highlight w:val="none"/>
                <w:lang w:val="en-US" w:eastAsia="zh-CN"/>
              </w:rPr>
              <w:t>磋商报价包括但不限于供货、运输、安装、施工机械、劳务、材料(包括采购人选定的材料供应商所供材料的运输、到现场的卸力及采购保管费用等)、墙地面修复、临时设施(包括场地内施工用水、电及场内施工道路等)、余土外运、垃圾清运至政府指定位置（含结构拆除等建筑垃圾）、缺陷修补、利润、保险、税金等各项直接、间接费用等完成本项目所需的一切相关费用。</w:t>
            </w:r>
          </w:p>
        </w:tc>
      </w:tr>
    </w:tbl>
    <w:p w14:paraId="2B19A788">
      <w:pPr>
        <w:pageBreakBefore w:val="0"/>
        <w:widowControl w:val="0"/>
        <w:kinsoku/>
        <w:wordWrap/>
        <w:overflowPunct/>
        <w:topLinePunct w:val="0"/>
        <w:bidi w:val="0"/>
        <w:rPr>
          <w:color w:val="auto"/>
          <w:highlight w:val="none"/>
        </w:rPr>
        <w:sectPr>
          <w:footerReference r:id="rId3" w:type="default"/>
          <w:pgSz w:w="11906" w:h="16839"/>
          <w:pgMar w:top="1429" w:right="1786" w:bottom="1429" w:left="1786" w:header="0" w:footer="994" w:gutter="0"/>
          <w:cols w:space="720" w:num="1"/>
        </w:sectPr>
      </w:pPr>
      <w:r>
        <w:rPr>
          <w:color w:val="auto"/>
          <w:highlight w:val="none"/>
        </w:rPr>
        <w:drawing>
          <wp:anchor distT="0" distB="0" distL="0" distR="0" simplePos="0" relativeHeight="251661312" behindDoc="1" locked="0" layoutInCell="1" allowOverlap="1">
            <wp:simplePos x="0" y="0"/>
            <wp:positionH relativeFrom="column">
              <wp:posOffset>-252095</wp:posOffset>
            </wp:positionH>
            <wp:positionV relativeFrom="paragraph">
              <wp:posOffset>150495</wp:posOffset>
            </wp:positionV>
            <wp:extent cx="1776730" cy="1456690"/>
            <wp:effectExtent l="0" t="0" r="13970" b="1016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776730" cy="1456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1101039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8"/>
          <w:szCs w:val="28"/>
          <w:highlight w:val="none"/>
        </w:rPr>
      </w:pPr>
      <w:bookmarkStart w:id="2" w:name="bookmark81"/>
      <w:bookmarkEnd w:id="2"/>
      <w:bookmarkStart w:id="3" w:name="_Toc19467"/>
      <w:bookmarkStart w:id="4" w:name="_Toc14287"/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8"/>
          <w:szCs w:val="28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8"/>
          <w:szCs w:val="28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3"/>
      <w:bookmarkEnd w:id="4"/>
    </w:p>
    <w:p w14:paraId="42F05BCB">
      <w:pPr>
        <w:pageBreakBefore w:val="0"/>
        <w:widowControl w:val="0"/>
        <w:kinsoku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color w:val="auto"/>
          <w:sz w:val="28"/>
          <w:szCs w:val="28"/>
          <w:highlight w:val="none"/>
        </w:rPr>
      </w:pPr>
      <w:r>
        <w:rPr>
          <w:rFonts w:ascii="宋体" w:hAnsi="宋体" w:eastAsia="宋体" w:cs="宋体"/>
          <w:color w:val="auto"/>
          <w:spacing w:val="-5"/>
          <w:sz w:val="28"/>
          <w:szCs w:val="28"/>
          <w:highlight w:val="none"/>
        </w:rPr>
        <w:t>（一）</w:t>
      </w:r>
      <w:r>
        <w:rPr>
          <w:rFonts w:ascii="宋体" w:hAnsi="宋体" w:eastAsia="宋体" w:cs="宋体"/>
          <w:color w:val="auto"/>
          <w:spacing w:val="25"/>
          <w:sz w:val="28"/>
          <w:szCs w:val="28"/>
          <w:highlight w:val="none"/>
        </w:rPr>
        <w:t xml:space="preserve"> </w:t>
      </w:r>
      <w:r>
        <w:rPr>
          <w:rFonts w:ascii="宋体" w:hAnsi="宋体" w:eastAsia="宋体" w:cs="宋体"/>
          <w:color w:val="auto"/>
          <w:spacing w:val="-5"/>
          <w:sz w:val="28"/>
          <w:szCs w:val="28"/>
          <w:highlight w:val="none"/>
        </w:rPr>
        <w:t>技术需求</w:t>
      </w:r>
    </w:p>
    <w:p w14:paraId="04CFFB87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p w14:paraId="7622F088">
      <w:pPr>
        <w:widowControl/>
        <w:spacing w:line="360" w:lineRule="auto"/>
        <w:jc w:val="both"/>
        <w:rPr>
          <w:rFonts w:hint="eastAsia" w:ascii="宋体" w:hAnsi="宋体" w:eastAsia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1、项目</w:t>
      </w:r>
      <w:r>
        <w:rPr>
          <w:rFonts w:hint="eastAsia" w:ascii="宋体" w:hAnsi="宋体"/>
          <w:color w:val="auto"/>
          <w:sz w:val="24"/>
          <w:szCs w:val="24"/>
          <w:highlight w:val="none"/>
        </w:rPr>
        <w:t>概况</w:t>
      </w:r>
      <w:r>
        <w:rPr>
          <w:rFonts w:hint="eastAsia" w:ascii="宋体" w:hAnsi="宋体" w:eastAsia="宋体"/>
          <w:color w:val="auto"/>
          <w:sz w:val="24"/>
          <w:szCs w:val="24"/>
          <w:highlight w:val="none"/>
          <w:lang w:val="en-US" w:eastAsia="zh-CN"/>
        </w:rPr>
        <w:t>:</w:t>
      </w:r>
    </w:p>
    <w:p w14:paraId="193286F7">
      <w:pPr>
        <w:pStyle w:val="13"/>
        <w:keepNext w:val="0"/>
        <w:keepLines w:val="0"/>
        <w:pageBreakBefore w:val="0"/>
        <w:widowControl/>
        <w:tabs>
          <w:tab w:val="center" w:pos="4201"/>
          <w:tab w:val="right" w:leader="dot" w:pos="9298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-SA"/>
        </w:rPr>
      </w:pPr>
      <w:r>
        <w:rPr>
          <w:rFonts w:hint="eastAsia" w:hAnsi="宋体" w:cs="宋体"/>
          <w:color w:val="auto"/>
          <w:kern w:val="0"/>
          <w:sz w:val="24"/>
          <w:szCs w:val="24"/>
          <w:lang w:val="en-US" w:eastAsia="zh-CN" w:bidi="ar-SA"/>
        </w:rPr>
        <w:t>项目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-SA"/>
        </w:rPr>
        <w:t>名称：</w:t>
      </w:r>
      <w:r>
        <w:rPr>
          <w:rFonts w:hint="eastAsia" w:ascii="宋体" w:hAnsi="宋体" w:eastAsia="宋体" w:cs="宋体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安源中学多功能报告厅及相关电路提升项目</w:t>
      </w:r>
    </w:p>
    <w:p w14:paraId="0CA982FC">
      <w:pPr>
        <w:pStyle w:val="13"/>
        <w:keepNext w:val="0"/>
        <w:keepLines w:val="0"/>
        <w:pageBreakBefore w:val="0"/>
        <w:widowControl/>
        <w:tabs>
          <w:tab w:val="center" w:pos="4201"/>
          <w:tab w:val="right" w:leader="dot" w:pos="9298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default" w:ascii="宋体" w:hAnsi="宋体" w:eastAsia="宋体" w:cs="宋体"/>
          <w:color w:val="auto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-SA"/>
        </w:rPr>
        <w:t>地点：</w:t>
      </w:r>
      <w:r>
        <w:rPr>
          <w:rFonts w:hint="eastAsia" w:hAnsi="宋体" w:cs="宋体"/>
          <w:color w:val="auto"/>
          <w:kern w:val="0"/>
          <w:sz w:val="24"/>
          <w:szCs w:val="24"/>
          <w:lang w:val="en-US" w:eastAsia="zh-CN" w:bidi="ar-SA"/>
        </w:rPr>
        <w:t>萍乡市安源中学</w:t>
      </w:r>
    </w:p>
    <w:p w14:paraId="06126DB6">
      <w:pPr>
        <w:widowControl/>
        <w:spacing w:line="360" w:lineRule="auto"/>
        <w:jc w:val="both"/>
        <w:rPr>
          <w:rFonts w:hint="eastAsia" w:ascii="宋体" w:hAnsi="宋体" w:eastAsia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 w:bidi="ar-SA"/>
        </w:rPr>
        <w:t>采购范围：</w:t>
      </w:r>
      <w:r>
        <w:rPr>
          <w:rFonts w:hint="eastAsia" w:ascii="宋体" w:hAnsi="宋体" w:eastAsia="宋体"/>
          <w:color w:val="auto"/>
          <w:sz w:val="24"/>
          <w:szCs w:val="24"/>
          <w:highlight w:val="none"/>
          <w:lang w:val="en-US" w:eastAsia="zh-CN"/>
        </w:rPr>
        <w:t>电力设备配电站、开关站工程设备采购(含安装)、电力设备零部件架空线路工程设备采购(含安装)、绝缘电线和电缆，电缆线路工程设备采购(含安装)。</w:t>
      </w:r>
    </w:p>
    <w:p w14:paraId="2D50368A">
      <w:pPr>
        <w:widowControl/>
        <w:spacing w:line="360" w:lineRule="auto"/>
        <w:jc w:val="both"/>
        <w:rPr>
          <w:rFonts w:hint="default" w:ascii="宋体" w:hAnsi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/>
          <w:color w:val="auto"/>
          <w:sz w:val="24"/>
          <w:szCs w:val="24"/>
          <w:highlight w:val="none"/>
          <w:lang w:val="en-US" w:eastAsia="zh-CN"/>
        </w:rPr>
        <w:t>2、采购清单</w:t>
      </w:r>
    </w:p>
    <w:p w14:paraId="197B59F5">
      <w:pPr>
        <w:pageBreakBefore w:val="0"/>
        <w:widowControl w:val="0"/>
        <w:kinsoku/>
        <w:wordWrap/>
        <w:overflowPunct/>
        <w:topLinePunct w:val="0"/>
        <w:bidi w:val="0"/>
        <w:spacing w:line="242" w:lineRule="auto"/>
        <w:rPr>
          <w:color w:val="auto"/>
          <w:highlight w:val="none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3405"/>
        <w:gridCol w:w="930"/>
        <w:gridCol w:w="945"/>
        <w:gridCol w:w="3007"/>
      </w:tblGrid>
      <w:tr w14:paraId="4EA01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  <w:jc w:val="center"/>
        </w:trPr>
        <w:tc>
          <w:tcPr>
            <w:tcW w:w="903" w:type="dxa"/>
            <w:vAlign w:val="center"/>
          </w:tcPr>
          <w:p w14:paraId="230C951F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405" w:type="dxa"/>
            <w:vAlign w:val="center"/>
          </w:tcPr>
          <w:p w14:paraId="5163C411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930" w:type="dxa"/>
            <w:vAlign w:val="center"/>
          </w:tcPr>
          <w:p w14:paraId="113E1275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945" w:type="dxa"/>
            <w:vAlign w:val="center"/>
          </w:tcPr>
          <w:p w14:paraId="15055993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3007" w:type="dxa"/>
            <w:vAlign w:val="center"/>
          </w:tcPr>
          <w:p w14:paraId="460CAF10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 w14:paraId="40C711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77C13532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3405" w:type="dxa"/>
            <w:vAlign w:val="center"/>
          </w:tcPr>
          <w:p w14:paraId="2BAEB1F8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终端型欧式箱变 </w:t>
            </w:r>
          </w:p>
        </w:tc>
        <w:tc>
          <w:tcPr>
            <w:tcW w:w="930" w:type="dxa"/>
            <w:vAlign w:val="center"/>
          </w:tcPr>
          <w:p w14:paraId="41A64FC8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945" w:type="dxa"/>
            <w:vAlign w:val="center"/>
          </w:tcPr>
          <w:p w14:paraId="225BA2B2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台</w:t>
            </w:r>
          </w:p>
        </w:tc>
        <w:tc>
          <w:tcPr>
            <w:tcW w:w="3007" w:type="dxa"/>
            <w:vAlign w:val="center"/>
          </w:tcPr>
          <w:p w14:paraId="31B2AADA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400kVA，节能型，含设备基座、安装、调试等</w:t>
            </w:r>
          </w:p>
        </w:tc>
      </w:tr>
      <w:tr w14:paraId="3EE6F2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1B4DC9FB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3405" w:type="dxa"/>
            <w:vAlign w:val="center"/>
          </w:tcPr>
          <w:p w14:paraId="618F86E5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10kV电缆分接箱</w:t>
            </w:r>
          </w:p>
        </w:tc>
        <w:tc>
          <w:tcPr>
            <w:tcW w:w="930" w:type="dxa"/>
            <w:vAlign w:val="center"/>
          </w:tcPr>
          <w:p w14:paraId="281BC3E1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945" w:type="dxa"/>
            <w:vAlign w:val="center"/>
          </w:tcPr>
          <w:p w14:paraId="2F1FC0FB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台</w:t>
            </w:r>
          </w:p>
        </w:tc>
        <w:tc>
          <w:tcPr>
            <w:tcW w:w="3007" w:type="dxa"/>
            <w:vAlign w:val="center"/>
          </w:tcPr>
          <w:p w14:paraId="0B160940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一进三出</w:t>
            </w:r>
          </w:p>
        </w:tc>
      </w:tr>
      <w:tr w14:paraId="35B7F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  <w:jc w:val="center"/>
        </w:trPr>
        <w:tc>
          <w:tcPr>
            <w:tcW w:w="903" w:type="dxa"/>
            <w:vAlign w:val="center"/>
          </w:tcPr>
          <w:p w14:paraId="672E2AE8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3405" w:type="dxa"/>
            <w:vAlign w:val="center"/>
          </w:tcPr>
          <w:p w14:paraId="1B7BE67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高压电缆1</w:t>
            </w:r>
          </w:p>
        </w:tc>
        <w:tc>
          <w:tcPr>
            <w:tcW w:w="930" w:type="dxa"/>
            <w:vAlign w:val="center"/>
          </w:tcPr>
          <w:p w14:paraId="563DE0A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945" w:type="dxa"/>
            <w:vAlign w:val="center"/>
          </w:tcPr>
          <w:p w14:paraId="07FCE61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75798AD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ZC-YJV22-8.7/15KV-3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</w:tr>
      <w:tr w14:paraId="72190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25C87BA0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3405" w:type="dxa"/>
            <w:vAlign w:val="center"/>
          </w:tcPr>
          <w:p w14:paraId="1450C4F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高压电缆2</w:t>
            </w:r>
          </w:p>
        </w:tc>
        <w:tc>
          <w:tcPr>
            <w:tcW w:w="930" w:type="dxa"/>
            <w:vAlign w:val="center"/>
          </w:tcPr>
          <w:p w14:paraId="317BB0F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410</w:t>
            </w:r>
          </w:p>
        </w:tc>
        <w:tc>
          <w:tcPr>
            <w:tcW w:w="945" w:type="dxa"/>
            <w:vAlign w:val="center"/>
          </w:tcPr>
          <w:p w14:paraId="7D081A4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6FE0036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ZC-YJV22-8.7/15KV-3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</w:tr>
      <w:tr w14:paraId="5B9DA0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26A254B3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3405" w:type="dxa"/>
            <w:vAlign w:val="center"/>
          </w:tcPr>
          <w:p w14:paraId="4F7D928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低压电缆1</w:t>
            </w:r>
          </w:p>
        </w:tc>
        <w:tc>
          <w:tcPr>
            <w:tcW w:w="930" w:type="dxa"/>
            <w:vAlign w:val="center"/>
          </w:tcPr>
          <w:p w14:paraId="1977D7B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945" w:type="dxa"/>
            <w:vAlign w:val="center"/>
          </w:tcPr>
          <w:p w14:paraId="60FBFD1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4E35E11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ZC-YJV22-0.6/1kV-5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240</w:t>
            </w:r>
          </w:p>
        </w:tc>
      </w:tr>
      <w:tr w14:paraId="0B77B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03" w:type="dxa"/>
            <w:vAlign w:val="center"/>
          </w:tcPr>
          <w:p w14:paraId="1600C51E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3405" w:type="dxa"/>
            <w:vAlign w:val="center"/>
          </w:tcPr>
          <w:p w14:paraId="48CF50E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低压电缆2</w:t>
            </w:r>
          </w:p>
        </w:tc>
        <w:tc>
          <w:tcPr>
            <w:tcW w:w="930" w:type="dxa"/>
            <w:vAlign w:val="center"/>
          </w:tcPr>
          <w:p w14:paraId="50BAC74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945" w:type="dxa"/>
            <w:vAlign w:val="center"/>
          </w:tcPr>
          <w:p w14:paraId="3290B5D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33FC400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ZC-YJV22-0.6/1kV-5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</w:tr>
      <w:tr w14:paraId="4E5142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44539B4C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3405" w:type="dxa"/>
            <w:vAlign w:val="center"/>
          </w:tcPr>
          <w:p w14:paraId="568F466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低压电缆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3</w:t>
            </w:r>
          </w:p>
        </w:tc>
        <w:tc>
          <w:tcPr>
            <w:tcW w:w="930" w:type="dxa"/>
            <w:vAlign w:val="center"/>
          </w:tcPr>
          <w:p w14:paraId="5DFB3A3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80</w:t>
            </w:r>
          </w:p>
        </w:tc>
        <w:tc>
          <w:tcPr>
            <w:tcW w:w="945" w:type="dxa"/>
            <w:vAlign w:val="center"/>
          </w:tcPr>
          <w:p w14:paraId="51B4B18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259F9BD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ZC-YJV22-0.6/1kV-5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70</w:t>
            </w:r>
          </w:p>
        </w:tc>
      </w:tr>
      <w:tr w14:paraId="51908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50F2B659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3405" w:type="dxa"/>
            <w:vAlign w:val="center"/>
          </w:tcPr>
          <w:p w14:paraId="3A8E099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冷缩式高压电缆终端头1</w:t>
            </w:r>
          </w:p>
        </w:tc>
        <w:tc>
          <w:tcPr>
            <w:tcW w:w="930" w:type="dxa"/>
            <w:vAlign w:val="center"/>
          </w:tcPr>
          <w:p w14:paraId="5C76332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945" w:type="dxa"/>
            <w:vAlign w:val="center"/>
          </w:tcPr>
          <w:p w14:paraId="43F9D91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套</w:t>
            </w:r>
          </w:p>
        </w:tc>
        <w:tc>
          <w:tcPr>
            <w:tcW w:w="3007" w:type="dxa"/>
            <w:vAlign w:val="center"/>
          </w:tcPr>
          <w:p w14:paraId="5B57FE3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10kV，3×95，户内</w:t>
            </w:r>
          </w:p>
        </w:tc>
      </w:tr>
      <w:tr w14:paraId="7325E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748AE7F8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3405" w:type="dxa"/>
            <w:vAlign w:val="center"/>
          </w:tcPr>
          <w:p w14:paraId="479F2EB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冷缩式高压电缆终端头2</w:t>
            </w:r>
          </w:p>
        </w:tc>
        <w:tc>
          <w:tcPr>
            <w:tcW w:w="930" w:type="dxa"/>
            <w:vAlign w:val="center"/>
          </w:tcPr>
          <w:p w14:paraId="0C4D7D2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945" w:type="dxa"/>
            <w:vAlign w:val="center"/>
          </w:tcPr>
          <w:p w14:paraId="7C3C4E3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套</w:t>
            </w:r>
          </w:p>
        </w:tc>
        <w:tc>
          <w:tcPr>
            <w:tcW w:w="3007" w:type="dxa"/>
            <w:vAlign w:val="center"/>
          </w:tcPr>
          <w:p w14:paraId="36C536F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10kV，3×50，户内</w:t>
            </w:r>
          </w:p>
        </w:tc>
      </w:tr>
      <w:tr w14:paraId="0969E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5171C99F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3405" w:type="dxa"/>
            <w:vAlign w:val="center"/>
          </w:tcPr>
          <w:p w14:paraId="6914C16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基座及配套井盖</w:t>
            </w:r>
          </w:p>
        </w:tc>
        <w:tc>
          <w:tcPr>
            <w:tcW w:w="930" w:type="dxa"/>
            <w:vAlign w:val="center"/>
          </w:tcPr>
          <w:p w14:paraId="024EBE1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945" w:type="dxa"/>
            <w:vAlign w:val="center"/>
          </w:tcPr>
          <w:p w14:paraId="5AB3F0B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座</w:t>
            </w:r>
          </w:p>
        </w:tc>
        <w:tc>
          <w:tcPr>
            <w:tcW w:w="3007" w:type="dxa"/>
            <w:vAlign w:val="center"/>
          </w:tcPr>
          <w:p w14:paraId="0F058C9C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配套</w:t>
            </w:r>
          </w:p>
        </w:tc>
      </w:tr>
      <w:tr w14:paraId="51A8C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1E4DD48B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3405" w:type="dxa"/>
            <w:vAlign w:val="center"/>
          </w:tcPr>
          <w:p w14:paraId="39E5AD9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电缆保护管</w:t>
            </w:r>
          </w:p>
        </w:tc>
        <w:tc>
          <w:tcPr>
            <w:tcW w:w="930" w:type="dxa"/>
            <w:vAlign w:val="center"/>
          </w:tcPr>
          <w:p w14:paraId="5F503C7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712</w:t>
            </w:r>
          </w:p>
        </w:tc>
        <w:tc>
          <w:tcPr>
            <w:tcW w:w="945" w:type="dxa"/>
            <w:vAlign w:val="center"/>
          </w:tcPr>
          <w:p w14:paraId="6443E7D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5A8BEA19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MPP管，φ160</w:t>
            </w:r>
          </w:p>
        </w:tc>
      </w:tr>
      <w:tr w14:paraId="28889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003D6514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3405" w:type="dxa"/>
            <w:vAlign w:val="center"/>
          </w:tcPr>
          <w:p w14:paraId="7AD6F54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电缆标识带</w:t>
            </w:r>
          </w:p>
        </w:tc>
        <w:tc>
          <w:tcPr>
            <w:tcW w:w="930" w:type="dxa"/>
            <w:vAlign w:val="center"/>
          </w:tcPr>
          <w:p w14:paraId="1CC1575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180</w:t>
            </w:r>
          </w:p>
        </w:tc>
        <w:tc>
          <w:tcPr>
            <w:tcW w:w="945" w:type="dxa"/>
            <w:vAlign w:val="center"/>
          </w:tcPr>
          <w:p w14:paraId="5977201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0E3FD8F1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配套</w:t>
            </w:r>
          </w:p>
        </w:tc>
      </w:tr>
      <w:tr w14:paraId="3DE23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21F97109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3405" w:type="dxa"/>
            <w:vAlign w:val="center"/>
          </w:tcPr>
          <w:p w14:paraId="28C646B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电缆标识桩</w:t>
            </w:r>
          </w:p>
        </w:tc>
        <w:tc>
          <w:tcPr>
            <w:tcW w:w="930" w:type="dxa"/>
            <w:vAlign w:val="center"/>
          </w:tcPr>
          <w:p w14:paraId="59D9162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945" w:type="dxa"/>
            <w:vAlign w:val="center"/>
          </w:tcPr>
          <w:p w14:paraId="75DDFB3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个</w:t>
            </w:r>
          </w:p>
        </w:tc>
        <w:tc>
          <w:tcPr>
            <w:tcW w:w="3007" w:type="dxa"/>
            <w:vAlign w:val="center"/>
          </w:tcPr>
          <w:p w14:paraId="334A086A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配套</w:t>
            </w:r>
          </w:p>
        </w:tc>
      </w:tr>
      <w:tr w14:paraId="36AAD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657AD010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3405" w:type="dxa"/>
            <w:vAlign w:val="center"/>
          </w:tcPr>
          <w:p w14:paraId="78DEC0A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电缆标识牌</w:t>
            </w:r>
          </w:p>
        </w:tc>
        <w:tc>
          <w:tcPr>
            <w:tcW w:w="930" w:type="dxa"/>
            <w:vAlign w:val="center"/>
          </w:tcPr>
          <w:p w14:paraId="51764A4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945" w:type="dxa"/>
            <w:vAlign w:val="center"/>
          </w:tcPr>
          <w:p w14:paraId="4F1E957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块</w:t>
            </w:r>
          </w:p>
        </w:tc>
        <w:tc>
          <w:tcPr>
            <w:tcW w:w="3007" w:type="dxa"/>
            <w:vAlign w:val="center"/>
          </w:tcPr>
          <w:p w14:paraId="6495316E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配套</w:t>
            </w:r>
          </w:p>
        </w:tc>
      </w:tr>
      <w:tr w14:paraId="7D6B7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2ACCED68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3405" w:type="dxa"/>
            <w:vAlign w:val="center"/>
          </w:tcPr>
          <w:p w14:paraId="6CCF0BC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铁篦子</w:t>
            </w:r>
          </w:p>
        </w:tc>
        <w:tc>
          <w:tcPr>
            <w:tcW w:w="930" w:type="dxa"/>
            <w:vAlign w:val="center"/>
          </w:tcPr>
          <w:p w14:paraId="02EA4BE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945" w:type="dxa"/>
            <w:vAlign w:val="center"/>
          </w:tcPr>
          <w:p w14:paraId="74C3A1D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套</w:t>
            </w:r>
          </w:p>
        </w:tc>
        <w:tc>
          <w:tcPr>
            <w:tcW w:w="3007" w:type="dxa"/>
            <w:vAlign w:val="center"/>
          </w:tcPr>
          <w:p w14:paraId="3443CB57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配套</w:t>
            </w:r>
          </w:p>
        </w:tc>
      </w:tr>
      <w:tr w14:paraId="0FBF1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5FCE8F94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3405" w:type="dxa"/>
            <w:vAlign w:val="center"/>
          </w:tcPr>
          <w:p w14:paraId="077E4B2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电力电缆敷设 截面300mm²以内</w:t>
            </w:r>
          </w:p>
        </w:tc>
        <w:tc>
          <w:tcPr>
            <w:tcW w:w="930" w:type="dxa"/>
            <w:vAlign w:val="center"/>
          </w:tcPr>
          <w:p w14:paraId="43D22C3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280</w:t>
            </w:r>
          </w:p>
        </w:tc>
        <w:tc>
          <w:tcPr>
            <w:tcW w:w="945" w:type="dxa"/>
            <w:vAlign w:val="center"/>
          </w:tcPr>
          <w:p w14:paraId="320BF6E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3653935B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三相</w:t>
            </w:r>
          </w:p>
        </w:tc>
      </w:tr>
      <w:tr w14:paraId="002D0C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0515BA29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3405" w:type="dxa"/>
            <w:vAlign w:val="center"/>
          </w:tcPr>
          <w:p w14:paraId="44872E0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电力电缆敷设 截面50mm²以内</w:t>
            </w:r>
          </w:p>
        </w:tc>
        <w:tc>
          <w:tcPr>
            <w:tcW w:w="930" w:type="dxa"/>
            <w:vAlign w:val="center"/>
          </w:tcPr>
          <w:p w14:paraId="05C70DF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410</w:t>
            </w:r>
          </w:p>
        </w:tc>
        <w:tc>
          <w:tcPr>
            <w:tcW w:w="945" w:type="dxa"/>
            <w:vAlign w:val="center"/>
          </w:tcPr>
          <w:p w14:paraId="525ABC7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m</w:t>
            </w:r>
          </w:p>
        </w:tc>
        <w:tc>
          <w:tcPr>
            <w:tcW w:w="3007" w:type="dxa"/>
            <w:vAlign w:val="center"/>
          </w:tcPr>
          <w:p w14:paraId="28336AC4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三相</w:t>
            </w:r>
          </w:p>
        </w:tc>
      </w:tr>
      <w:tr w14:paraId="14CD3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509FD276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3405" w:type="dxa"/>
            <w:vAlign w:val="center"/>
          </w:tcPr>
          <w:p w14:paraId="35660554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箱变护栏</w:t>
            </w:r>
          </w:p>
        </w:tc>
        <w:tc>
          <w:tcPr>
            <w:tcW w:w="930" w:type="dxa"/>
            <w:vAlign w:val="center"/>
          </w:tcPr>
          <w:p w14:paraId="1B641EA6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52</w:t>
            </w:r>
          </w:p>
        </w:tc>
        <w:tc>
          <w:tcPr>
            <w:tcW w:w="945" w:type="dxa"/>
            <w:vAlign w:val="center"/>
          </w:tcPr>
          <w:p w14:paraId="00C53947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m</w:t>
            </w:r>
          </w:p>
        </w:tc>
        <w:tc>
          <w:tcPr>
            <w:tcW w:w="3007" w:type="dxa"/>
            <w:vAlign w:val="center"/>
          </w:tcPr>
          <w:p w14:paraId="6783A248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PVC塑钢，1.8米高，每套护栏带2个检修门</w:t>
            </w:r>
          </w:p>
        </w:tc>
      </w:tr>
      <w:tr w14:paraId="6E50A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03" w:type="dxa"/>
            <w:vAlign w:val="center"/>
          </w:tcPr>
          <w:p w14:paraId="0EF79D14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3405" w:type="dxa"/>
            <w:vAlign w:val="center"/>
          </w:tcPr>
          <w:p w14:paraId="6CA95F1F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非开挖水平导向钻进 </w:t>
            </w:r>
          </w:p>
        </w:tc>
        <w:tc>
          <w:tcPr>
            <w:tcW w:w="930" w:type="dxa"/>
            <w:vAlign w:val="center"/>
          </w:tcPr>
          <w:p w14:paraId="5A688B3E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440</w:t>
            </w:r>
          </w:p>
        </w:tc>
        <w:tc>
          <w:tcPr>
            <w:tcW w:w="945" w:type="dxa"/>
            <w:vAlign w:val="center"/>
          </w:tcPr>
          <w:p w14:paraId="55550D92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m </w:t>
            </w:r>
          </w:p>
        </w:tc>
        <w:tc>
          <w:tcPr>
            <w:tcW w:w="3007" w:type="dxa"/>
            <w:vAlign w:val="center"/>
          </w:tcPr>
          <w:p w14:paraId="1DA831FB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单管φ200以内</w:t>
            </w:r>
          </w:p>
        </w:tc>
      </w:tr>
    </w:tbl>
    <w:p w14:paraId="753AA0A3">
      <w:pPr>
        <w:rPr>
          <w:color w:val="auto"/>
          <w:highlight w:val="none"/>
        </w:rPr>
        <w:sectPr>
          <w:footerReference r:id="rId4" w:type="default"/>
          <w:pgSz w:w="11906" w:h="16839"/>
          <w:pgMar w:top="1429" w:right="1786" w:bottom="1429" w:left="1786" w:header="0" w:footer="994" w:gutter="0"/>
          <w:cols w:space="720" w:num="1"/>
        </w:sectPr>
      </w:pPr>
      <w:r>
        <w:rPr>
          <w:color w:val="auto"/>
          <w:highlight w:val="none"/>
        </w:rPr>
        <w:br w:type="page"/>
      </w:r>
    </w:p>
    <w:p w14:paraId="70CAA0A2">
      <w:pPr>
        <w:pageBreakBefore w:val="0"/>
        <w:widowControl w:val="0"/>
        <w:kinsoku/>
        <w:wordWrap/>
        <w:overflowPunct/>
        <w:topLinePunct w:val="0"/>
        <w:bidi w:val="0"/>
        <w:spacing w:line="245" w:lineRule="auto"/>
        <w:rPr>
          <w:rFonts w:hint="default"/>
          <w:color w:val="auto"/>
          <w:sz w:val="22"/>
          <w:szCs w:val="22"/>
          <w:highlight w:val="none"/>
          <w:lang w:val="en-US" w:eastAsia="zh-CN"/>
        </w:rPr>
      </w:pPr>
      <w:r>
        <w:rPr>
          <w:rFonts w:hint="eastAsia"/>
          <w:color w:val="auto"/>
          <w:highlight w:val="none"/>
          <w:lang w:val="en-US" w:eastAsia="zh-CN"/>
        </w:rPr>
        <w:t>3、</w:t>
      </w:r>
      <w:r>
        <w:rPr>
          <w:rFonts w:hint="eastAsia" w:ascii="宋体" w:hAnsi="宋体" w:eastAsia="宋体" w:cs="宋体"/>
          <w:color w:val="auto"/>
          <w:sz w:val="22"/>
          <w:szCs w:val="22"/>
          <w:highlight w:val="none"/>
          <w:lang w:val="en-US" w:eastAsia="zh-CN"/>
        </w:rPr>
        <w:t>主要设备、材料参数</w:t>
      </w:r>
    </w:p>
    <w:tbl>
      <w:tblPr>
        <w:tblStyle w:val="7"/>
        <w:tblW w:w="10013" w:type="dxa"/>
        <w:tblInd w:w="-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8"/>
        <w:gridCol w:w="1523"/>
        <w:gridCol w:w="7852"/>
      </w:tblGrid>
      <w:tr w14:paraId="163DBA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vAlign w:val="center"/>
          </w:tcPr>
          <w:p w14:paraId="5CB5AF25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523" w:type="dxa"/>
            <w:vAlign w:val="center"/>
          </w:tcPr>
          <w:p w14:paraId="7436CA45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7852" w:type="dxa"/>
            <w:vAlign w:val="center"/>
          </w:tcPr>
          <w:p w14:paraId="02C1E92E">
            <w:pPr>
              <w:widowControl w:val="0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                                        技术参数</w:t>
            </w:r>
          </w:p>
        </w:tc>
      </w:tr>
      <w:tr w14:paraId="36EA5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vAlign w:val="center"/>
          </w:tcPr>
          <w:p w14:paraId="0AAA12BB">
            <w:pPr>
              <w:widowControl w:val="0"/>
              <w:jc w:val="center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523" w:type="dxa"/>
            <w:vAlign w:val="center"/>
          </w:tcPr>
          <w:p w14:paraId="7D92FA41">
            <w:pPr>
              <w:widowControl w:val="0"/>
              <w:jc w:val="center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终端型欧式箱变 </w:t>
            </w:r>
          </w:p>
        </w:tc>
        <w:tc>
          <w:tcPr>
            <w:tcW w:w="7852" w:type="dxa"/>
            <w:vAlign w:val="center"/>
          </w:tcPr>
          <w:p w14:paraId="6D308A1B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一、主要技术参数</w:t>
            </w:r>
          </w:p>
          <w:p w14:paraId="7FA6D530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额定容量：400kVA、额定电压：高压10±2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2.5%kV、低压0.4kV、额定频率：50Hz；</w:t>
            </w:r>
          </w:p>
          <w:p w14:paraId="26EB4C1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联结组别：Dyn11、阻抗电压：4%（标准高配）、防护等级：整机IP54（户外防尘防水、防凝露高配）；</w:t>
            </w:r>
          </w:p>
          <w:p w14:paraId="7BC1C00A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绝缘水平：高压雷电冲击耐压75kV，1min工频耐压42kV、噪音指标：整机运行噪声≤45dB（低噪高配）；</w:t>
            </w:r>
          </w:p>
          <w:p w14:paraId="25E59467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短时耐受电流：高压20kA/2s，低压30kA/1s、动稳定电流：高压50kA，满足短路冲击高配要求；</w:t>
            </w:r>
          </w:p>
          <w:p w14:paraId="7FA6196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箱体材质：304不锈钢，耐腐防锈、抗紫外线、终身免涂装，结构强度高、不变形；</w:t>
            </w:r>
          </w:p>
          <w:p w14:paraId="13F7B449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运行方式：户外连续24h不间断运行，适应-35℃～+45℃高低温恶劣环境；</w:t>
            </w:r>
          </w:p>
          <w:p w14:paraId="3D89912D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二、高压室配置</w:t>
            </w:r>
          </w:p>
          <w:p w14:paraId="1E43C76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接线形式：环网供电（全绝缘SF6环网柜）；主开关：10kV高压断路器</w:t>
            </w:r>
          </w:p>
          <w:p w14:paraId="289D0FCF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保护配置：变压器微机保护装置，与后台监控配套；</w:t>
            </w:r>
          </w:p>
          <w:p w14:paraId="0E4EA2C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配套功能：带电显示装置、高压接地开关、防误五防联锁、压力释放、观察窗、应急解锁装置、电缆头测温功能，局放功能；操作方式：电动操作，预留远方操作接口；</w:t>
            </w:r>
          </w:p>
          <w:p w14:paraId="252288DB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三、主变压器配置</w:t>
            </w:r>
          </w:p>
          <w:p w14:paraId="20AE1BCB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采用S20-M-400/10 全密封一级能效节能油浸式变压器；</w:t>
            </w:r>
          </w:p>
          <w:p w14:paraId="18BFE6E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全密封波纹油箱、无渗漏、免维护、低损耗、低温升、低温升过载特性优异；</w:t>
            </w:r>
          </w:p>
          <w:p w14:paraId="42DBACE4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 xml:space="preserve">符合国家最新能效一级标准，节能降耗、自带温度监测、油位指示、泄压保护装置； </w:t>
            </w:r>
          </w:p>
          <w:p w14:paraId="3CDF909E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四、低压室高配配置</w:t>
            </w:r>
          </w:p>
          <w:p w14:paraId="69D1C51A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低压总进线开关：框架断路器，分段能力大于100KA（四段保护功能、带通讯）；</w:t>
            </w:r>
          </w:p>
          <w:p w14:paraId="29434FB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出线断路器回路：采用电子式塑壳断路器，分段能力大于65KA，配置6路及以上独立出线，预留扩容余量；</w:t>
            </w:r>
          </w:p>
          <w:p w14:paraId="1DD24E2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测量功能：进出线配置智能三相四线计量装置，精度高、适配远程抄表；</w:t>
            </w:r>
          </w:p>
          <w:p w14:paraId="2894D27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无功补偿：采用SVG补偿方式，补偿容量不小于60%，功率因数稳定≥0.95；</w:t>
            </w:r>
          </w:p>
          <w:p w14:paraId="50E07F93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配置I级防雷浪涌保护装置，提升设备耐雷击性能；</w:t>
            </w:r>
          </w:p>
          <w:p w14:paraId="6EC38E72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五、结构与安全高配优势</w:t>
            </w:r>
          </w:p>
          <w:p w14:paraId="3DDA7D26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三室独立密闭结构，高低压、变压器完全隔离，杜绝相互干扰；</w:t>
            </w:r>
          </w:p>
          <w:p w14:paraId="6BAD649E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双层隔热、通风散热自循环系统，防暴晒高温停机、箱体底部防水围堰、防鼠防蚁封堵全套配置；</w:t>
            </w:r>
          </w:p>
          <w:p w14:paraId="77F70D55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全套机械五防联锁，满足安规强制要求、所有柜体接地可靠，接地电阻≤4Ω；</w:t>
            </w:r>
          </w:p>
          <w:p w14:paraId="1BBCABA7">
            <w:pPr>
              <w:widowControl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工厂整体预制、接线调试完毕，现场仅需对接电缆即可投运；</w:t>
            </w:r>
          </w:p>
        </w:tc>
      </w:tr>
      <w:tr w14:paraId="0FAE3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vAlign w:val="center"/>
          </w:tcPr>
          <w:p w14:paraId="672AFE3D">
            <w:pPr>
              <w:widowControl w:val="0"/>
              <w:jc w:val="center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523" w:type="dxa"/>
            <w:vAlign w:val="center"/>
          </w:tcPr>
          <w:p w14:paraId="7D4F6704">
            <w:pPr>
              <w:widowControl w:val="0"/>
              <w:jc w:val="center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10kV电缆分接箱</w:t>
            </w:r>
          </w:p>
        </w:tc>
        <w:tc>
          <w:tcPr>
            <w:tcW w:w="7852" w:type="dxa"/>
            <w:vAlign w:val="center"/>
          </w:tcPr>
          <w:p w14:paraId="23FA9A47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1、总体要求</w:t>
            </w:r>
          </w:p>
          <w:p w14:paraId="7E336249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执行标准：DL/T396-2010《10kV～35kV 电缆分支箱》、GB/T11022、GB3906、GB/T12706.4、DL/T593；</w:t>
            </w:r>
          </w:p>
          <w:p w14:paraId="4A86CDAD"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污秽等级：≥Ⅲ 级；抗震：≥7 度；防护等级：箱体≥IP33，绝缘件≥IP67（全绝缘型）；</w:t>
            </w:r>
          </w:p>
          <w:p w14:paraId="78A487F1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2、额定电气参数</w:t>
            </w:r>
          </w:p>
          <w:p w14:paraId="13118807">
            <w:pPr>
              <w:widowControl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2"/>
                <w:szCs w:val="22"/>
                <w:lang w:bidi="ar"/>
              </w:rPr>
              <w:t>额定电压：≥12kV（系统 10kV）；额定电流：≥630A（进出线）；额定短时耐受电流：≥20kA/3s ；</w:t>
            </w:r>
          </w:p>
          <w:p w14:paraId="0CFFF1C2">
            <w:pPr>
              <w:widowControl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2"/>
                <w:szCs w:val="22"/>
                <w:lang w:bidi="ar"/>
              </w:rPr>
              <w:t>工频耐压时间：42kV/1min；雷电冲击：75kV（峰值）；局部放电：15kV 下≤10pC；</w:t>
            </w:r>
          </w:p>
          <w:p w14:paraId="785FDC30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3、结构与型式</w:t>
            </w:r>
          </w:p>
          <w:p w14:paraId="446E9CB2">
            <w:pPr>
              <w:pStyle w:val="2"/>
              <w:widowControl/>
              <w:spacing w:beforeAutospacing="0" w:afterAutospacing="0" w:line="240" w:lineRule="auto"/>
              <w:outlineLvl w:val="2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  <w:bookmarkStart w:id="5" w:name="_Toc4446"/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全绝缘全密封型</w:t>
            </w:r>
            <w:bookmarkEnd w:id="5"/>
          </w:p>
          <w:p w14:paraId="15AA2574">
            <w:pPr>
              <w:widowControl/>
              <w:spacing w:line="240" w:lineRule="auto"/>
              <w:jc w:val="left"/>
              <w:rPr>
                <w:rFonts w:hint="eastAsia"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绝缘：</w:t>
            </w:r>
            <w:r>
              <w:rPr>
                <w:rStyle w:val="9"/>
                <w:rFonts w:hint="eastAsia" w:ascii="宋体" w:hAnsi="宋体" w:eastAsia="宋体" w:cs="宋体"/>
                <w:b w:val="0"/>
                <w:color w:val="000000"/>
                <w:sz w:val="22"/>
                <w:szCs w:val="22"/>
              </w:rPr>
              <w:t>硅橡胶/环氧树脂全绝缘，带电部分不可触摸</w:t>
            </w:r>
            <w:r>
              <w:rPr>
                <w:rFonts w:hint="eastAsia" w:ascii="宋体" w:hAnsi="宋体" w:eastAsia="宋体" w:cs="宋体"/>
                <w:b/>
                <w:color w:val="000000"/>
                <w:sz w:val="22"/>
                <w:szCs w:val="22"/>
              </w:rPr>
              <w:t>。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箱体：</w:t>
            </w:r>
            <w:r>
              <w:rPr>
                <w:rStyle w:val="9"/>
                <w:rFonts w:hint="eastAsia" w:ascii="宋体" w:hAnsi="宋体" w:eastAsia="宋体" w:cs="宋体"/>
                <w:b w:val="0"/>
                <w:color w:val="000000"/>
                <w:sz w:val="22"/>
                <w:szCs w:val="22"/>
              </w:rPr>
              <w:t>不锈钢/镀锌钢板≥2mm，双层防腐，盐雾≥500h</w:t>
            </w:r>
            <w:r>
              <w:rPr>
                <w:rFonts w:hint="eastAsia" w:ascii="宋体" w:hAnsi="宋体" w:eastAsia="宋体" w:cs="宋体"/>
                <w:b/>
                <w:color w:val="000000"/>
                <w:sz w:val="22"/>
                <w:szCs w:val="22"/>
              </w:rPr>
              <w:t>；</w:t>
            </w:r>
          </w:p>
          <w:p w14:paraId="03C79EF4">
            <w:pPr>
              <w:widowControl/>
              <w:spacing w:line="240" w:lineRule="auto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进出线：电缆</w:t>
            </w:r>
            <w:r>
              <w:rPr>
                <w:rStyle w:val="9"/>
                <w:rFonts w:hint="eastAsia" w:ascii="宋体" w:hAnsi="宋体" w:eastAsia="宋体" w:cs="宋体"/>
                <w:b w:val="0"/>
                <w:color w:val="000000"/>
                <w:sz w:val="22"/>
                <w:szCs w:val="22"/>
              </w:rPr>
              <w:t>下进下出</w:t>
            </w:r>
            <w:r>
              <w:rPr>
                <w:rFonts w:hint="eastAsia" w:ascii="宋体" w:hAnsi="宋体" w:eastAsia="宋体" w:cs="宋体"/>
                <w:b/>
                <w:color w:val="000000"/>
                <w:sz w:val="22"/>
                <w:szCs w:val="22"/>
              </w:rPr>
              <w:t>，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底部预留通道；接地：专用接地铜排≥50mm²，接地端子≥2个，接地电阻≤4Ω。</w:t>
            </w:r>
          </w:p>
        </w:tc>
      </w:tr>
      <w:tr w14:paraId="22C90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vAlign w:val="center"/>
          </w:tcPr>
          <w:p w14:paraId="49F4EF56">
            <w:pPr>
              <w:widowControl w:val="0"/>
              <w:jc w:val="center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1B01E18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高压电缆1</w:t>
            </w:r>
          </w:p>
        </w:tc>
        <w:tc>
          <w:tcPr>
            <w:tcW w:w="7852" w:type="dxa"/>
            <w:vAlign w:val="center"/>
          </w:tcPr>
          <w:p w14:paraId="0D01D720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  <w:t>1、总体要求</w:t>
            </w:r>
          </w:p>
          <w:p w14:paraId="7DD51AAA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规格型号：ZC-YJV22-8.7/15KV-3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95；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相数芯数：3芯，标称导体截面：95mm²；</w:t>
            </w:r>
          </w:p>
          <w:p w14:paraId="6EBBC2DB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工频耐压试验：30kV/5min 不击穿，局部放电试验：15kV 下放电量≤10pC；</w:t>
            </w:r>
          </w:p>
          <w:p w14:paraId="4D2D2625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2、导体技术要求</w:t>
            </w:r>
          </w:p>
          <w:p w14:paraId="1B68D6F1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材质：高纯无氧铜导体，铜纯度≥99.95%；</w:t>
            </w:r>
          </w:p>
          <w:p w14:paraId="0FBE9CF7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结构：交联聚乙烯绝缘钢带铠装聚氯乙烯护套阻燃C类电力电缆；</w:t>
            </w:r>
          </w:p>
          <w:p w14:paraId="4245694A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20℃直流电阻：≤0.193Ω/km；导体无断丝、无毛刺、无氧化发黑；</w:t>
            </w:r>
          </w:p>
          <w:p w14:paraId="6F457E15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3、绝缘层</w:t>
            </w:r>
          </w:p>
          <w:p w14:paraId="74731085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绝缘材料：交联聚乙烯绝缘钢带铠装；长期允许工作温度：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≥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90℃；</w:t>
            </w:r>
          </w:p>
          <w:p w14:paraId="7D2B3A00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短路最高温度（5s 内）：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≥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250℃；绝缘标称厚度：2.0mm，最薄处不小于标称值 90%；</w:t>
            </w:r>
          </w:p>
          <w:p w14:paraId="153D5326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绝缘偏心度：≤10%；绝缘料全新料，禁止回收料；</w:t>
            </w:r>
          </w:p>
          <w:p w14:paraId="174A4789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4、内外屏蔽层</w:t>
            </w:r>
          </w:p>
          <w:p w14:paraId="605E2A7B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导体屏蔽：挤包可剥离半导电屏蔽层，均匀光滑；绝缘屏蔽：挤包可剥离半导电屏蔽层；</w:t>
            </w:r>
          </w:p>
          <w:p w14:paraId="603ECFC8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金属屏蔽：软铜带绕包，搭盖率≥15%，满足短路接地要求</w:t>
            </w:r>
          </w:p>
          <w:p w14:paraId="5C421590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5、铠装与护套</w:t>
            </w:r>
          </w:p>
          <w:p w14:paraId="385E1986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内衬层：挤包隔离内衬；铠装层：双层镀锌钢带铠装，抗压、防机械损伤，适合直埋敷设；</w:t>
            </w:r>
          </w:p>
          <w:p w14:paraId="26BD89A8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外护套：黑色 PVC 阻燃外护套；护套耐老化、耐酸碱、耐地下潮气；</w:t>
            </w:r>
          </w:p>
          <w:p w14:paraId="5AAB1AEF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6、阻燃等级</w:t>
            </w:r>
          </w:p>
          <w:p w14:paraId="0C1416A2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阻燃级别：ZC级阻燃（成束 C 级阻燃）；燃烧无烟毒低烟，符合消防敷设要求；</w:t>
            </w:r>
          </w:p>
          <w:p w14:paraId="0BD868C1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7、物理敷设参数</w:t>
            </w:r>
          </w:p>
          <w:p w14:paraId="3BF5840C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最小弯曲半径：≥10 倍电缆外径；敷设环境：直埋、电缆沟、桥架均可；</w:t>
            </w:r>
          </w:p>
          <w:p w14:paraId="76120852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8、质保期≥ 2 年。</w:t>
            </w:r>
          </w:p>
        </w:tc>
      </w:tr>
      <w:tr w14:paraId="53114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vAlign w:val="center"/>
          </w:tcPr>
          <w:p w14:paraId="4F309542">
            <w:pPr>
              <w:widowControl w:val="0"/>
              <w:jc w:val="center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1315F80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高压电缆2</w:t>
            </w:r>
          </w:p>
        </w:tc>
        <w:tc>
          <w:tcPr>
            <w:tcW w:w="7852" w:type="dxa"/>
            <w:vAlign w:val="center"/>
          </w:tcPr>
          <w:p w14:paraId="0F0DA163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  <w:t>1、总体要求</w:t>
            </w:r>
          </w:p>
          <w:p w14:paraId="5A48C20A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规格型号：ZC-YJV22-8.7/15KV-3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50；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相数芯数：3芯，标称导体截面：50mm²；</w:t>
            </w:r>
          </w:p>
          <w:p w14:paraId="34DB7F2A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工频耐压试验：30kV/5min 不击穿，局部放电试验：15kV 下放电量≤10pC；</w:t>
            </w:r>
          </w:p>
          <w:p w14:paraId="58A9E5CC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2、导体技术要求</w:t>
            </w:r>
          </w:p>
          <w:p w14:paraId="566EE0D2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材质：高纯无氧铜导体，铜纯度≥99.95%；</w:t>
            </w:r>
          </w:p>
          <w:p w14:paraId="1FBDEFBB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结构：交联聚乙烯绝缘钢带铠装聚氯乙烯护套阻燃C类电力电缆；</w:t>
            </w:r>
          </w:p>
          <w:p w14:paraId="778D6157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20℃直流电阻：≤0.387Ω/km；导体无断丝、无毛刺、无氧化发黑；</w:t>
            </w:r>
          </w:p>
          <w:p w14:paraId="7345F7F9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3、绝缘层</w:t>
            </w:r>
          </w:p>
          <w:p w14:paraId="3B772091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绝缘材料：交联聚乙烯绝缘钢带铠装；长期允许工作温度：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≥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90℃；</w:t>
            </w:r>
          </w:p>
          <w:p w14:paraId="5C5570BC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短路最高温度（5s 内）：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≥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250℃；绝缘标称厚度：2.0mm，最薄处不小于标称值 90%；</w:t>
            </w:r>
          </w:p>
          <w:p w14:paraId="33300CFD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绝缘偏心度：≤10%；绝缘料全新料，禁止回收料；</w:t>
            </w:r>
          </w:p>
          <w:p w14:paraId="6299CF62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4、内外屏蔽层</w:t>
            </w:r>
          </w:p>
          <w:p w14:paraId="66EC74A5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导体屏蔽：挤包可剥离半导电屏蔽层，均匀光滑；绝缘屏蔽：挤包可剥离半导电屏蔽层；</w:t>
            </w:r>
          </w:p>
          <w:p w14:paraId="6741E23F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金属屏蔽：软铜带绕包，搭盖率≥15%，满足短路接地要求</w:t>
            </w:r>
          </w:p>
          <w:p w14:paraId="6B07CE6A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5、铠装与护套</w:t>
            </w:r>
          </w:p>
          <w:p w14:paraId="055D7822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内衬层：挤包隔离内衬；铠装层：双层镀锌钢带铠装，抗压、防机械损伤，适合直埋敷设；</w:t>
            </w:r>
          </w:p>
          <w:p w14:paraId="0FB30472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外护套：黑色 PVC 阻燃外护套；护套耐老化、耐酸碱、耐地下潮气；</w:t>
            </w:r>
          </w:p>
          <w:p w14:paraId="6F10A460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6、阻燃等级</w:t>
            </w:r>
          </w:p>
          <w:p w14:paraId="4278990E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阻燃级别：ZC级阻燃（成束 C 级阻燃）；燃烧无烟毒低烟，符合消防敷设要求；</w:t>
            </w:r>
          </w:p>
          <w:p w14:paraId="3A4B9605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7、物理敷设参数</w:t>
            </w:r>
          </w:p>
          <w:p w14:paraId="39E29DC5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最小弯曲半径：≥10 倍电缆外径；敷设环境：直埋、电缆沟、桥架均可；</w:t>
            </w:r>
          </w:p>
          <w:p w14:paraId="4B882922">
            <w:pPr>
              <w:widowControl w:val="0"/>
              <w:jc w:val="left"/>
              <w:rPr>
                <w:rFonts w:hint="eastAsia" w:ascii="宋体" w:hAnsi="宋体" w:eastAsia="宋体" w:cs="宋体"/>
                <w:b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8、质保期≥  2 年。</w:t>
            </w:r>
          </w:p>
        </w:tc>
      </w:tr>
      <w:tr w14:paraId="6C194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vAlign w:val="center"/>
          </w:tcPr>
          <w:p w14:paraId="7CEB5719">
            <w:pPr>
              <w:widowControl w:val="0"/>
              <w:jc w:val="center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46E17A4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低压电缆1</w:t>
            </w:r>
          </w:p>
        </w:tc>
        <w:tc>
          <w:tcPr>
            <w:tcW w:w="7852" w:type="dxa"/>
            <w:vAlign w:val="center"/>
          </w:tcPr>
          <w:p w14:paraId="6274DC3F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  <w:t>1、总体要求</w:t>
            </w:r>
          </w:p>
          <w:p w14:paraId="01584113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规格型号：ZC-YJV22-0.6/1kV-5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240；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相数芯数：5芯，标称导体截面：300mm²；</w:t>
            </w:r>
          </w:p>
          <w:p w14:paraId="1F85EAFB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工频耐压试验：3.5kV/5min 不击穿，荷载下延伸率：≤135%；</w:t>
            </w:r>
          </w:p>
          <w:p w14:paraId="328143F6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2、导体技术要求</w:t>
            </w:r>
          </w:p>
          <w:p w14:paraId="15257F2E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材质：高纯无氧铜导体，铜纯度≥99.95%；</w:t>
            </w:r>
          </w:p>
          <w:p w14:paraId="6649C127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结构：交联聚乙烯绝缘钢带铠装聚氯乙烯护套阻燃C类电力电缆；</w:t>
            </w:r>
          </w:p>
          <w:p w14:paraId="6C994ECC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20℃直流电阻：≤0.0597Ω/km；导体无断丝、无毛刺、无氧化发黑；</w:t>
            </w:r>
          </w:p>
          <w:p w14:paraId="67470F6E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3、绝缘层</w:t>
            </w:r>
          </w:p>
          <w:p w14:paraId="25698C77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绝缘材料：交联聚乙烯绝缘钢带铠装；长期允许工作温度：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≥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90℃；</w:t>
            </w:r>
          </w:p>
          <w:p w14:paraId="1CB1D5C6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短路最高温度（5s 内）：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≥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250℃；绝缘标称厚度：2.0mm，最薄处不小于标称值 90%；</w:t>
            </w:r>
          </w:p>
          <w:p w14:paraId="45596D14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绝缘偏心度：≤10%；绝缘料全新料，禁止回收料；</w:t>
            </w:r>
          </w:p>
          <w:p w14:paraId="2CDB2E6B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4、内外屏蔽层</w:t>
            </w:r>
          </w:p>
          <w:p w14:paraId="2D8A97C2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导体屏蔽：挤包可剥离半导电屏蔽层，均匀光滑；绝缘屏蔽：挤包可剥离半导电屏蔽层；</w:t>
            </w:r>
          </w:p>
          <w:p w14:paraId="05CD8593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金属屏蔽：软铜带绕包，搭盖率≥15%，满足短路接地要求</w:t>
            </w:r>
          </w:p>
          <w:p w14:paraId="1809EC54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5、铠装与护套</w:t>
            </w:r>
          </w:p>
          <w:p w14:paraId="19971FE9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内衬层：挤包隔离内衬；铠装层：双层镀锌钢带铠装，抗压、防机械损伤，适合直埋敷设；</w:t>
            </w:r>
          </w:p>
          <w:p w14:paraId="0CE9F324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外护套：黑色 PVC 阻燃外护套；护套耐老化、耐酸碱、耐地下潮气；</w:t>
            </w:r>
          </w:p>
          <w:p w14:paraId="2B49FBFF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6、阻燃等级</w:t>
            </w:r>
          </w:p>
          <w:p w14:paraId="7074C8A2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阻燃级别：ZC级阻燃（成束 C 级阻燃）；燃烧无烟毒低烟，符合消防敷设要求；</w:t>
            </w:r>
          </w:p>
          <w:p w14:paraId="64EA05EE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7、物理敷设参数</w:t>
            </w:r>
          </w:p>
          <w:p w14:paraId="1A26DED5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最小弯曲半径：≥10倍电缆外径；敷设环境：直埋、电缆沟、桥架均可；</w:t>
            </w:r>
          </w:p>
          <w:p w14:paraId="5F8AE3AA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8、质保期≥  2 年。</w:t>
            </w:r>
          </w:p>
        </w:tc>
      </w:tr>
      <w:tr w14:paraId="72229A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38" w:type="dxa"/>
            <w:vAlign w:val="center"/>
          </w:tcPr>
          <w:p w14:paraId="7401B2B5">
            <w:pPr>
              <w:widowControl w:val="0"/>
              <w:jc w:val="center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599B48D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低压电缆2</w:t>
            </w:r>
          </w:p>
        </w:tc>
        <w:tc>
          <w:tcPr>
            <w:tcW w:w="7852" w:type="dxa"/>
            <w:vAlign w:val="center"/>
          </w:tcPr>
          <w:p w14:paraId="2DD51D72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  <w:t>1、总体要求</w:t>
            </w:r>
          </w:p>
          <w:p w14:paraId="01F82BCA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规格型号：ZC-YJV22-0.6/1kV-5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 w:bidi="ar"/>
              </w:rPr>
              <w:t>×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95；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相数芯数：5芯，标称导体截面：120mm²；</w:t>
            </w:r>
          </w:p>
          <w:p w14:paraId="0647434A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工频耐压试验：3.5kV/5min 不击穿，荷载下延伸率：≤135%；</w:t>
            </w:r>
          </w:p>
          <w:p w14:paraId="524FC201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2、导体技术要求</w:t>
            </w:r>
          </w:p>
          <w:p w14:paraId="4B6136C0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材质：高纯无氧铜导体，铜纯度≥99.95%；</w:t>
            </w:r>
          </w:p>
          <w:p w14:paraId="2852676B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结构：交联聚乙烯绝缘钢带铠装聚氯乙烯护套阻燃C类电力电缆；</w:t>
            </w:r>
          </w:p>
          <w:p w14:paraId="48289B22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20℃直流电阻：≤0.15Ω/km；导体无断丝、无毛刺、无氧化发黑；</w:t>
            </w:r>
          </w:p>
          <w:p w14:paraId="19CF1731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3、绝缘层</w:t>
            </w:r>
          </w:p>
          <w:p w14:paraId="77521DCF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绝缘材料：交联聚乙烯绝缘钢带铠装；长期允许工作温度：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≥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90℃；</w:t>
            </w:r>
          </w:p>
          <w:p w14:paraId="1752C9C6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短路最高温度（5s 内）：</w:t>
            </w: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  <w:t>≥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250℃；绝缘标称厚度：2.0mm，最薄处不小于标称值 90%；</w:t>
            </w:r>
          </w:p>
          <w:p w14:paraId="6D70E39F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绝缘偏心度：≤10%；绝缘料全新料，禁止回收料；</w:t>
            </w:r>
          </w:p>
          <w:p w14:paraId="12EDCFB5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4、内外屏蔽层</w:t>
            </w:r>
          </w:p>
          <w:p w14:paraId="2059B40D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导体屏蔽：挤包可剥离半导电屏蔽层，均匀光滑；绝缘屏蔽：挤包可剥离半导电屏蔽层；</w:t>
            </w:r>
          </w:p>
          <w:p w14:paraId="7C270824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金属屏蔽：软铜带绕包，搭盖率≥15%，满足短路接地要求</w:t>
            </w:r>
          </w:p>
          <w:p w14:paraId="40C0C9F7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5、铠装与护套</w:t>
            </w:r>
          </w:p>
          <w:p w14:paraId="5E4465B7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内衬层：挤包隔离内衬；铠装层：双层镀锌钢带铠装，抗压、防机械损伤，适合直埋敷设；</w:t>
            </w:r>
          </w:p>
          <w:p w14:paraId="0C1ED8F0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外护套：黑色 PVC 阻燃外护套；护套耐老化、耐酸碱、耐地下潮气；</w:t>
            </w:r>
          </w:p>
          <w:p w14:paraId="16A12CE3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6、阻燃等级</w:t>
            </w:r>
          </w:p>
          <w:p w14:paraId="7197F8A9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阻燃级别：ZC级阻燃（成束 C 级阻燃）；燃烧无烟毒低烟，符合消防敷设要求；</w:t>
            </w:r>
          </w:p>
          <w:p w14:paraId="66D9DB71">
            <w:pPr>
              <w:widowControl w:val="0"/>
              <w:jc w:val="left"/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7、物理敷设参数</w:t>
            </w:r>
          </w:p>
          <w:p w14:paraId="747C59CD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最小弯曲半径：≥10倍电缆外径；敷设环境：直埋、电缆沟、桥架均可；</w:t>
            </w:r>
          </w:p>
          <w:p w14:paraId="5884ED79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8、质保期≥2 年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 w14:paraId="154C47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37B625F2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3132044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低压电缆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3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6EEF68A0">
            <w:pPr>
              <w:widowControl w:val="0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1、总体要求</w:t>
            </w:r>
          </w:p>
          <w:p w14:paraId="662FFFBE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规格型号：ZC-YJV22-0.6/1kV-5×70；相数芯数：5芯，标称导体截面：70mm²；</w:t>
            </w:r>
          </w:p>
          <w:p w14:paraId="26DC8DC4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工频耐压试验：3.5kV/5min不击穿，荷载下延伸率：≤135%；</w:t>
            </w:r>
          </w:p>
          <w:p w14:paraId="777B8838">
            <w:pPr>
              <w:widowControl w:val="0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2、导体技术要求</w:t>
            </w:r>
          </w:p>
          <w:p w14:paraId="69820B1A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材质：高纯无氧铜导体，铜纯度≥99.95%；</w:t>
            </w:r>
          </w:p>
          <w:p w14:paraId="26B73496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结构：交联聚乙烯绝缘钢带铠装聚氯乙烯护套阻燃C类电力电缆；</w:t>
            </w:r>
          </w:p>
          <w:p w14:paraId="732B73DD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20℃直流电阻：≤0.268Ω/km；导体无断丝、无毛刺、无氧化发黑；</w:t>
            </w:r>
          </w:p>
          <w:p w14:paraId="20872D4E">
            <w:pPr>
              <w:widowControl w:val="0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3、绝缘层</w:t>
            </w:r>
          </w:p>
          <w:p w14:paraId="2A28D316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绝缘材料：交联聚乙烯绝缘钢带铠装；长期允许工作温度：≥90℃；</w:t>
            </w:r>
          </w:p>
          <w:p w14:paraId="3C175106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短路最高温度（5s内）：≥250℃；绝缘标称厚度：2.0mm，最薄处不小于标称值90%；</w:t>
            </w:r>
          </w:p>
          <w:p w14:paraId="28AD0824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绝缘偏心度：≤10%；绝缘料全新料，禁止回收料； </w:t>
            </w:r>
          </w:p>
          <w:p w14:paraId="67A6B61E">
            <w:pPr>
              <w:widowControl w:val="0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4、内外屏蔽层</w:t>
            </w:r>
          </w:p>
          <w:p w14:paraId="7EC59190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导体屏蔽：挤包可剥离半导电屏蔽层，均匀光滑；绝缘屏蔽：挤包可剥离半导电屏蔽层；</w:t>
            </w:r>
          </w:p>
          <w:p w14:paraId="59C07D6D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金属屏蔽：软铜带绕包，搭盖率≥15%，满足短路接地要求；</w:t>
            </w:r>
          </w:p>
          <w:p w14:paraId="51E1F442">
            <w:pPr>
              <w:widowControl w:val="0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5、铠装与护套</w:t>
            </w:r>
          </w:p>
          <w:p w14:paraId="61950BB5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内衬层：挤包隔离内衬；铠装层：双层镀锌钢带铠装，抗压、防机械损伤，适合直埋敷设；</w:t>
            </w:r>
          </w:p>
          <w:p w14:paraId="552BF3AB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外护套：黑色PVC阻燃外护套；护套耐老化、耐酸碱、耐地下潮气；</w:t>
            </w:r>
          </w:p>
          <w:p w14:paraId="4FDF9641">
            <w:pPr>
              <w:widowControl w:val="0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6、阻燃等级</w:t>
            </w:r>
          </w:p>
          <w:p w14:paraId="02E25E08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阻燃级别：ZC级阻燃（成束C级阻燃）；燃烧无烟低烟，符合消防敷设要求；</w:t>
            </w:r>
          </w:p>
          <w:p w14:paraId="1B074F0A">
            <w:pPr>
              <w:widowControl w:val="0"/>
              <w:jc w:val="left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7、物理敷设参数</w:t>
            </w:r>
          </w:p>
          <w:p w14:paraId="557CDE06">
            <w:pPr>
              <w:widowControl w:val="0"/>
              <w:jc w:val="left"/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最小弯曲半径：≥10倍电缆外径；敷设环境：直埋、电缆沟、桥架均可；</w:t>
            </w:r>
          </w:p>
          <w:p w14:paraId="56D15F65">
            <w:pPr>
              <w:widowControl w:val="0"/>
              <w:jc w:val="left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8、质保期≥2年。</w:t>
            </w:r>
          </w:p>
        </w:tc>
      </w:tr>
      <w:tr w14:paraId="57DAA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08DE77F9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56CF620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冷缩式高压电缆终端头1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159B4FA7">
            <w:pPr>
              <w:pStyle w:val="14"/>
              <w:widowControl w:val="0"/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10kV，3×95</w:t>
            </w:r>
            <w:r>
              <w:rPr>
                <w:rFonts w:hint="eastAsia" w:ascii="宋体" w:hAnsi="宋体" w:eastAsia="宋体" w:cs="宋体"/>
                <w:b w:val="0"/>
                <w:sz w:val="22"/>
              </w:rPr>
              <w:t>，户内，主体绝缘：高纯液态硅橡胶（LSR）；</w:t>
            </w:r>
          </w:p>
          <w:p w14:paraId="250D3194">
            <w:pPr>
              <w:pStyle w:val="14"/>
              <w:widowControl w:val="0"/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sz w:val="22"/>
              </w:rPr>
              <w:t>结构：一体式预制成型，自带应力锥、半导电屏蔽、防水密封层；</w:t>
            </w:r>
          </w:p>
          <w:p w14:paraId="11F9D89E">
            <w:pPr>
              <w:pStyle w:val="14"/>
              <w:widowControl w:val="0"/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sz w:val="22"/>
              </w:rPr>
              <w:t>冷缩支撑条：高强度聚丙烯材质，抽拉顺畅无断裂、无残留；</w:t>
            </w:r>
          </w:p>
          <w:p w14:paraId="38B2A7ED">
            <w:pPr>
              <w:pStyle w:val="14"/>
              <w:widowControl w:val="0"/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sz w:val="22"/>
              </w:rPr>
              <w:t>接线端子：国标紫铜镀锡端子，压接牢固，载流量匹配电缆截面。</w:t>
            </w:r>
          </w:p>
        </w:tc>
      </w:tr>
      <w:tr w14:paraId="3C4B2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207F28AF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1992757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冷缩式高压电缆终端头2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20510370">
            <w:pPr>
              <w:pStyle w:val="14"/>
              <w:widowControl w:val="0"/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10kV，3×50</w:t>
            </w:r>
            <w:r>
              <w:rPr>
                <w:rFonts w:hint="eastAsia" w:ascii="宋体" w:hAnsi="宋体" w:eastAsia="宋体" w:cs="宋体"/>
                <w:b w:val="0"/>
                <w:sz w:val="22"/>
              </w:rPr>
              <w:t>，户内，主体绝缘：高纯液态硅橡胶（LSR）；</w:t>
            </w:r>
          </w:p>
          <w:p w14:paraId="31A0FCC5">
            <w:pPr>
              <w:pStyle w:val="14"/>
              <w:widowControl w:val="0"/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sz w:val="22"/>
              </w:rPr>
              <w:t>结构：一体式预制成型，自带应力锥、半导电屏蔽、防水密封层；</w:t>
            </w:r>
          </w:p>
          <w:p w14:paraId="6B58545F">
            <w:pPr>
              <w:pStyle w:val="14"/>
              <w:widowControl w:val="0"/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sz w:val="22"/>
              </w:rPr>
              <w:t>冷缩支撑条：高强度聚丙烯材质，抽拉顺畅无断裂、无残留；</w:t>
            </w:r>
          </w:p>
          <w:p w14:paraId="78680F79">
            <w:pPr>
              <w:pStyle w:val="14"/>
              <w:widowControl w:val="0"/>
              <w:spacing w:line="240" w:lineRule="auto"/>
              <w:jc w:val="both"/>
              <w:rPr>
                <w:rFonts w:hint="eastAsia" w:ascii="宋体" w:hAnsi="宋体" w:eastAsia="宋体" w:cs="宋体"/>
                <w:b w:val="0"/>
                <w:sz w:val="22"/>
              </w:rPr>
            </w:pPr>
            <w:r>
              <w:rPr>
                <w:rFonts w:hint="eastAsia" w:ascii="宋体" w:hAnsi="宋体" w:eastAsia="宋体" w:cs="宋体"/>
                <w:b w:val="0"/>
                <w:sz w:val="22"/>
              </w:rPr>
              <w:t>接线端子：国标紫铜镀锡端子，压接牢固，载流量匹配电缆截面。</w:t>
            </w:r>
          </w:p>
        </w:tc>
      </w:tr>
      <w:tr w14:paraId="25C6F1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46A2D6AE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6957105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bidi="ar"/>
                <w14:textFill>
                  <w14:solidFill>
                    <w14:schemeClr w14:val="tx1"/>
                  </w14:solidFill>
                </w14:textFill>
              </w:rPr>
              <w:t>基座及配套井盖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08B27D34">
            <w:pPr>
              <w:widowControl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、基座技术要求：适配400kVA欧式箱变及电缆分接箱安装使用，采用C30及以上钢筋混凝土现浇浇筑，内置国标螺纹钢筋骨架，钢筋间距均匀、绑扎牢固，无松动、漏绑现象；基座尺寸贴合设备底座规格，平整度误差≤3mm，承重载荷≥100kN，满足设备长期稳定承重、抗沉降、抗风化要求；基座预留电缆穿线孔洞，孔洞边缘光滑无毛刺，做好防水封堵结构，底部设置排水坡度，杜绝积水浸泡设备基础。</w:t>
            </w:r>
          </w:p>
        </w:tc>
      </w:tr>
      <w:tr w14:paraId="003ED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3BB2B629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352E08D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bidi="ar"/>
                <w14:textFill>
                  <w14:solidFill>
                    <w14:schemeClr w14:val="tx1"/>
                  </w14:solidFill>
                </w14:textFill>
              </w:rPr>
              <w:t>电缆保护管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5E0177D9">
            <w:pPr>
              <w:widowControl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1、材质规格：采用全新料MPP改性聚丙烯电力保护管，规格φ160mm；</w:t>
            </w:r>
          </w:p>
          <w:p w14:paraId="17A43825">
            <w:pPr>
              <w:widowControl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2、性能参数：环刚度≥8kN/m²，环柔性达标，压扁试验无开裂、无破损；耐高压、耐腐蚀、耐老化、耐高低温，适配-30℃～+50℃户外环境，抗地面沉降、抗外力挤压损伤。</w:t>
            </w:r>
          </w:p>
        </w:tc>
      </w:tr>
      <w:tr w14:paraId="4C5A0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4FA2BDE9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4D21C73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bidi="ar"/>
                <w14:textFill>
                  <w14:solidFill>
                    <w14:schemeClr w14:val="tx1"/>
                  </w14:solidFill>
                </w14:textFill>
              </w:rPr>
              <w:t>电缆标识带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7F98D921">
            <w:pPr>
              <w:widowControl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1、材质规格：采用高强度PE警示防护材质；</w:t>
            </w:r>
          </w:p>
          <w:p w14:paraId="71871ED5">
            <w:pPr>
              <w:widowControl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2、性能参数：抗拉强度≥20MPa，断裂伸长率≥300%，防水、防潮、防腐蚀、抗老化。</w:t>
            </w:r>
          </w:p>
        </w:tc>
      </w:tr>
      <w:tr w14:paraId="7F5A83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52912A57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605152F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bidi="ar"/>
                <w14:textFill>
                  <w14:solidFill>
                    <w14:schemeClr w14:val="tx1"/>
                  </w14:solidFill>
                </w14:textFill>
              </w:rPr>
              <w:t>电缆标识桩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5C3B5FE2">
            <w:pPr>
              <w:widowControl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1、材质规格：采用高强度玻璃钢材质；</w:t>
            </w:r>
          </w:p>
          <w:p w14:paraId="6616F835">
            <w:pPr>
              <w:widowControl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2、尺寸标准：常规高度1000mm，宽度150mm，厚度40mm。</w:t>
            </w:r>
          </w:p>
        </w:tc>
      </w:tr>
      <w:tr w14:paraId="6A458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1D593933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416415D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bidi="ar"/>
                <w14:textFill>
                  <w14:solidFill>
                    <w14:schemeClr w14:val="tx1"/>
                  </w14:solidFill>
                </w14:textFill>
              </w:rPr>
              <w:t>电缆标识牌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52721FEF">
            <w:pPr>
              <w:widowControl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采用铝合金不锈钢材质，厚度≥1.2mm；</w:t>
            </w:r>
          </w:p>
        </w:tc>
      </w:tr>
      <w:tr w14:paraId="3868C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67C988CE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5117588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:lang w:bidi="ar"/>
                <w14:textFill>
                  <w14:solidFill>
                    <w14:schemeClr w14:val="tx1"/>
                  </w14:solidFill>
                </w14:textFill>
              </w:rPr>
              <w:t>铁篦子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2B63311F">
            <w:pPr>
              <w:widowControl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采用碳钢材质，整体焊接成型，焊缝平整光滑、无虚焊、无漏焊、无变形；表面经过热镀锌防腐处理，防锈、防腐蚀、抗氧化，适配户外露天、潮湿环境长期使用。</w:t>
            </w:r>
          </w:p>
        </w:tc>
      </w:tr>
      <w:tr w14:paraId="240BBB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1AD81FC2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35E997C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电力电缆敷设截面300mm²以内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2DAEE813">
            <w:pPr>
              <w:widowControl w:val="0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三相敷设</w:t>
            </w:r>
          </w:p>
        </w:tc>
      </w:tr>
      <w:tr w14:paraId="7F6C7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06A09A84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4D26817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电力电缆敷设 截面50mm²以内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6770ADAF">
            <w:pPr>
              <w:widowControl w:val="0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bidi="ar"/>
              </w:rPr>
              <w:t>三相敷设</w:t>
            </w:r>
          </w:p>
        </w:tc>
      </w:tr>
      <w:tr w14:paraId="378B2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6C3949E5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15B94134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箱变护栏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03BF46BC">
            <w:pPr>
              <w:widowControl w:val="0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PVC塑钢，1.8米高，每套护栏带2个检修门</w:t>
            </w:r>
          </w:p>
        </w:tc>
      </w:tr>
      <w:tr w14:paraId="5E724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638" w:type="dxa"/>
            <w:shd w:val="clear" w:color="auto" w:fill="auto"/>
            <w:vAlign w:val="center"/>
          </w:tcPr>
          <w:p w14:paraId="5DF89B40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523" w:type="dxa"/>
            <w:shd w:val="clear" w:color="auto" w:fill="auto"/>
            <w:vAlign w:val="center"/>
          </w:tcPr>
          <w:p w14:paraId="26683D33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非开挖水平</w:t>
            </w:r>
          </w:p>
          <w:p w14:paraId="5ED1E438">
            <w:pPr>
              <w:widowControl w:val="0"/>
              <w:jc w:val="center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 xml:space="preserve">导向钻进 </w:t>
            </w:r>
          </w:p>
        </w:tc>
        <w:tc>
          <w:tcPr>
            <w:tcW w:w="7852" w:type="dxa"/>
            <w:shd w:val="clear" w:color="auto" w:fill="auto"/>
            <w:vAlign w:val="center"/>
          </w:tcPr>
          <w:p w14:paraId="449B2979">
            <w:pPr>
              <w:widowControl w:val="0"/>
              <w:jc w:val="left"/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Cs/>
                <w:color w:val="000000" w:themeColor="text1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φ200以内，含电缆保护管</w:t>
            </w:r>
          </w:p>
        </w:tc>
      </w:tr>
    </w:tbl>
    <w:p w14:paraId="72A23A1D">
      <w:pPr>
        <w:spacing w:line="320" w:lineRule="exact"/>
        <w:rPr>
          <w:rFonts w:hint="default" w:eastAsia="宋体" w:asciiTheme="minorEastAsia" w:hAnsiTheme="minorEastAsia" w:cstheme="minorEastAsia"/>
          <w:color w:val="0000FF"/>
          <w:sz w:val="24"/>
          <w:lang w:val="en-US" w:eastAsia="zh-CN"/>
        </w:rPr>
      </w:pPr>
      <w:r>
        <w:rPr>
          <w:rFonts w:hint="eastAsia" w:cs="宋体" w:asciiTheme="minorEastAsia" w:hAnsiTheme="minorEastAsia" w:eastAsiaTheme="minorEastAsia"/>
          <w:b/>
          <w:bCs/>
          <w:sz w:val="24"/>
          <w:szCs w:val="24"/>
        </w:rPr>
        <w:t>备注：</w:t>
      </w:r>
      <w:r>
        <w:rPr>
          <w:rFonts w:hint="eastAsia" w:eastAsia="宋体" w:asciiTheme="minorEastAsia" w:hAnsiTheme="minorEastAsia" w:cstheme="minorEastAsia"/>
          <w:color w:val="0000FF"/>
          <w:sz w:val="24"/>
          <w:lang w:val="en-US" w:eastAsia="zh-CN"/>
        </w:rPr>
        <w:t>1.本项目终端型欧式箱变为核心产品。</w:t>
      </w:r>
    </w:p>
    <w:p w14:paraId="01404CC5">
      <w:pPr>
        <w:spacing w:line="320" w:lineRule="exact"/>
        <w:ind w:firstLine="720" w:firstLineChars="300"/>
        <w:rPr>
          <w:rFonts w:asciiTheme="minorEastAsia" w:hAnsiTheme="minorEastAsia" w:cstheme="minorEastAsia"/>
          <w:color w:val="0000FF"/>
          <w:sz w:val="24"/>
        </w:rPr>
        <w:sectPr>
          <w:pgSz w:w="11906" w:h="16839"/>
          <w:pgMar w:top="1134" w:right="1134" w:bottom="1157" w:left="1134" w:header="0" w:footer="992" w:gutter="0"/>
          <w:cols w:space="720" w:num="1"/>
        </w:sectPr>
      </w:pPr>
      <w:r>
        <w:rPr>
          <w:rFonts w:hint="eastAsia" w:eastAsia="宋体" w:asciiTheme="minorEastAsia" w:hAnsiTheme="minorEastAsia" w:cstheme="minorEastAsia"/>
          <w:color w:val="0000FF"/>
          <w:sz w:val="24"/>
          <w:lang w:val="en-US" w:eastAsia="zh-CN"/>
        </w:rPr>
        <w:t>2.</w:t>
      </w:r>
      <w:r>
        <w:rPr>
          <w:rFonts w:hint="eastAsia" w:asciiTheme="minorEastAsia" w:hAnsiTheme="minorEastAsia" w:cstheme="minorEastAsia"/>
          <w:color w:val="0000FF"/>
          <w:sz w:val="24"/>
        </w:rPr>
        <w:t>以上采购需求内所有尺寸允许偏差</w:t>
      </w:r>
      <w:bookmarkStart w:id="6" w:name="_GoBack"/>
      <w:bookmarkEnd w:id="6"/>
      <w:r>
        <w:rPr>
          <w:rFonts w:hint="eastAsia" w:asciiTheme="minorEastAsia" w:hAnsiTheme="minorEastAsia" w:cstheme="minorEastAsia"/>
          <w:color w:val="0000FF"/>
          <w:sz w:val="24"/>
        </w:rPr>
        <w:t>率为±5%。</w:t>
      </w:r>
    </w:p>
    <w:p w14:paraId="2C09854E">
      <w:pPr>
        <w:rPr>
          <w:rFonts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（二）</w:t>
      </w:r>
      <w:r>
        <w:rPr>
          <w:rFonts w:ascii="宋体" w:hAnsi="宋体" w:eastAsia="宋体" w:cs="宋体"/>
          <w:color w:val="auto"/>
          <w:spacing w:val="32"/>
          <w:sz w:val="24"/>
          <w:szCs w:val="24"/>
          <w:highlight w:val="none"/>
          <w:lang w:eastAsia="zh-CN"/>
        </w:rPr>
        <w:t xml:space="preserve"> </w:t>
      </w:r>
      <w:r>
        <w:rPr>
          <w:rFonts w:ascii="宋体" w:hAnsi="宋体" w:eastAsia="宋体" w:cs="宋体"/>
          <w:color w:val="auto"/>
          <w:spacing w:val="-6"/>
          <w:sz w:val="24"/>
          <w:szCs w:val="24"/>
          <w:highlight w:val="none"/>
          <w:lang w:eastAsia="zh-CN"/>
        </w:rPr>
        <w:t>商务条件</w:t>
      </w:r>
    </w:p>
    <w:tbl>
      <w:tblPr>
        <w:tblStyle w:val="6"/>
        <w:tblW w:w="9782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320"/>
        <w:gridCol w:w="7751"/>
      </w:tblGrid>
      <w:tr w14:paraId="7B622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11" w:type="dxa"/>
            <w:vAlign w:val="center"/>
          </w:tcPr>
          <w:p w14:paraId="14903273">
            <w:pPr>
              <w:pStyle w:val="3"/>
              <w:ind w:left="228" w:hanging="22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序号</w:t>
            </w:r>
          </w:p>
        </w:tc>
        <w:tc>
          <w:tcPr>
            <w:tcW w:w="1320" w:type="dxa"/>
            <w:vAlign w:val="center"/>
          </w:tcPr>
          <w:p w14:paraId="7743680F">
            <w:pPr>
              <w:pStyle w:val="3"/>
              <w:ind w:left="228" w:hanging="22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要求项</w:t>
            </w:r>
          </w:p>
        </w:tc>
        <w:tc>
          <w:tcPr>
            <w:tcW w:w="7751" w:type="dxa"/>
            <w:vAlign w:val="center"/>
          </w:tcPr>
          <w:p w14:paraId="3D2FAAF1">
            <w:pPr>
              <w:pStyle w:val="3"/>
              <w:ind w:left="228" w:hanging="220"/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商务要求说明</w:t>
            </w:r>
          </w:p>
        </w:tc>
      </w:tr>
      <w:tr w14:paraId="5E4E7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11" w:type="dxa"/>
            <w:vAlign w:val="center"/>
          </w:tcPr>
          <w:p w14:paraId="718F088B">
            <w:pPr>
              <w:pStyle w:val="3"/>
              <w:spacing w:line="276" w:lineRule="auto"/>
              <w:ind w:left="227" w:hanging="219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/>
                <w:b w:val="0"/>
                <w:bCs/>
                <w:sz w:val="24"/>
              </w:rPr>
              <w:t>1</w:t>
            </w:r>
          </w:p>
        </w:tc>
        <w:tc>
          <w:tcPr>
            <w:tcW w:w="1320" w:type="dxa"/>
            <w:vAlign w:val="center"/>
          </w:tcPr>
          <w:p w14:paraId="4BF28FB9">
            <w:pPr>
              <w:pStyle w:val="3"/>
              <w:spacing w:line="276" w:lineRule="auto"/>
              <w:ind w:left="227" w:hanging="219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ascii="宋体" w:hAnsi="宋体"/>
                <w:b w:val="0"/>
                <w:bCs/>
                <w:sz w:val="24"/>
              </w:rPr>
              <w:t>交货时间</w:t>
            </w:r>
          </w:p>
        </w:tc>
        <w:tc>
          <w:tcPr>
            <w:tcW w:w="7751" w:type="dxa"/>
            <w:vAlign w:val="center"/>
          </w:tcPr>
          <w:p w14:paraId="41FBBC98">
            <w:pPr>
              <w:pStyle w:val="3"/>
              <w:spacing w:line="276" w:lineRule="auto"/>
              <w:ind w:left="8" w:firstLine="0" w:firstLineChars="0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 w:eastAsia="宋体" w:cs="Calibri"/>
                <w:b w:val="0"/>
                <w:bCs/>
                <w:snapToGrid/>
                <w:color w:val="auto"/>
                <w:spacing w:val="0"/>
                <w:sz w:val="24"/>
              </w:rPr>
              <w:t>合同签订后30日内施工、安装完成并验收合格。</w:t>
            </w:r>
          </w:p>
        </w:tc>
      </w:tr>
      <w:tr w14:paraId="34B3AE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11" w:type="dxa"/>
            <w:vAlign w:val="center"/>
          </w:tcPr>
          <w:p w14:paraId="61FAB394">
            <w:pPr>
              <w:pStyle w:val="3"/>
              <w:spacing w:line="276" w:lineRule="auto"/>
              <w:ind w:left="227" w:hanging="219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/>
                <w:b w:val="0"/>
                <w:bCs/>
                <w:sz w:val="24"/>
              </w:rPr>
              <w:t>2</w:t>
            </w:r>
          </w:p>
        </w:tc>
        <w:tc>
          <w:tcPr>
            <w:tcW w:w="1320" w:type="dxa"/>
            <w:vAlign w:val="center"/>
          </w:tcPr>
          <w:p w14:paraId="296B6614">
            <w:pPr>
              <w:pStyle w:val="3"/>
              <w:spacing w:line="276" w:lineRule="auto"/>
              <w:ind w:left="0" w:leftChars="0" w:firstLine="0" w:firstLineChars="0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ascii="宋体" w:hAnsi="宋体"/>
                <w:b w:val="0"/>
                <w:bCs/>
                <w:sz w:val="24"/>
              </w:rPr>
              <w:t>交货地点</w:t>
            </w:r>
          </w:p>
        </w:tc>
        <w:tc>
          <w:tcPr>
            <w:tcW w:w="7751" w:type="dxa"/>
            <w:vAlign w:val="center"/>
          </w:tcPr>
          <w:p w14:paraId="5CFA179E">
            <w:pPr>
              <w:spacing w:line="276" w:lineRule="auto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</w:rPr>
              <w:t>采购人指定地点。</w:t>
            </w:r>
          </w:p>
        </w:tc>
      </w:tr>
      <w:tr w14:paraId="4A320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11" w:type="dxa"/>
            <w:vAlign w:val="center"/>
          </w:tcPr>
          <w:p w14:paraId="0DAD6DB3">
            <w:pPr>
              <w:pStyle w:val="3"/>
              <w:ind w:left="227" w:hanging="219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/>
                <w:b w:val="0"/>
                <w:bCs/>
                <w:sz w:val="24"/>
              </w:rPr>
              <w:t>3</w:t>
            </w:r>
          </w:p>
        </w:tc>
        <w:tc>
          <w:tcPr>
            <w:tcW w:w="1320" w:type="dxa"/>
            <w:vAlign w:val="center"/>
          </w:tcPr>
          <w:p w14:paraId="11E5E7CE">
            <w:pPr>
              <w:pStyle w:val="3"/>
              <w:ind w:left="0" w:leftChars="0" w:firstLine="0" w:firstLineChars="0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/>
                <w:b w:val="0"/>
                <w:bCs/>
                <w:sz w:val="24"/>
              </w:rPr>
              <w:t>付款进度和方式</w:t>
            </w:r>
          </w:p>
        </w:tc>
        <w:tc>
          <w:tcPr>
            <w:tcW w:w="7751" w:type="dxa"/>
            <w:vAlign w:val="center"/>
          </w:tcPr>
          <w:p w14:paraId="4B5A694C">
            <w:pPr>
              <w:spacing w:line="300" w:lineRule="exact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Calibri"/>
                <w:b w:val="0"/>
                <w:bCs/>
                <w:snapToGrid/>
                <w:color w:val="auto"/>
                <w:spacing w:val="0"/>
                <w:sz w:val="24"/>
                <w:szCs w:val="30"/>
                <w:lang w:val="en-US" w:eastAsia="en-US" w:bidi="ar-SA"/>
              </w:rPr>
              <w:t>项目全部完工并经甲方验收合格后支付至合同总金额的</w:t>
            </w:r>
            <w:r>
              <w:rPr>
                <w:rFonts w:hint="eastAsia" w:ascii="宋体" w:hAnsi="宋体" w:eastAsia="宋体" w:cs="Calibri"/>
                <w:b w:val="0"/>
                <w:bCs/>
                <w:snapToGrid/>
                <w:color w:val="auto"/>
                <w:spacing w:val="0"/>
                <w:sz w:val="24"/>
                <w:szCs w:val="30"/>
                <w:lang w:val="en-US" w:eastAsia="zh-CN" w:bidi="ar-SA"/>
              </w:rPr>
              <w:t>97</w:t>
            </w:r>
            <w:r>
              <w:rPr>
                <w:rFonts w:hint="eastAsia" w:ascii="宋体" w:hAnsi="宋体" w:eastAsia="宋体" w:cs="Calibri"/>
                <w:b w:val="0"/>
                <w:bCs/>
                <w:snapToGrid/>
                <w:color w:val="auto"/>
                <w:spacing w:val="0"/>
                <w:sz w:val="24"/>
                <w:szCs w:val="30"/>
                <w:lang w:val="en-US" w:eastAsia="en-US" w:bidi="ar-SA"/>
              </w:rPr>
              <w:t>%，</w:t>
            </w:r>
            <w:r>
              <w:rPr>
                <w:rFonts w:hint="eastAsia" w:ascii="宋体" w:hAnsi="宋体" w:eastAsia="宋体" w:cs="Calibri"/>
                <w:b w:val="0"/>
                <w:bCs/>
                <w:snapToGrid/>
                <w:color w:val="auto"/>
                <w:spacing w:val="0"/>
                <w:sz w:val="24"/>
                <w:szCs w:val="30"/>
                <w:lang w:val="en-US" w:eastAsia="zh-CN" w:bidi="ar-SA"/>
              </w:rPr>
              <w:t>剩余3%验收合格满一年后</w:t>
            </w:r>
            <w:r>
              <w:rPr>
                <w:rFonts w:hint="eastAsia" w:ascii="宋体" w:hAnsi="宋体" w:eastAsia="宋体" w:cs="Calibri"/>
                <w:b w:val="0"/>
                <w:bCs/>
                <w:snapToGrid/>
                <w:color w:val="auto"/>
                <w:spacing w:val="0"/>
                <w:sz w:val="24"/>
                <w:szCs w:val="30"/>
                <w:lang w:val="en-US" w:eastAsia="en-US" w:bidi="ar-SA"/>
              </w:rPr>
              <w:t>一次性付清余款。</w:t>
            </w:r>
          </w:p>
        </w:tc>
      </w:tr>
      <w:tr w14:paraId="24215D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11" w:type="dxa"/>
            <w:vAlign w:val="center"/>
          </w:tcPr>
          <w:p w14:paraId="419E377F">
            <w:pPr>
              <w:pStyle w:val="3"/>
              <w:ind w:left="227" w:hanging="219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/>
                <w:b w:val="0"/>
                <w:bCs/>
                <w:sz w:val="24"/>
              </w:rPr>
              <w:t>4</w:t>
            </w:r>
          </w:p>
        </w:tc>
        <w:tc>
          <w:tcPr>
            <w:tcW w:w="1320" w:type="dxa"/>
            <w:vAlign w:val="center"/>
          </w:tcPr>
          <w:p w14:paraId="2F626AA4">
            <w:pPr>
              <w:pStyle w:val="3"/>
              <w:ind w:left="0" w:leftChars="0" w:firstLine="0" w:firstLineChars="0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/>
                <w:b w:val="0"/>
                <w:bCs/>
                <w:sz w:val="24"/>
              </w:rPr>
              <w:t>安装调试验收</w:t>
            </w:r>
          </w:p>
        </w:tc>
        <w:tc>
          <w:tcPr>
            <w:tcW w:w="7751" w:type="dxa"/>
            <w:vAlign w:val="center"/>
          </w:tcPr>
          <w:p w14:paraId="3C70D4F3">
            <w:pPr>
              <w:pStyle w:val="3"/>
              <w:spacing w:line="300" w:lineRule="exact"/>
              <w:ind w:left="8" w:firstLine="0" w:firstLineChars="0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ascii="宋体" w:hAnsi="宋体"/>
                <w:b w:val="0"/>
                <w:bCs/>
                <w:sz w:val="24"/>
              </w:rPr>
              <w:t>1.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成交供应商须在批量供货及安装前，提供样品交由使用部门进行查验，以确认其规格、功能等与采购文件及投标文件要求的一致性，并经用户书面确认后方可进行后续供货与安装。</w:t>
            </w:r>
          </w:p>
          <w:p w14:paraId="5E8C98CD">
            <w:pPr>
              <w:pStyle w:val="3"/>
              <w:spacing w:line="300" w:lineRule="exact"/>
              <w:ind w:left="8" w:firstLine="0" w:firstLineChars="0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ascii="宋体" w:hAnsi="宋体"/>
                <w:b w:val="0"/>
                <w:bCs/>
                <w:sz w:val="24"/>
              </w:rPr>
              <w:t>2.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投标人应保证货物是全新，未使用过的，并完全符合合同规定的质量、规格和性能的要求。并且所提供的货物经正确安装、正常运转和保养在其使用寿命期内应具有满意的性能。在货物质量保证期之内，投标人应对由于设计、工艺或材料的缺陷而发生的任何不足或故障负责。</w:t>
            </w:r>
          </w:p>
          <w:p w14:paraId="2A5508B1">
            <w:pPr>
              <w:pStyle w:val="3"/>
              <w:spacing w:line="300" w:lineRule="exact"/>
              <w:ind w:left="8" w:firstLine="0" w:firstLineChars="0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ascii="宋体" w:hAnsi="宋体"/>
                <w:b w:val="0"/>
                <w:bCs/>
                <w:sz w:val="24"/>
              </w:rPr>
              <w:t>3.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货物运抵采购人指定地点后，双方共同对到货货物的数量、型号、外观、包装质量、技术资料等进行检查确认后开始安装调试</w:t>
            </w:r>
            <w:r>
              <w:rPr>
                <w:rFonts w:ascii="宋体" w:hAnsi="宋体"/>
                <w:b w:val="0"/>
                <w:bCs/>
                <w:sz w:val="24"/>
              </w:rPr>
              <w:t>;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货物安装调试完成以后，由采购人组织相关人员进行验收，并出具验收报告；</w:t>
            </w:r>
          </w:p>
          <w:p w14:paraId="78E1727F">
            <w:pPr>
              <w:pStyle w:val="3"/>
              <w:spacing w:line="300" w:lineRule="exact"/>
              <w:ind w:left="8" w:firstLine="0" w:firstLineChars="0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ascii="宋体" w:hAnsi="宋体"/>
                <w:b w:val="0"/>
                <w:bCs/>
                <w:sz w:val="24"/>
              </w:rPr>
              <w:t>4.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验收标准</w:t>
            </w:r>
            <w:r>
              <w:rPr>
                <w:rFonts w:ascii="宋体" w:hAnsi="宋体"/>
                <w:b w:val="0"/>
                <w:bCs/>
                <w:sz w:val="24"/>
              </w:rPr>
              <w:t>: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根据制造厂商出厂标准及采购人技术规格要求</w:t>
            </w:r>
            <w:r>
              <w:rPr>
                <w:rFonts w:ascii="宋体" w:hAnsi="宋体"/>
                <w:b w:val="0"/>
                <w:bCs/>
                <w:sz w:val="24"/>
              </w:rPr>
              <w:t>(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包括但不限于国家标准及相关行业标准、项目招标档、采购合同等</w:t>
            </w:r>
            <w:r>
              <w:rPr>
                <w:rFonts w:ascii="宋体" w:hAnsi="宋体"/>
                <w:b w:val="0"/>
                <w:bCs/>
                <w:sz w:val="24"/>
              </w:rPr>
              <w:t>)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进行验收。依次序对照适用标准为</w:t>
            </w:r>
            <w:r>
              <w:rPr>
                <w:rFonts w:ascii="宋体" w:hAnsi="宋体"/>
                <w:b w:val="0"/>
                <w:bCs/>
                <w:sz w:val="24"/>
              </w:rPr>
              <w:t>: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（1）符合中华人民共和国国家安全质量标准、环保标准或行业标准；（2）符合采购档和回应承诺中采购人认可的合理最佳配置、参数及各项要求；（3）货物来源国官方标准。上述标准须是有关官方机构发布的最新版本的标准；</w:t>
            </w:r>
          </w:p>
          <w:p w14:paraId="57E0010C">
            <w:pPr>
              <w:pStyle w:val="3"/>
              <w:spacing w:line="300" w:lineRule="exact"/>
              <w:ind w:left="8" w:firstLine="0" w:firstLineChars="0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ascii="宋体" w:hAnsi="宋体"/>
                <w:b w:val="0"/>
                <w:bCs/>
                <w:sz w:val="24"/>
              </w:rPr>
              <w:t>5.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投标人须为验收提供必需的设备、工具及其他便利条件，并承担验收产生的相关费用</w:t>
            </w:r>
            <w:r>
              <w:rPr>
                <w:rFonts w:ascii="宋体" w:hAnsi="宋体"/>
                <w:b w:val="0"/>
                <w:bCs/>
                <w:sz w:val="24"/>
              </w:rPr>
              <w:t>；</w:t>
            </w:r>
          </w:p>
          <w:p w14:paraId="1A25C47C">
            <w:pPr>
              <w:pStyle w:val="3"/>
              <w:spacing w:line="300" w:lineRule="exact"/>
              <w:ind w:left="8" w:firstLine="0" w:firstLineChars="0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ascii="宋体" w:hAnsi="宋体"/>
                <w:b w:val="0"/>
                <w:bCs/>
                <w:sz w:val="24"/>
              </w:rPr>
              <w:t>6.</w:t>
            </w:r>
            <w:r>
              <w:rPr>
                <w:rFonts w:hint="eastAsia" w:ascii="宋体" w:hAnsi="宋体"/>
                <w:b w:val="0"/>
                <w:bCs/>
                <w:sz w:val="24"/>
              </w:rPr>
              <w:t>所供产品若发生知识产权等经济或法律纠纷，由投标人承担一切责任。</w:t>
            </w:r>
          </w:p>
        </w:tc>
      </w:tr>
      <w:tr w14:paraId="40833C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711" w:type="dxa"/>
            <w:vAlign w:val="center"/>
          </w:tcPr>
          <w:p w14:paraId="345CB7CA">
            <w:pPr>
              <w:pStyle w:val="3"/>
              <w:ind w:left="227" w:hanging="219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/>
                <w:b w:val="0"/>
                <w:bCs/>
                <w:sz w:val="24"/>
              </w:rPr>
              <w:t>5</w:t>
            </w:r>
          </w:p>
        </w:tc>
        <w:tc>
          <w:tcPr>
            <w:tcW w:w="1320" w:type="dxa"/>
            <w:vAlign w:val="center"/>
          </w:tcPr>
          <w:p w14:paraId="0C4854F3">
            <w:pPr>
              <w:pStyle w:val="3"/>
              <w:ind w:left="0" w:leftChars="0" w:firstLine="0" w:firstLineChars="0"/>
              <w:jc w:val="center"/>
              <w:rPr>
                <w:rFonts w:ascii="宋体" w:hAnsi="宋体"/>
                <w:b w:val="0"/>
                <w:bCs/>
                <w:sz w:val="24"/>
              </w:rPr>
            </w:pPr>
            <w:r>
              <w:rPr>
                <w:rFonts w:hint="eastAsia" w:ascii="宋体" w:hAnsi="宋体"/>
                <w:b w:val="0"/>
                <w:bCs/>
                <w:sz w:val="24"/>
              </w:rPr>
              <w:t>质保期和售后服务</w:t>
            </w:r>
          </w:p>
        </w:tc>
        <w:tc>
          <w:tcPr>
            <w:tcW w:w="7751" w:type="dxa"/>
            <w:vAlign w:val="center"/>
          </w:tcPr>
          <w:p w14:paraId="498C459B">
            <w:pPr>
              <w:pStyle w:val="5"/>
              <w:spacing w:after="0"/>
              <w:ind w:left="8" w:firstLine="0" w:firstLineChars="0"/>
              <w:rPr>
                <w:b w:val="0"/>
                <w:bCs/>
                <w:color w:val="FF0000"/>
                <w:sz w:val="24"/>
              </w:rPr>
            </w:pPr>
            <w:r>
              <w:rPr>
                <w:b w:val="0"/>
                <w:bCs/>
                <w:sz w:val="24"/>
              </w:rPr>
              <w:t>1.</w:t>
            </w:r>
            <w:r>
              <w:rPr>
                <w:rFonts w:hint="eastAsia"/>
                <w:b w:val="0"/>
                <w:bCs/>
                <w:sz w:val="24"/>
              </w:rPr>
              <w:t>质保期</w:t>
            </w:r>
            <w:r>
              <w:rPr>
                <w:b w:val="0"/>
                <w:bCs/>
                <w:sz w:val="24"/>
              </w:rPr>
              <w:t>:</w:t>
            </w:r>
            <w:r>
              <w:rPr>
                <w:rFonts w:hint="eastAsia"/>
                <w:b w:val="0"/>
                <w:bCs/>
                <w:sz w:val="24"/>
              </w:rPr>
              <w:t>本项目整体提供12个月原厂质保</w:t>
            </w:r>
            <w:r>
              <w:rPr>
                <w:b w:val="0"/>
                <w:bCs/>
                <w:sz w:val="24"/>
              </w:rPr>
              <w:t>(</w:t>
            </w:r>
            <w:r>
              <w:rPr>
                <w:rFonts w:hint="eastAsia"/>
                <w:b w:val="0"/>
                <w:bCs/>
                <w:sz w:val="24"/>
              </w:rPr>
              <w:t>规格、技术要求有明确要求质保时间的，以其要求为准</w:t>
            </w:r>
            <w:r>
              <w:rPr>
                <w:b w:val="0"/>
                <w:bCs/>
                <w:sz w:val="24"/>
              </w:rPr>
              <w:t>)</w:t>
            </w:r>
            <w:r>
              <w:rPr>
                <w:rFonts w:hint="eastAsia"/>
                <w:b w:val="0"/>
                <w:bCs/>
                <w:sz w:val="24"/>
              </w:rPr>
              <w:t>，质保期从验收合格之日起计算</w:t>
            </w:r>
            <w:r>
              <w:rPr>
                <w:b w:val="0"/>
                <w:bCs/>
                <w:sz w:val="24"/>
              </w:rPr>
              <w:t>(</w:t>
            </w:r>
            <w:r>
              <w:rPr>
                <w:rFonts w:hint="eastAsia"/>
                <w:b w:val="0"/>
                <w:bCs/>
                <w:sz w:val="24"/>
              </w:rPr>
              <w:t>技术要求有更高要求的，以技术要求为准</w:t>
            </w:r>
            <w:r>
              <w:rPr>
                <w:b w:val="0"/>
                <w:bCs/>
                <w:sz w:val="24"/>
              </w:rPr>
              <w:t>)</w:t>
            </w:r>
            <w:r>
              <w:rPr>
                <w:rFonts w:hint="eastAsia"/>
                <w:b w:val="0"/>
                <w:bCs/>
                <w:sz w:val="24"/>
              </w:rPr>
              <w:t>。</w:t>
            </w:r>
          </w:p>
          <w:p w14:paraId="44F21A4B">
            <w:pPr>
              <w:pStyle w:val="5"/>
              <w:spacing w:after="0"/>
              <w:ind w:left="8" w:firstLine="0" w:firstLineChars="0"/>
              <w:rPr>
                <w:b w:val="0"/>
                <w:bCs/>
                <w:sz w:val="24"/>
              </w:rPr>
            </w:pPr>
            <w:r>
              <w:rPr>
                <w:rFonts w:hint="eastAsia"/>
                <w:b w:val="0"/>
                <w:bCs/>
                <w:sz w:val="24"/>
              </w:rPr>
              <w:t>2</w:t>
            </w:r>
            <w:r>
              <w:rPr>
                <w:b w:val="0"/>
                <w:bCs/>
                <w:sz w:val="24"/>
              </w:rPr>
              <w:t>.</w:t>
            </w:r>
            <w:r>
              <w:rPr>
                <w:rFonts w:hint="eastAsia"/>
                <w:b w:val="0"/>
                <w:bCs/>
                <w:sz w:val="24"/>
              </w:rPr>
              <w:t xml:space="preserve"> 投标人需提供7*</w:t>
            </w:r>
            <w:r>
              <w:rPr>
                <w:b w:val="0"/>
                <w:bCs/>
                <w:sz w:val="24"/>
              </w:rPr>
              <w:t>24</w:t>
            </w:r>
            <w:r>
              <w:rPr>
                <w:rFonts w:hint="eastAsia"/>
                <w:b w:val="0"/>
                <w:bCs/>
                <w:sz w:val="24"/>
              </w:rPr>
              <w:t>小时电话服务，在接到采购人的服务通知后，实时回应；需到现场解决的，维修工程师应在</w:t>
            </w:r>
            <w:r>
              <w:rPr>
                <w:b w:val="0"/>
                <w:bCs/>
                <w:sz w:val="24"/>
              </w:rPr>
              <w:t>4</w:t>
            </w:r>
            <w:r>
              <w:rPr>
                <w:rFonts w:hint="eastAsia"/>
                <w:b w:val="0"/>
                <w:bCs/>
                <w:sz w:val="24"/>
              </w:rPr>
              <w:t>小时内到达现场，并对故障进行及时检修、排除。</w:t>
            </w:r>
            <w:r>
              <w:rPr>
                <w:b w:val="0"/>
                <w:bCs/>
                <w:sz w:val="24"/>
              </w:rPr>
              <w:t>24</w:t>
            </w:r>
            <w:r>
              <w:rPr>
                <w:rFonts w:hint="eastAsia"/>
                <w:b w:val="0"/>
                <w:bCs/>
                <w:sz w:val="24"/>
              </w:rPr>
              <w:t>小时内未排除故障，应更换故障货物或提供临时替代货物直至故障排除。如投标人未在规定时间排除故障或更换问题货物，采购人有权委托第三方或自行修理，相关费用由投标人支付。</w:t>
            </w:r>
          </w:p>
          <w:p w14:paraId="57190BAC">
            <w:pPr>
              <w:pStyle w:val="5"/>
              <w:spacing w:after="0"/>
              <w:ind w:left="8" w:firstLine="0" w:firstLineChars="0"/>
              <w:rPr>
                <w:b w:val="0"/>
                <w:bCs/>
                <w:sz w:val="24"/>
              </w:rPr>
            </w:pPr>
            <w:r>
              <w:rPr>
                <w:rFonts w:hint="eastAsia"/>
                <w:b w:val="0"/>
                <w:bCs/>
                <w:sz w:val="24"/>
              </w:rPr>
              <w:t>3</w:t>
            </w:r>
            <w:r>
              <w:rPr>
                <w:b w:val="0"/>
                <w:bCs/>
                <w:sz w:val="24"/>
              </w:rPr>
              <w:t>.所有</w:t>
            </w:r>
            <w:r>
              <w:rPr>
                <w:rFonts w:hint="eastAsia"/>
                <w:b w:val="0"/>
                <w:bCs/>
                <w:sz w:val="24"/>
              </w:rPr>
              <w:t>质量保证期期满后，投标人如继续为采购人提供维护服务，由此发生的费用由采购方承担。服务、零部件价格不得高于本次成交价格。</w:t>
            </w:r>
          </w:p>
          <w:p w14:paraId="4A850B69">
            <w:pPr>
              <w:pStyle w:val="5"/>
              <w:spacing w:after="0"/>
              <w:ind w:left="8" w:firstLine="0" w:firstLineChars="0"/>
              <w:rPr>
                <w:b w:val="0"/>
                <w:bCs/>
                <w:sz w:val="24"/>
              </w:rPr>
            </w:pPr>
            <w:r>
              <w:rPr>
                <w:rFonts w:hint="eastAsia"/>
                <w:b w:val="0"/>
                <w:bCs/>
                <w:sz w:val="24"/>
              </w:rPr>
              <w:t>4.确保本项目通过电力相关部门的专项验收。</w:t>
            </w:r>
          </w:p>
        </w:tc>
      </w:tr>
    </w:tbl>
    <w:p w14:paraId="1B2296EB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</w:p>
    <w:p w14:paraId="513EB8EA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注：以上技术需求和商务条件为实质性要求，必须完全响应，否则视为无效响应。 </w:t>
      </w:r>
    </w:p>
    <w:p w14:paraId="6197C7F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31AC70">
    <w:pPr>
      <w:pStyle w:val="4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F54C52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F54C52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89E77C">
    <w:pPr>
      <w:pStyle w:val="4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4" name="文本框 5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69F0F20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DTdpAzAgAAYwQAAA4AAABkcnMvZTJvRG9jLnhtbK1UzY7TMBC+I/EO&#10;lu80aWFX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DTdpA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69F0F20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6B4653"/>
    <w:rsid w:val="021337D7"/>
    <w:rsid w:val="045F7637"/>
    <w:rsid w:val="0F543075"/>
    <w:rsid w:val="4A6B4653"/>
    <w:rsid w:val="5B2804B1"/>
    <w:rsid w:val="68B910F3"/>
    <w:rsid w:val="70BC4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5">
    <w:name w:val="Body Text First Indent"/>
    <w:basedOn w:val="3"/>
    <w:qFormat/>
    <w:uiPriority w:val="0"/>
    <w:pPr>
      <w:ind w:firstLine="420" w:firstLineChars="100"/>
    </w:pPr>
  </w:style>
  <w:style w:type="table" w:styleId="7">
    <w:name w:val="Table Grid"/>
    <w:basedOn w:val="6"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99"/>
    <w:rPr>
      <w:rFonts w:cs="Times New Roman"/>
    </w:rPr>
  </w:style>
  <w:style w:type="table" w:customStyle="1" w:styleId="1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Table Text"/>
    <w:basedOn w:val="1"/>
    <w:semiHidden/>
    <w:qFormat/>
    <w:uiPriority w:val="0"/>
  </w:style>
  <w:style w:type="paragraph" w:customStyle="1" w:styleId="13">
    <w:name w:val="段"/>
    <w:next w:val="1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4">
    <w:name w:val="表格文字"/>
    <w:basedOn w:val="1"/>
    <w:autoRedefine/>
    <w:qFormat/>
    <w:uiPriority w:val="0"/>
    <w:pPr>
      <w:spacing w:line="300" w:lineRule="auto"/>
    </w:pPr>
    <w:rPr>
      <w:rFonts w:ascii="Times" w:hAnsi="Times" w:cs="Times New Roman"/>
      <w:spacing w:val="1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5058</Words>
  <Characters>5841</Characters>
  <Lines>0</Lines>
  <Paragraphs>0</Paragraphs>
  <TotalTime>1</TotalTime>
  <ScaleCrop>false</ScaleCrop>
  <LinksUpToDate>false</LinksUpToDate>
  <CharactersWithSpaces>5941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2026-05-30T01:51:00Z</dcterms:created>
  <dc:creator>m.</dc:creator>
  <cp:lastModifiedBy>m.</cp:lastModifiedBy>
  <dcterms:modified xsi:type="dcterms:W3CDTF">2026-06-11T11:40:51Z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9391113DD2DC4957AE99D9248E3B6F6F_11</vt:lpwstr>
  </property>
  <property fmtid="{D5CDD505-2E9C-101B-9397-08002B2CF9AE}" pid="4" name="KSOTemplateDocerSaveRecord">
    <vt:lpwstr>eyJoZGlkIjoiYTI0YmYzMmE3YjM3YjFhZTBjOTc5Njk5NmJkOTYxMzIiLCJ1c2VySWQiOiI1NDkxNDIzNjEifQ==</vt:lpwstr>
  </property>
</Properties>
</file>