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6"/>
        <w:gridCol w:w="1281"/>
        <w:gridCol w:w="5894"/>
        <w:gridCol w:w="688"/>
        <w:gridCol w:w="737"/>
      </w:tblGrid>
      <w:tr w14:paraId="4CEEC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6" w:type="dxa"/>
            <w:vAlign w:val="center"/>
          </w:tcPr>
          <w:p w14:paraId="5B559149">
            <w:pPr>
              <w:spacing w:line="360" w:lineRule="auto"/>
              <w:jc w:val="center"/>
              <w:rPr>
                <w:rFonts w:ascii="宋体" w:hAnsi="宋体" w:eastAsia="宋体" w:cs="宋体"/>
                <w:b/>
                <w:sz w:val="24"/>
                <w:szCs w:val="24"/>
              </w:rPr>
            </w:pPr>
            <w:r>
              <w:rPr>
                <w:rFonts w:hint="eastAsia" w:ascii="宋体" w:hAnsi="宋体" w:eastAsia="宋体" w:cs="宋体"/>
                <w:b/>
                <w:sz w:val="24"/>
                <w:szCs w:val="24"/>
              </w:rPr>
              <w:t>序号</w:t>
            </w:r>
          </w:p>
        </w:tc>
        <w:tc>
          <w:tcPr>
            <w:tcW w:w="1281" w:type="dxa"/>
            <w:vAlign w:val="center"/>
          </w:tcPr>
          <w:p w14:paraId="7CB37F39">
            <w:pPr>
              <w:spacing w:line="360" w:lineRule="auto"/>
              <w:jc w:val="center"/>
              <w:rPr>
                <w:rFonts w:ascii="宋体" w:hAnsi="宋体" w:eastAsia="宋体" w:cs="宋体"/>
                <w:b/>
                <w:sz w:val="24"/>
                <w:szCs w:val="24"/>
              </w:rPr>
            </w:pPr>
            <w:r>
              <w:rPr>
                <w:rFonts w:hint="eastAsia" w:ascii="宋体" w:hAnsi="宋体" w:eastAsia="宋体" w:cs="宋体"/>
                <w:b/>
                <w:sz w:val="24"/>
                <w:szCs w:val="24"/>
              </w:rPr>
              <w:t>服务</w:t>
            </w:r>
          </w:p>
          <w:p w14:paraId="0D24A885">
            <w:pPr>
              <w:spacing w:line="360" w:lineRule="auto"/>
              <w:jc w:val="center"/>
              <w:rPr>
                <w:rFonts w:ascii="宋体" w:hAnsi="宋体" w:eastAsia="宋体" w:cs="宋体"/>
                <w:b/>
                <w:sz w:val="24"/>
                <w:szCs w:val="24"/>
              </w:rPr>
            </w:pPr>
            <w:r>
              <w:rPr>
                <w:rFonts w:hint="eastAsia" w:ascii="宋体" w:hAnsi="宋体" w:eastAsia="宋体" w:cs="宋体"/>
                <w:b/>
                <w:sz w:val="24"/>
                <w:szCs w:val="24"/>
              </w:rPr>
              <w:t>名称</w:t>
            </w:r>
          </w:p>
        </w:tc>
        <w:tc>
          <w:tcPr>
            <w:tcW w:w="5894" w:type="dxa"/>
            <w:vAlign w:val="center"/>
          </w:tcPr>
          <w:p w14:paraId="52619EB4">
            <w:pPr>
              <w:spacing w:line="360" w:lineRule="auto"/>
              <w:ind w:firstLine="482" w:firstLineChars="200"/>
              <w:jc w:val="center"/>
              <w:rPr>
                <w:rFonts w:ascii="宋体" w:hAnsi="宋体" w:eastAsia="宋体" w:cs="宋体"/>
                <w:b/>
                <w:sz w:val="24"/>
                <w:szCs w:val="24"/>
              </w:rPr>
            </w:pPr>
            <w:r>
              <w:rPr>
                <w:rFonts w:hint="eastAsia" w:ascii="宋体" w:hAnsi="宋体" w:eastAsia="宋体" w:cs="宋体"/>
                <w:b/>
                <w:sz w:val="24"/>
                <w:szCs w:val="24"/>
              </w:rPr>
              <w:t>主要要求</w:t>
            </w:r>
          </w:p>
        </w:tc>
        <w:tc>
          <w:tcPr>
            <w:tcW w:w="688" w:type="dxa"/>
            <w:vAlign w:val="center"/>
          </w:tcPr>
          <w:p w14:paraId="06123590">
            <w:pPr>
              <w:spacing w:line="360" w:lineRule="auto"/>
              <w:jc w:val="center"/>
              <w:rPr>
                <w:rFonts w:ascii="宋体" w:hAnsi="宋体" w:eastAsia="宋体" w:cs="宋体"/>
                <w:b/>
                <w:sz w:val="24"/>
                <w:szCs w:val="24"/>
              </w:rPr>
            </w:pPr>
            <w:r>
              <w:rPr>
                <w:rFonts w:hint="eastAsia" w:ascii="宋体" w:hAnsi="宋体" w:eastAsia="宋体" w:cs="宋体"/>
                <w:b/>
                <w:sz w:val="24"/>
                <w:szCs w:val="24"/>
              </w:rPr>
              <w:t>数量</w:t>
            </w:r>
          </w:p>
        </w:tc>
        <w:tc>
          <w:tcPr>
            <w:tcW w:w="737" w:type="dxa"/>
            <w:vAlign w:val="center"/>
          </w:tcPr>
          <w:p w14:paraId="039D8472">
            <w:pPr>
              <w:spacing w:line="360" w:lineRule="auto"/>
              <w:jc w:val="center"/>
              <w:rPr>
                <w:rFonts w:ascii="宋体" w:hAnsi="宋体" w:eastAsia="宋体" w:cs="宋体"/>
                <w:b/>
                <w:sz w:val="24"/>
                <w:szCs w:val="24"/>
              </w:rPr>
            </w:pPr>
            <w:r>
              <w:rPr>
                <w:rFonts w:hint="eastAsia" w:ascii="宋体" w:hAnsi="宋体" w:eastAsia="宋体" w:cs="宋体"/>
                <w:b/>
                <w:sz w:val="24"/>
                <w:szCs w:val="24"/>
              </w:rPr>
              <w:t>单位</w:t>
            </w:r>
          </w:p>
        </w:tc>
      </w:tr>
      <w:tr w14:paraId="1C3A5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4" w:hRule="atLeast"/>
          <w:jc w:val="center"/>
        </w:trPr>
        <w:tc>
          <w:tcPr>
            <w:tcW w:w="496" w:type="dxa"/>
            <w:vAlign w:val="center"/>
          </w:tcPr>
          <w:p w14:paraId="7F4417D0">
            <w:pPr>
              <w:spacing w:line="360" w:lineRule="auto"/>
              <w:jc w:val="center"/>
              <w:rPr>
                <w:rFonts w:ascii="宋体" w:hAnsi="宋体" w:eastAsia="宋体" w:cs="宋体"/>
                <w:bCs/>
                <w:sz w:val="24"/>
                <w:szCs w:val="24"/>
              </w:rPr>
            </w:pPr>
            <w:r>
              <w:rPr>
                <w:rFonts w:hint="eastAsia" w:ascii="宋体" w:hAnsi="宋体" w:eastAsia="宋体" w:cs="宋体"/>
                <w:bCs/>
                <w:sz w:val="24"/>
                <w:szCs w:val="24"/>
              </w:rPr>
              <w:t>1</w:t>
            </w:r>
          </w:p>
        </w:tc>
        <w:tc>
          <w:tcPr>
            <w:tcW w:w="1281" w:type="dxa"/>
            <w:vAlign w:val="center"/>
          </w:tcPr>
          <w:p w14:paraId="72528BC8">
            <w:pPr>
              <w:spacing w:line="360" w:lineRule="auto"/>
              <w:jc w:val="center"/>
              <w:rPr>
                <w:rFonts w:ascii="宋体" w:hAnsi="宋体" w:eastAsia="宋体" w:cs="宋体"/>
                <w:bCs/>
                <w:sz w:val="24"/>
                <w:szCs w:val="24"/>
                <w:lang w:eastAsia="zh-CN"/>
              </w:rPr>
            </w:pPr>
            <w:r>
              <w:rPr>
                <w:rFonts w:hint="eastAsia" w:ascii="宋体" w:hAnsi="宋体" w:eastAsia="宋体" w:cs="宋体"/>
                <w:bCs/>
                <w:sz w:val="24"/>
                <w:szCs w:val="24"/>
                <w:lang w:eastAsia="zh-CN"/>
              </w:rPr>
              <w:t>建设学校马来西亚“天工学院”全流程服务</w:t>
            </w:r>
          </w:p>
        </w:tc>
        <w:tc>
          <w:tcPr>
            <w:tcW w:w="5894" w:type="dxa"/>
            <w:vAlign w:val="center"/>
          </w:tcPr>
          <w:p w14:paraId="63C9765C">
            <w:pPr>
              <w:pStyle w:val="3"/>
              <w:tabs>
                <w:tab w:val="left" w:pos="1680"/>
                <w:tab w:val="right" w:leader="dot" w:pos="8323"/>
              </w:tabs>
              <w:spacing w:line="360" w:lineRule="auto"/>
              <w:rPr>
                <w:rFonts w:ascii="宋体" w:hAnsi="宋体" w:eastAsia="宋体" w:cs="宋体"/>
                <w:b/>
                <w:color w:val="auto"/>
                <w:sz w:val="24"/>
                <w:szCs w:val="24"/>
                <w:lang w:eastAsia="zh-CN"/>
              </w:rPr>
            </w:pPr>
            <w:r>
              <w:rPr>
                <w:rFonts w:hint="eastAsia" w:ascii="宋体" w:hAnsi="宋体" w:eastAsia="宋体" w:cs="宋体"/>
                <w:b/>
                <w:color w:val="auto"/>
                <w:sz w:val="24"/>
                <w:szCs w:val="24"/>
                <w:lang w:eastAsia="zh-CN"/>
              </w:rPr>
              <w:t>（一）负责对接马来西亚境外资源，校企共建学院马来西亚“天工学院”，获得马来西亚国家职业教育相关部委授权和支持。</w:t>
            </w:r>
          </w:p>
          <w:p w14:paraId="42CE8741">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1.共建“天工学院”</w:t>
            </w:r>
          </w:p>
          <w:p w14:paraId="0827AEAB">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协助院校对接对接马来西亚境外资源，共建学院马来西亚“天工学院”，获得马来西亚国家职业教育相关部委授权和支持进行合作，多方共建学院马来西亚“天工学院”，签署多方共建合作协议，明确各方在人才培养、师资共建等方面的权利与义务（投标人负责共建协议内容编写、翻译等工作，并承担签约仪式的组织等相关工作）。</w:t>
            </w:r>
          </w:p>
          <w:p w14:paraId="756498BB">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2.宣传推广：</w:t>
            </w:r>
          </w:p>
          <w:p w14:paraId="2F442A22">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根据马来西亚法律及国情，将采购人设计、印制好的学校简介及优势专业宣传册，带往马来西亚相关院校及出海中资或本土企业（至少2所院校、2家企业）开展推广活动。</w:t>
            </w:r>
          </w:p>
          <w:p w14:paraId="651118EA">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3.“天工学院”签约及场地服务</w:t>
            </w:r>
          </w:p>
          <w:p w14:paraId="5BF5BC8C">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 xml:space="preserve">协调中方学校、马方学校以及马方主管教育机构共同推动举行签约仪式，正式成立学院马来西亚“天工学院”；马方院校“天工学院”提供不少于120平米的教室、不少于30套桌椅、不少于40平米办公室，保障水、电、网络等配套条件，满足空中课堂、实训教学和宣传展示等需求。 </w:t>
            </w:r>
          </w:p>
          <w:p w14:paraId="7D4F2424">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4.“天工学院”挂牌</w:t>
            </w:r>
          </w:p>
          <w:p w14:paraId="602A7EC0">
            <w:pPr>
              <w:spacing w:line="360" w:lineRule="auto"/>
              <w:ind w:firstLine="480" w:firstLineChars="200"/>
              <w:rPr>
                <w:rFonts w:ascii="宋体" w:hAnsi="宋体" w:eastAsia="宋体" w:cs="宋体"/>
                <w:sz w:val="24"/>
                <w:szCs w:val="24"/>
                <w:highlight w:val="yellow"/>
                <w:lang w:eastAsia="zh-CN"/>
              </w:rPr>
            </w:pPr>
            <w:r>
              <w:rPr>
                <w:rFonts w:hint="eastAsia" w:ascii="宋体" w:hAnsi="宋体" w:eastAsia="宋体" w:cs="宋体"/>
                <w:sz w:val="24"/>
                <w:szCs w:val="24"/>
                <w:lang w:eastAsia="zh-CN"/>
              </w:rPr>
              <w:t>投标人根据学校实际需求，采取线上或线下形式举办中马双方揭牌仪式。如果线下举行揭牌仪式，投标人负责协调马方合作院校邀请学校代表团赴马来西亚举办马来西亚“天工学院”建设项目揭牌仪式，行程安排不少于3天，负责学校代表团前往马来西亚合作院校及教育主管部门资源对接、出访相关手续材料、行程安排、随同翻译等服务；或邀请马方合作院校来学校举办马来西亚“天工学院”建设项目揭牌仪式，行程安排不少于2天，负责马来西亚合作院校赴华相关手续材料、行程安排、随同翻译等服务；</w:t>
            </w:r>
          </w:p>
          <w:p w14:paraId="594D6763">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揭牌仪式需要求不限于以下嘉宾：邀请中外政府官方部门、中外院校等相关领导完成揭牌仪式前期对接工作：中外双方院校、政府官方部门、中方相关领导等沟通工作；负责揭牌仪式的流程设计、统筹、彩排、执行及其它协助性事务；相关文字和影像材料的整理归档。（赴马来西亚团组费用由学校参照国家因公出访费用标准执行）</w:t>
            </w:r>
          </w:p>
          <w:p w14:paraId="0984206D">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5.协助学院每年选派不少于10名教师赴海外或线上开展教师业务能力培训和教学。</w:t>
            </w:r>
          </w:p>
          <w:p w14:paraId="2CDCB8CF">
            <w:pPr>
              <w:numPr>
                <w:ilvl w:val="0"/>
                <w:numId w:val="1"/>
              </w:num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协助学院2026年完成2项课程标准或技能标准的输出和认证，之后每年完成不少于1项课程标准或技能标准的输出和认证。</w:t>
            </w:r>
          </w:p>
          <w:p w14:paraId="2AAAB46B">
            <w:pPr>
              <w:pStyle w:val="3"/>
              <w:tabs>
                <w:tab w:val="left" w:pos="1680"/>
                <w:tab w:val="right" w:leader="dot" w:pos="8323"/>
              </w:tabs>
              <w:spacing w:line="360" w:lineRule="auto"/>
              <w:ind w:firstLine="482" w:firstLineChars="200"/>
              <w:rPr>
                <w:rFonts w:ascii="宋体" w:hAnsi="宋体" w:eastAsia="宋体" w:cs="宋体"/>
                <w:b/>
                <w:color w:val="auto"/>
                <w:sz w:val="24"/>
                <w:szCs w:val="24"/>
                <w:lang w:eastAsia="zh-CN"/>
              </w:rPr>
            </w:pPr>
            <w:r>
              <w:rPr>
                <w:rFonts w:hint="eastAsia" w:ascii="宋体" w:hAnsi="宋体" w:eastAsia="宋体" w:cs="宋体"/>
                <w:b/>
                <w:color w:val="auto"/>
                <w:sz w:val="24"/>
                <w:szCs w:val="24"/>
                <w:lang w:eastAsia="zh-CN"/>
              </w:rPr>
              <w:t>（二）学校马来西亚“天工学院”的日常运营与维护：</w:t>
            </w:r>
          </w:p>
          <w:p w14:paraId="71D830D4">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 xml:space="preserve">1.提供不少于1名工作人员，负责学校“天工学院”在境外与合作机构的日常沟通协调工作；     </w:t>
            </w:r>
          </w:p>
          <w:p w14:paraId="0DD62B8E">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2.保障与马方院校的顺利沟通以及马来西亚“天工学院”正常运行；</w:t>
            </w:r>
          </w:p>
          <w:p w14:paraId="6C51A7D9">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3.负责马来西亚学生参加项目报名及组织，协助办理来华签证及相关手续等；</w:t>
            </w:r>
          </w:p>
          <w:p w14:paraId="13A111B1">
            <w:pPr>
              <w:spacing w:line="360" w:lineRule="auto"/>
              <w:ind w:firstLine="482" w:firstLineChars="200"/>
              <w:rPr>
                <w:rFonts w:ascii="宋体" w:hAnsi="宋体" w:eastAsia="宋体" w:cs="宋体"/>
                <w:b/>
                <w:bCs/>
                <w:sz w:val="24"/>
                <w:szCs w:val="24"/>
                <w:lang w:eastAsia="zh-CN"/>
              </w:rPr>
            </w:pPr>
            <w:r>
              <w:rPr>
                <w:rFonts w:hint="eastAsia" w:ascii="宋体" w:hAnsi="宋体" w:eastAsia="宋体" w:cs="宋体"/>
                <w:b/>
                <w:bCs/>
                <w:sz w:val="24"/>
                <w:szCs w:val="24"/>
                <w:lang w:eastAsia="zh-CN"/>
              </w:rPr>
              <w:t>（三）中马方学校的日常交流与沟通，负责整理马来西亚政府针对学校“天工学院”监管、评估、复核的相关资料：</w:t>
            </w:r>
          </w:p>
          <w:p w14:paraId="25306F78">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1.负责与马方院校的日常沟通、资料收集整理等；</w:t>
            </w:r>
          </w:p>
          <w:p w14:paraId="4E3122F6">
            <w:pPr>
              <w:spacing w:line="360" w:lineRule="auto"/>
              <w:ind w:firstLine="480" w:firstLineChars="200"/>
              <w:rPr>
                <w:rFonts w:ascii="宋体" w:hAnsi="宋体" w:eastAsia="宋体" w:cs="宋体"/>
                <w:bCs/>
                <w:sz w:val="24"/>
                <w:szCs w:val="24"/>
                <w:lang w:eastAsia="zh-CN"/>
              </w:rPr>
            </w:pPr>
            <w:r>
              <w:rPr>
                <w:rFonts w:hint="eastAsia" w:ascii="宋体" w:hAnsi="宋体" w:eastAsia="宋体" w:cs="宋体"/>
                <w:bCs/>
                <w:sz w:val="24"/>
                <w:szCs w:val="24"/>
                <w:lang w:eastAsia="zh-CN"/>
              </w:rPr>
              <w:t>2.负责整理马来西亚主管教育机构针对学校“天工学院”建设过程中的监管、评估、复核所需的基础资料并进行翻译；</w:t>
            </w:r>
          </w:p>
          <w:p w14:paraId="4E172570">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其它指标：</w:t>
            </w:r>
          </w:p>
          <w:p w14:paraId="69040D01">
            <w:pPr>
              <w:pStyle w:val="3"/>
              <w:tabs>
                <w:tab w:val="left" w:pos="1680"/>
                <w:tab w:val="right" w:leader="dot" w:pos="8323"/>
              </w:tabs>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1.协助院校“天工学院”境外办学项目获得不少于1个境外国家省部级（含）以上的公开表彰不少于2项；</w:t>
            </w:r>
          </w:p>
          <w:p w14:paraId="5B73DEF7">
            <w:pPr>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2.申请加入国际职业教育联盟不少于1个；</w:t>
            </w:r>
          </w:p>
        </w:tc>
        <w:tc>
          <w:tcPr>
            <w:tcW w:w="688" w:type="dxa"/>
            <w:vAlign w:val="center"/>
          </w:tcPr>
          <w:p w14:paraId="073D9063">
            <w:pPr>
              <w:spacing w:line="360" w:lineRule="auto"/>
              <w:jc w:val="center"/>
              <w:rPr>
                <w:rFonts w:ascii="宋体" w:hAnsi="宋体" w:eastAsia="宋体" w:cs="宋体"/>
                <w:bCs/>
                <w:sz w:val="24"/>
                <w:szCs w:val="24"/>
              </w:rPr>
            </w:pPr>
            <w:r>
              <w:rPr>
                <w:rFonts w:hint="eastAsia" w:ascii="宋体" w:hAnsi="宋体" w:eastAsia="宋体" w:cs="宋体"/>
                <w:bCs/>
                <w:sz w:val="24"/>
                <w:szCs w:val="24"/>
              </w:rPr>
              <w:t>1</w:t>
            </w:r>
          </w:p>
        </w:tc>
        <w:tc>
          <w:tcPr>
            <w:tcW w:w="737" w:type="dxa"/>
            <w:vAlign w:val="center"/>
          </w:tcPr>
          <w:p w14:paraId="5FD8D398">
            <w:pPr>
              <w:spacing w:line="360" w:lineRule="auto"/>
              <w:jc w:val="center"/>
              <w:rPr>
                <w:rFonts w:ascii="宋体" w:hAnsi="宋体" w:eastAsia="宋体" w:cs="宋体"/>
                <w:bCs/>
                <w:sz w:val="24"/>
                <w:szCs w:val="24"/>
              </w:rPr>
            </w:pPr>
            <w:r>
              <w:rPr>
                <w:rFonts w:hint="eastAsia" w:ascii="宋体" w:hAnsi="宋体" w:eastAsia="宋体" w:cs="宋体"/>
                <w:bCs/>
                <w:sz w:val="24"/>
                <w:szCs w:val="24"/>
              </w:rPr>
              <w:t>项</w:t>
            </w:r>
          </w:p>
        </w:tc>
      </w:tr>
    </w:tbl>
    <w:p w14:paraId="405FD132">
      <w:pPr>
        <w:rPr>
          <w:rFonts w:ascii="宋体" w:hAnsi="宋体" w:eastAsia="宋体" w:cs="宋体"/>
          <w:b/>
          <w:bCs/>
          <w:sz w:val="32"/>
          <w:szCs w:val="32"/>
        </w:rPr>
      </w:pPr>
      <w:bookmarkStart w:id="0" w:name="_GoBack"/>
      <w:bookmarkEnd w:id="0"/>
    </w:p>
    <w:p w14:paraId="6512069D">
      <w:pPr>
        <w:rPr>
          <w:b/>
          <w:bCs/>
          <w:sz w:val="32"/>
          <w:szCs w:val="32"/>
        </w:rPr>
      </w:pPr>
      <w:r>
        <w:rPr>
          <w:rFonts w:ascii="宋体" w:hAnsi="宋体" w:eastAsia="宋体" w:cs="宋体"/>
          <w:b/>
          <w:bCs/>
          <w:sz w:val="32"/>
          <w:szCs w:val="32"/>
        </w:rPr>
        <w:t>等，详见招标文件。</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1C2DDA"/>
    <w:multiLevelType w:val="singleLevel"/>
    <w:tmpl w:val="8A1C2DDA"/>
    <w:lvl w:ilvl="0" w:tentative="0">
      <w:start w:val="6"/>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D108C9"/>
    <w:rsid w:val="5ED108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toc 1"/>
    <w:basedOn w:val="1"/>
    <w:next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2026-06-16T09:43:00Z</dcterms:created>
  <dc:creator>WPS_1620264490</dc:creator>
  <cp:lastModifiedBy>WPS_1620264490</cp:lastModifiedBy>
  <dcterms:modified xsi:type="dcterms:W3CDTF">2026-06-16T09:44:33Z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2911B545249F45129715EE4F57754E54_11</vt:lpwstr>
  </property>
  <property fmtid="{D5CDD505-2E9C-101B-9397-08002B2CF9AE}" pid="4" name="KSOTemplateDocerSaveRecord">
    <vt:lpwstr>eyJoZGlkIjoiZDZlZmQ0ZjY3MmRhNmUwZTJhMDJjOWM2ZDdlMzVhN2QiLCJ1c2VySWQiOiIxMjA4MzEzNjYwIn0=</vt:lpwstr>
  </property>
</Properties>
</file>