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431CC2">
      <w:pPr>
        <w:pageBreakBefore w:val="0"/>
        <w:widowControl w:val="0"/>
        <w:wordWrap/>
        <w:overflowPunct/>
        <w:topLinePunct w:val="0"/>
        <w:bidi w:val="0"/>
        <w:spacing w:before="63" w:line="224" w:lineRule="auto"/>
        <w:jc w:val="center"/>
        <w:rPr>
          <w:rFonts w:ascii="宋体" w:hAnsi="宋体" w:eastAsia="宋体" w:cs="宋体"/>
          <w:color w:val="auto"/>
          <w:spacing w:val="0"/>
          <w:position w:val="0"/>
          <w:sz w:val="31"/>
          <w:szCs w:val="31"/>
          <w:lang w:eastAsia="zh-CN"/>
        </w:rPr>
      </w:pPr>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第五章</w:t>
      </w:r>
      <w:r>
        <w:rPr>
          <w:rFonts w:ascii="宋体" w:hAnsi="宋体" w:eastAsia="宋体" w:cs="宋体"/>
          <w:color w:val="auto"/>
          <w:spacing w:val="0"/>
          <w:position w:val="0"/>
          <w:sz w:val="31"/>
          <w:szCs w:val="31"/>
          <w:lang w:eastAsia="zh-CN"/>
        </w:rPr>
        <w:t xml:space="preserve">  </w:t>
      </w:r>
      <w:r>
        <w:rPr>
          <w:rFonts w:ascii="宋体" w:hAnsi="宋体" w:eastAsia="宋体" w:cs="宋体"/>
          <w:color w:val="auto"/>
          <w:spacing w:val="0"/>
          <w:position w:val="0"/>
          <w:sz w:val="31"/>
          <w:szCs w:val="31"/>
          <w:lang w:eastAsia="zh-CN"/>
          <w14:textOutline w14:w="5791" w14:cap="sq" w14:cmpd="sng" w14:algn="ctr">
            <w14:solidFill>
              <w14:srgbClr w14:val="000000"/>
            </w14:solidFill>
            <w14:prstDash w14:val="solid"/>
            <w14:bevel/>
          </w14:textOutline>
        </w:rPr>
        <w:t>采购需求</w:t>
      </w:r>
    </w:p>
    <w:p w14:paraId="30E6CAC8">
      <w:pPr>
        <w:pageBreakBefore w:val="0"/>
        <w:widowControl w:val="0"/>
        <w:wordWrap/>
        <w:overflowPunct/>
        <w:topLinePunct w:val="0"/>
        <w:bidi w:val="0"/>
        <w:spacing w:line="309" w:lineRule="auto"/>
        <w:rPr>
          <w:color w:val="auto"/>
          <w:spacing w:val="0"/>
          <w:position w:val="0"/>
          <w:lang w:eastAsia="zh-CN"/>
        </w:rPr>
      </w:pPr>
    </w:p>
    <w:p w14:paraId="3E6949F1">
      <w:pPr>
        <w:pageBreakBefore w:val="0"/>
        <w:widowControl w:val="0"/>
        <w:wordWrap/>
        <w:overflowPunct/>
        <w:topLinePunct w:val="0"/>
        <w:bidi w:val="0"/>
        <w:spacing w:before="78" w:line="220" w:lineRule="auto"/>
        <w:outlineLvl w:val="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position w:val="0"/>
          <w:sz w:val="24"/>
          <w:szCs w:val="24"/>
          <w:lang w:val="en-US" w:eastAsia="zh-CN"/>
          <w14:textOutline w14:w="4356" w14:cap="sq" w14:cmpd="sng" w14:algn="ctr">
            <w14:solidFill>
              <w14:srgbClr w14:val="000000"/>
            </w14:solidFill>
            <w14:prstDash w14:val="solid"/>
            <w14:bevel/>
          </w14:textOutline>
        </w:rPr>
        <w:t>采购</w:t>
      </w:r>
      <w:r>
        <w:rPr>
          <w:rFonts w:ascii="宋体" w:hAnsi="宋体" w:eastAsia="宋体" w:cs="宋体"/>
          <w:color w:val="auto"/>
          <w:spacing w:val="0"/>
          <w:position w:val="0"/>
          <w:sz w:val="24"/>
          <w:szCs w:val="24"/>
          <w14:textOutline w14:w="4356" w14:cap="sq" w14:cmpd="sng" w14:algn="ctr">
            <w14:solidFill>
              <w14:srgbClr w14:val="000000"/>
            </w14:solidFill>
            <w14:prstDash w14:val="solid"/>
            <w14:bevel/>
          </w14:textOutline>
        </w:rPr>
        <w:t>需求表</w:t>
      </w:r>
    </w:p>
    <w:p w14:paraId="5F739219">
      <w:pPr>
        <w:pageBreakBefore w:val="0"/>
        <w:widowControl w:val="0"/>
        <w:wordWrap/>
        <w:overflowPunct/>
        <w:topLinePunct w:val="0"/>
        <w:bidi w:val="0"/>
        <w:spacing w:before="64"/>
        <w:rPr>
          <w:color w:val="auto"/>
          <w:spacing w:val="0"/>
          <w:position w:val="0"/>
        </w:rPr>
      </w:pPr>
    </w:p>
    <w:tbl>
      <w:tblPr>
        <w:tblStyle w:val="6"/>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48"/>
        <w:gridCol w:w="817"/>
        <w:gridCol w:w="6150"/>
      </w:tblGrid>
      <w:tr w14:paraId="09CD79B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48" w:type="dxa"/>
            <w:tcBorders>
              <w:right w:val="nil"/>
            </w:tcBorders>
          </w:tcPr>
          <w:p w14:paraId="0D42D705">
            <w:pPr>
              <w:pageBreakBefore w:val="0"/>
              <w:widowControl w:val="0"/>
              <w:wordWrap/>
              <w:overflowPunct/>
              <w:topLinePunct w:val="0"/>
              <w:bidi w:val="0"/>
              <w:spacing w:before="183" w:line="223" w:lineRule="auto"/>
              <w:ind w:left="1091"/>
              <w:rPr>
                <w:rFonts w:ascii="宋体" w:hAnsi="宋体" w:eastAsia="宋体" w:cs="宋体"/>
                <w:color w:val="auto"/>
                <w:spacing w:val="0"/>
                <w:position w:val="0"/>
                <w:sz w:val="24"/>
                <w:szCs w:val="24"/>
              </w:rPr>
            </w:pPr>
            <w:bookmarkStart w:id="1" w:name="_GoBack"/>
            <w:r>
              <w:rPr>
                <w:color w:val="auto"/>
                <w:spacing w:val="0"/>
                <w:position w:val="0"/>
              </w:rPr>
              <w:drawing>
                <wp:anchor distT="0" distB="0" distL="0" distR="0" simplePos="0" relativeHeight="251660288"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805051" cy="1485442"/>
                          </a:xfrm>
                          <a:prstGeom prst="rect">
                            <a:avLst/>
                          </a:prstGeom>
                        </pic:spPr>
                      </pic:pic>
                    </a:graphicData>
                  </a:graphic>
                </wp:anchor>
              </w:drawing>
            </w:r>
            <w:bookmarkEnd w:id="1"/>
            <w:r>
              <w:rPr>
                <w:rFonts w:ascii="宋体" w:hAnsi="宋体" w:eastAsia="宋体" w:cs="宋体"/>
                <w:color w:val="auto"/>
                <w:spacing w:val="0"/>
                <w:position w:val="0"/>
                <w:sz w:val="24"/>
                <w:szCs w:val="24"/>
              </w:rPr>
              <w:t>名</w:t>
            </w:r>
          </w:p>
          <w:p w14:paraId="7F4DE6C5">
            <w:pPr>
              <w:pStyle w:val="7"/>
              <w:pageBreakBefore w:val="0"/>
              <w:widowControl w:val="0"/>
              <w:wordWrap/>
              <w:overflowPunct/>
              <w:topLinePunct w:val="0"/>
              <w:bidi w:val="0"/>
              <w:spacing w:line="245" w:lineRule="auto"/>
              <w:rPr>
                <w:color w:val="auto"/>
                <w:spacing w:val="0"/>
                <w:position w:val="0"/>
              </w:rPr>
            </w:pPr>
          </w:p>
          <w:p w14:paraId="48CD3627">
            <w:pPr>
              <w:pStyle w:val="7"/>
              <w:pageBreakBefore w:val="0"/>
              <w:widowControl w:val="0"/>
              <w:wordWrap/>
              <w:overflowPunct/>
              <w:topLinePunct w:val="0"/>
              <w:bidi w:val="0"/>
              <w:spacing w:line="246" w:lineRule="auto"/>
              <w:rPr>
                <w:color w:val="auto"/>
                <w:spacing w:val="0"/>
                <w:position w:val="0"/>
              </w:rPr>
            </w:pPr>
          </w:p>
          <w:p w14:paraId="0B8A177C">
            <w:pPr>
              <w:pageBreakBefore w:val="0"/>
              <w:widowControl w:val="0"/>
              <w:wordWrap/>
              <w:overflowPunct/>
              <w:topLinePunct w:val="0"/>
              <w:bidi w:val="0"/>
              <w:spacing w:before="78" w:line="219" w:lineRule="auto"/>
              <w:ind w:left="48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内</w:t>
            </w:r>
          </w:p>
          <w:p w14:paraId="28E8E994">
            <w:pPr>
              <w:pStyle w:val="7"/>
              <w:pageBreakBefore w:val="0"/>
              <w:widowControl w:val="0"/>
              <w:wordWrap/>
              <w:overflowPunct/>
              <w:topLinePunct w:val="0"/>
              <w:bidi w:val="0"/>
              <w:spacing w:line="338" w:lineRule="auto"/>
              <w:rPr>
                <w:color w:val="auto"/>
                <w:spacing w:val="0"/>
                <w:position w:val="0"/>
              </w:rPr>
            </w:pPr>
          </w:p>
          <w:p w14:paraId="1E37CBA5">
            <w:pPr>
              <w:pageBreakBefore w:val="0"/>
              <w:widowControl w:val="0"/>
              <w:wordWrap/>
              <w:overflowPunct/>
              <w:topLinePunct w:val="0"/>
              <w:bidi w:val="0"/>
              <w:spacing w:before="78" w:line="220" w:lineRule="auto"/>
              <w:ind w:left="1311"/>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容</w:t>
            </w:r>
          </w:p>
        </w:tc>
        <w:tc>
          <w:tcPr>
            <w:tcW w:w="817" w:type="dxa"/>
            <w:tcBorders>
              <w:left w:val="nil"/>
            </w:tcBorders>
          </w:tcPr>
          <w:p w14:paraId="32FF109B">
            <w:pPr>
              <w:pStyle w:val="7"/>
              <w:pageBreakBefore w:val="0"/>
              <w:widowControl w:val="0"/>
              <w:wordWrap/>
              <w:overflowPunct/>
              <w:topLinePunct w:val="0"/>
              <w:bidi w:val="0"/>
              <w:spacing w:line="263" w:lineRule="auto"/>
              <w:rPr>
                <w:color w:val="auto"/>
                <w:spacing w:val="0"/>
                <w:position w:val="0"/>
              </w:rPr>
            </w:pPr>
          </w:p>
          <w:p w14:paraId="05E0F17E">
            <w:pPr>
              <w:pStyle w:val="7"/>
              <w:pageBreakBefore w:val="0"/>
              <w:widowControl w:val="0"/>
              <w:wordWrap/>
              <w:overflowPunct/>
              <w:topLinePunct w:val="0"/>
              <w:bidi w:val="0"/>
              <w:spacing w:line="263" w:lineRule="auto"/>
              <w:rPr>
                <w:color w:val="auto"/>
                <w:spacing w:val="0"/>
                <w:position w:val="0"/>
              </w:rPr>
            </w:pPr>
          </w:p>
          <w:p w14:paraId="309D1F5B">
            <w:pPr>
              <w:pStyle w:val="7"/>
              <w:pageBreakBefore w:val="0"/>
              <w:widowControl w:val="0"/>
              <w:wordWrap/>
              <w:overflowPunct/>
              <w:topLinePunct w:val="0"/>
              <w:bidi w:val="0"/>
              <w:spacing w:line="264" w:lineRule="auto"/>
              <w:rPr>
                <w:color w:val="auto"/>
                <w:spacing w:val="0"/>
                <w:position w:val="0"/>
              </w:rPr>
            </w:pPr>
          </w:p>
          <w:p w14:paraId="1E3BFF19">
            <w:pPr>
              <w:pageBreakBefore w:val="0"/>
              <w:widowControl w:val="0"/>
              <w:wordWrap/>
              <w:overflowPunct/>
              <w:topLinePunct w:val="0"/>
              <w:bidi w:val="0"/>
              <w:spacing w:before="78" w:line="221" w:lineRule="auto"/>
              <w:ind w:left="192"/>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称</w:t>
            </w:r>
          </w:p>
        </w:tc>
        <w:tc>
          <w:tcPr>
            <w:tcW w:w="6150" w:type="dxa"/>
          </w:tcPr>
          <w:p w14:paraId="69EC40E6">
            <w:pPr>
              <w:pageBreakBefore w:val="0"/>
              <w:widowControl w:val="0"/>
              <w:wordWrap/>
              <w:overflowPunct/>
              <w:topLinePunct w:val="0"/>
              <w:bidi w:val="0"/>
              <w:spacing w:before="253" w:line="219" w:lineRule="auto"/>
              <w:ind w:left="1071"/>
              <w:jc w:val="center"/>
              <w:rPr>
                <w:rFonts w:hint="eastAsia" w:ascii="宋体" w:hAnsi="宋体" w:eastAsia="宋体" w:cs="宋体"/>
                <w:color w:val="auto"/>
                <w:spacing w:val="0"/>
                <w:position w:val="0"/>
                <w:sz w:val="24"/>
                <w:szCs w:val="24"/>
                <w:lang w:val="en-US" w:eastAsia="zh-CN"/>
              </w:rPr>
            </w:pPr>
          </w:p>
          <w:p w14:paraId="13617741">
            <w:pPr>
              <w:pageBreakBefore w:val="0"/>
              <w:widowControl w:val="0"/>
              <w:wordWrap/>
              <w:overflowPunct/>
              <w:topLinePunct w:val="0"/>
              <w:bidi w:val="0"/>
              <w:spacing w:before="253" w:line="219" w:lineRule="auto"/>
              <w:ind w:left="1071"/>
              <w:jc w:val="center"/>
              <w:rPr>
                <w:rFonts w:hint="eastAsia" w:ascii="宋体" w:hAnsi="宋体" w:eastAsia="宋体" w:cs="宋体"/>
                <w:color w:val="auto"/>
                <w:spacing w:val="0"/>
                <w:position w:val="0"/>
                <w:sz w:val="24"/>
                <w:szCs w:val="24"/>
                <w:lang w:val="en-US" w:eastAsia="zh-CN"/>
              </w:rPr>
            </w:pPr>
          </w:p>
          <w:p w14:paraId="0E11B00B">
            <w:pPr>
              <w:pageBreakBefore w:val="0"/>
              <w:widowControl w:val="0"/>
              <w:wordWrap/>
              <w:overflowPunct/>
              <w:topLinePunct w:val="0"/>
              <w:bidi w:val="0"/>
              <w:spacing w:before="253" w:line="219" w:lineRule="auto"/>
              <w:ind w:left="1071"/>
              <w:jc w:val="cente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鹰潭一中食堂餐饮服务项目2026（第二次）</w:t>
            </w:r>
          </w:p>
        </w:tc>
      </w:tr>
      <w:tr w14:paraId="44E2945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9" w:hRule="atLeast"/>
        </w:trPr>
        <w:tc>
          <w:tcPr>
            <w:tcW w:w="2865" w:type="dxa"/>
            <w:gridSpan w:val="2"/>
          </w:tcPr>
          <w:p w14:paraId="700D095A">
            <w:pPr>
              <w:pageBreakBefore w:val="0"/>
              <w:widowControl w:val="0"/>
              <w:wordWrap/>
              <w:overflowPunct/>
              <w:topLinePunct w:val="0"/>
              <w:bidi w:val="0"/>
              <w:spacing w:before="253" w:line="219" w:lineRule="auto"/>
              <w:ind w:left="1188"/>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数量</w:t>
            </w:r>
          </w:p>
        </w:tc>
        <w:tc>
          <w:tcPr>
            <w:tcW w:w="6150" w:type="dxa"/>
          </w:tcPr>
          <w:p w14:paraId="2F349A5E">
            <w:pPr>
              <w:pageBreakBefore w:val="0"/>
              <w:widowControl w:val="0"/>
              <w:wordWrap/>
              <w:overflowPunct/>
              <w:topLinePunct w:val="0"/>
              <w:bidi w:val="0"/>
              <w:spacing w:before="253" w:line="219" w:lineRule="auto"/>
              <w:ind w:left="1071"/>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1项</w:t>
            </w:r>
          </w:p>
        </w:tc>
      </w:tr>
      <w:tr w14:paraId="4BD591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865" w:type="dxa"/>
            <w:gridSpan w:val="2"/>
          </w:tcPr>
          <w:p w14:paraId="4F1711F5">
            <w:pPr>
              <w:pageBreakBefore w:val="0"/>
              <w:widowControl w:val="0"/>
              <w:wordWrap/>
              <w:overflowPunct/>
              <w:topLinePunct w:val="0"/>
              <w:bidi w:val="0"/>
              <w:spacing w:before="253" w:line="219" w:lineRule="auto"/>
              <w:ind w:left="1071"/>
              <w:rPr>
                <w:rFonts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服务</w:t>
            </w:r>
            <w:r>
              <w:rPr>
                <w:rFonts w:ascii="宋体" w:hAnsi="宋体" w:eastAsia="宋体" w:cs="宋体"/>
                <w:color w:val="auto"/>
                <w:spacing w:val="0"/>
                <w:position w:val="0"/>
                <w:sz w:val="24"/>
                <w:szCs w:val="24"/>
              </w:rPr>
              <w:t>期</w:t>
            </w:r>
          </w:p>
        </w:tc>
        <w:tc>
          <w:tcPr>
            <w:tcW w:w="6150" w:type="dxa"/>
          </w:tcPr>
          <w:p w14:paraId="25152DAD">
            <w:pPr>
              <w:pageBreakBefore w:val="0"/>
              <w:widowControl w:val="0"/>
              <w:wordWrap/>
              <w:overflowPunct/>
              <w:topLinePunct w:val="0"/>
              <w:bidi w:val="0"/>
              <w:spacing w:before="253" w:line="219" w:lineRule="auto"/>
              <w:ind w:left="1071"/>
              <w:jc w:val="cente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三年（从2026年9月1日起至2029年7月31日止）</w:t>
            </w:r>
          </w:p>
        </w:tc>
      </w:tr>
      <w:tr w14:paraId="3969F44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94" w:hRule="atLeast"/>
        </w:trPr>
        <w:tc>
          <w:tcPr>
            <w:tcW w:w="2865" w:type="dxa"/>
            <w:gridSpan w:val="2"/>
          </w:tcPr>
          <w:p w14:paraId="20569D79">
            <w:pPr>
              <w:pageBreakBefore w:val="0"/>
              <w:widowControl w:val="0"/>
              <w:wordWrap/>
              <w:overflowPunct/>
              <w:topLinePunct w:val="0"/>
              <w:bidi w:val="0"/>
              <w:spacing w:before="256" w:line="219" w:lineRule="auto"/>
              <w:ind w:left="951"/>
              <w:rPr>
                <w:rFonts w:ascii="宋体" w:hAnsi="宋体" w:eastAsia="宋体" w:cs="宋体"/>
                <w:color w:val="auto"/>
                <w:spacing w:val="0"/>
                <w:position w:val="0"/>
                <w:sz w:val="24"/>
                <w:szCs w:val="24"/>
              </w:rPr>
            </w:pPr>
            <w:r>
              <w:rPr>
                <w:rFonts w:hint="eastAsia" w:ascii="宋体" w:hAnsi="宋体" w:eastAsia="宋体" w:cs="宋体"/>
                <w:color w:val="auto"/>
                <w:spacing w:val="0"/>
                <w:position w:val="0"/>
                <w:sz w:val="24"/>
                <w:szCs w:val="24"/>
                <w:lang w:val="en-US" w:eastAsia="zh-CN"/>
              </w:rPr>
              <w:t>服务</w:t>
            </w:r>
            <w:r>
              <w:rPr>
                <w:rFonts w:ascii="宋体" w:hAnsi="宋体" w:eastAsia="宋体" w:cs="宋体"/>
                <w:color w:val="auto"/>
                <w:spacing w:val="0"/>
                <w:position w:val="0"/>
                <w:sz w:val="24"/>
                <w:szCs w:val="24"/>
              </w:rPr>
              <w:t>地点</w:t>
            </w:r>
          </w:p>
        </w:tc>
        <w:tc>
          <w:tcPr>
            <w:tcW w:w="6150" w:type="dxa"/>
          </w:tcPr>
          <w:p w14:paraId="6AF95DC6">
            <w:pPr>
              <w:pageBreakBefore w:val="0"/>
              <w:widowControl w:val="0"/>
              <w:wordWrap/>
              <w:overflowPunct/>
              <w:topLinePunct w:val="0"/>
              <w:bidi w:val="0"/>
              <w:spacing w:before="253" w:line="219" w:lineRule="auto"/>
              <w:ind w:left="1071"/>
              <w:jc w:val="center"/>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鹰潭一中校内食堂</w:t>
            </w:r>
          </w:p>
        </w:tc>
      </w:tr>
      <w:tr w14:paraId="747894C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89" w:hRule="atLeast"/>
        </w:trPr>
        <w:tc>
          <w:tcPr>
            <w:tcW w:w="2865" w:type="dxa"/>
            <w:gridSpan w:val="2"/>
          </w:tcPr>
          <w:p w14:paraId="54F338C6">
            <w:pPr>
              <w:pageBreakBefore w:val="0"/>
              <w:widowControl w:val="0"/>
              <w:wordWrap/>
              <w:overflowPunct/>
              <w:topLinePunct w:val="0"/>
              <w:bidi w:val="0"/>
              <w:spacing w:before="256" w:line="221" w:lineRule="auto"/>
              <w:ind w:left="1189"/>
              <w:rPr>
                <w:rFonts w:ascii="宋体" w:hAnsi="宋体" w:eastAsia="宋体" w:cs="宋体"/>
                <w:color w:val="auto"/>
                <w:spacing w:val="0"/>
                <w:position w:val="0"/>
                <w:sz w:val="24"/>
                <w:szCs w:val="24"/>
              </w:rPr>
            </w:pPr>
            <w:r>
              <w:rPr>
                <w:rFonts w:ascii="宋体" w:hAnsi="宋体" w:eastAsia="宋体" w:cs="宋体"/>
                <w:color w:val="auto"/>
                <w:spacing w:val="0"/>
                <w:position w:val="0"/>
                <w:sz w:val="24"/>
                <w:szCs w:val="24"/>
              </w:rPr>
              <w:t>备注</w:t>
            </w:r>
          </w:p>
        </w:tc>
        <w:tc>
          <w:tcPr>
            <w:tcW w:w="6150" w:type="dxa"/>
          </w:tcPr>
          <w:p w14:paraId="0DF1623E">
            <w:pPr>
              <w:pageBreakBefore w:val="0"/>
              <w:widowControl w:val="0"/>
              <w:wordWrap/>
              <w:overflowPunct/>
              <w:topLinePunct w:val="0"/>
              <w:bidi w:val="0"/>
              <w:spacing w:before="253" w:line="219" w:lineRule="auto"/>
              <w:ind w:left="1071"/>
              <w:jc w:val="center"/>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其他要求按招标文件执行</w:t>
            </w:r>
          </w:p>
        </w:tc>
      </w:tr>
    </w:tbl>
    <w:p w14:paraId="17675241">
      <w:pPr>
        <w:pageBreakBefore w:val="0"/>
        <w:widowControl w:val="0"/>
        <w:wordWrap/>
        <w:overflowPunct/>
        <w:topLinePunct w:val="0"/>
        <w:bidi w:val="0"/>
        <w:rPr>
          <w:color w:val="auto"/>
          <w:spacing w:val="0"/>
          <w:position w:val="0"/>
        </w:rPr>
      </w:pPr>
    </w:p>
    <w:p w14:paraId="16243D57">
      <w:pPr>
        <w:pageBreakBefore w:val="0"/>
        <w:widowControl w:val="0"/>
        <w:wordWrap/>
        <w:overflowPunct/>
        <w:topLinePunct w:val="0"/>
        <w:bidi w:val="0"/>
        <w:rPr>
          <w:color w:val="auto"/>
          <w:spacing w:val="0"/>
          <w:position w:val="0"/>
        </w:rPr>
        <w:sectPr>
          <w:footerReference r:id="rId3" w:type="default"/>
          <w:pgSz w:w="11906" w:h="16839"/>
          <w:pgMar w:top="1429" w:right="1786" w:bottom="1429" w:left="1786" w:header="0" w:footer="994" w:gutter="0"/>
          <w:pgNumType w:fmt="decimal"/>
          <w:cols w:space="720" w:num="1"/>
        </w:sectPr>
      </w:pPr>
    </w:p>
    <w:p w14:paraId="56C6DF95">
      <w:pPr>
        <w:pageBreakBefore w:val="0"/>
        <w:widowControl w:val="0"/>
        <w:wordWrap/>
        <w:overflowPunct/>
        <w:topLinePunct w:val="0"/>
        <w:bidi w:val="0"/>
        <w:spacing w:before="47" w:line="219" w:lineRule="auto"/>
        <w:ind w:left="3805"/>
        <w:outlineLvl w:val="1"/>
        <w:rPr>
          <w:rFonts w:ascii="宋体" w:hAnsi="宋体" w:eastAsia="宋体" w:cs="宋体"/>
          <w:color w:val="auto"/>
          <w:spacing w:val="0"/>
          <w:position w:val="0"/>
          <w:sz w:val="36"/>
          <w:szCs w:val="36"/>
        </w:rPr>
      </w:pPr>
      <w:bookmarkStart w:id="0" w:name="bookmark81"/>
      <w:bookmarkEnd w:id="0"/>
      <w:r>
        <w:rPr>
          <w:rFonts w:ascii="宋体" w:hAnsi="宋体" w:eastAsia="宋体" w:cs="宋体"/>
          <w:color w:val="auto"/>
          <w:spacing w:val="0"/>
          <w:position w:val="0"/>
          <w:sz w:val="36"/>
          <w:szCs w:val="36"/>
          <w14:textOutline w14:w="4356" w14:cap="sq" w14:cmpd="sng" w14:algn="ctr">
            <w14:solidFill>
              <w14:srgbClr w14:val="000000"/>
            </w14:solidFill>
            <w14:prstDash w14:val="solid"/>
            <w14:bevel/>
          </w14:textOutline>
        </w:rPr>
        <w:t>二、采购需求</w:t>
      </w:r>
    </w:p>
    <w:p w14:paraId="474EAFDC">
      <w:pPr>
        <w:pageBreakBefore w:val="0"/>
        <w:widowControl w:val="0"/>
        <w:wordWrap/>
        <w:overflowPunct/>
        <w:topLinePunct w:val="0"/>
        <w:bidi w:val="0"/>
        <w:spacing w:line="257" w:lineRule="auto"/>
        <w:rPr>
          <w:color w:val="auto"/>
          <w:spacing w:val="0"/>
          <w:position w:val="0"/>
        </w:rPr>
      </w:pPr>
    </w:p>
    <w:tbl>
      <w:tblPr>
        <w:tblStyle w:val="4"/>
        <w:tblW w:w="10237" w:type="dxa"/>
        <w:tblInd w:w="-18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362"/>
        <w:gridCol w:w="4500"/>
        <w:gridCol w:w="1375"/>
      </w:tblGrid>
      <w:tr w14:paraId="2C80B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62" w:type="dxa"/>
            <w:vAlign w:val="center"/>
          </w:tcPr>
          <w:p w14:paraId="1A86D866">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center"/>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标的名称</w:t>
            </w:r>
          </w:p>
        </w:tc>
        <w:tc>
          <w:tcPr>
            <w:tcW w:w="4500" w:type="dxa"/>
            <w:vAlign w:val="center"/>
          </w:tcPr>
          <w:p w14:paraId="26FF4D50">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center"/>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预算金额</w:t>
            </w:r>
          </w:p>
        </w:tc>
        <w:tc>
          <w:tcPr>
            <w:tcW w:w="1375" w:type="dxa"/>
            <w:vAlign w:val="center"/>
          </w:tcPr>
          <w:p w14:paraId="6C206093">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center"/>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数量</w:t>
            </w:r>
          </w:p>
        </w:tc>
      </w:tr>
      <w:tr w14:paraId="219E07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362" w:type="dxa"/>
            <w:vAlign w:val="center"/>
          </w:tcPr>
          <w:p w14:paraId="63D7C538">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center"/>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鹰潭一中食堂餐饮服务项目2026（第二次）</w:t>
            </w:r>
          </w:p>
        </w:tc>
        <w:tc>
          <w:tcPr>
            <w:tcW w:w="4500" w:type="dxa"/>
            <w:vAlign w:val="center"/>
          </w:tcPr>
          <w:p w14:paraId="22C25377">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center"/>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1800000.00元人民币</w:t>
            </w:r>
          </w:p>
        </w:tc>
        <w:tc>
          <w:tcPr>
            <w:tcW w:w="1375" w:type="dxa"/>
            <w:vAlign w:val="center"/>
          </w:tcPr>
          <w:p w14:paraId="01E29091">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center"/>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1项</w:t>
            </w:r>
          </w:p>
        </w:tc>
      </w:tr>
    </w:tbl>
    <w:p w14:paraId="725DA96E">
      <w:pPr>
        <w:pageBreakBefore w:val="0"/>
        <w:widowControl w:val="0"/>
        <w:wordWrap/>
        <w:overflowPunct/>
        <w:topLinePunct w:val="0"/>
        <w:bidi w:val="0"/>
        <w:spacing w:line="258" w:lineRule="auto"/>
        <w:rPr>
          <w:color w:val="auto"/>
          <w:spacing w:val="0"/>
          <w:position w:val="0"/>
        </w:rPr>
      </w:pPr>
    </w:p>
    <w:p w14:paraId="551FB056">
      <w:pPr>
        <w:pageBreakBefore w:val="0"/>
        <w:widowControl w:val="0"/>
        <w:wordWrap/>
        <w:overflowPunct/>
        <w:topLinePunct w:val="0"/>
        <w:bidi w:val="0"/>
        <w:spacing w:line="258" w:lineRule="auto"/>
        <w:rPr>
          <w:color w:val="auto"/>
          <w:spacing w:val="0"/>
          <w:position w:val="0"/>
        </w:rPr>
      </w:pPr>
      <w:r>
        <w:rPr>
          <w:rFonts w:hint="eastAsia" w:ascii="宋体" w:hAnsi="宋体" w:eastAsia="宋体" w:cs="宋体"/>
          <w:b/>
          <w:bCs/>
          <w:color w:val="auto"/>
          <w:spacing w:val="0"/>
          <w:position w:val="0"/>
          <w:sz w:val="24"/>
          <w:szCs w:val="24"/>
          <w:highlight w:val="none"/>
          <w:lang w:val="en-US" w:eastAsia="zh-CN"/>
        </w:rPr>
        <w:t>注：采购预算作为招标预算，最终结算金额按食堂每月营业额*中标服务费率（21.5%～22%期间）计算为准。</w:t>
      </w:r>
      <w:r>
        <w:rPr>
          <w:rFonts w:hint="eastAsia"/>
          <w:color w:val="auto"/>
          <w:spacing w:val="0"/>
          <w:position w:val="0"/>
        </w:rPr>
        <w:t xml:space="preserve"> </w:t>
      </w:r>
    </w:p>
    <w:p w14:paraId="31E2C5C3">
      <w:pPr>
        <w:pageBreakBefore w:val="0"/>
        <w:widowControl w:val="0"/>
        <w:wordWrap/>
        <w:overflowPunct/>
        <w:topLinePunct w:val="0"/>
        <w:bidi w:val="0"/>
        <w:spacing w:before="78" w:line="219" w:lineRule="auto"/>
        <w:rPr>
          <w:rFonts w:ascii="宋体" w:hAnsi="宋体" w:eastAsia="宋体" w:cs="宋体"/>
          <w:color w:val="auto"/>
          <w:spacing w:val="0"/>
          <w:position w:val="0"/>
          <w:sz w:val="32"/>
          <w:szCs w:val="32"/>
        </w:rPr>
      </w:pPr>
      <w:r>
        <w:rPr>
          <w:rFonts w:ascii="宋体" w:hAnsi="宋体" w:eastAsia="宋体" w:cs="宋体"/>
          <w:color w:val="auto"/>
          <w:spacing w:val="0"/>
          <w:position w:val="0"/>
          <w:sz w:val="32"/>
          <w:szCs w:val="32"/>
        </w:rPr>
        <w:t xml:space="preserve">（一） </w:t>
      </w:r>
      <w:r>
        <w:rPr>
          <w:rFonts w:hint="eastAsia" w:ascii="宋体" w:hAnsi="宋体" w:eastAsia="宋体" w:cs="宋体"/>
          <w:color w:val="auto"/>
          <w:spacing w:val="0"/>
          <w:position w:val="0"/>
          <w:sz w:val="32"/>
          <w:szCs w:val="32"/>
          <w:lang w:val="en-US" w:eastAsia="zh-CN"/>
        </w:rPr>
        <w:t>服务</w:t>
      </w:r>
      <w:r>
        <w:rPr>
          <w:rFonts w:ascii="宋体" w:hAnsi="宋体" w:eastAsia="宋体" w:cs="宋体"/>
          <w:color w:val="auto"/>
          <w:spacing w:val="0"/>
          <w:position w:val="0"/>
          <w:sz w:val="32"/>
          <w:szCs w:val="32"/>
        </w:rPr>
        <w:t>需求</w:t>
      </w:r>
    </w:p>
    <w:p w14:paraId="400FA9B4">
      <w:pPr>
        <w:pageBreakBefore w:val="0"/>
        <w:widowControl w:val="0"/>
        <w:wordWrap/>
        <w:overflowPunct/>
        <w:topLinePunct w:val="0"/>
        <w:bidi w:val="0"/>
        <w:spacing w:line="242" w:lineRule="auto"/>
        <w:rPr>
          <w:color w:val="auto"/>
          <w:spacing w:val="0"/>
          <w:position w:val="0"/>
        </w:rPr>
      </w:pPr>
    </w:p>
    <w:p w14:paraId="23197A28">
      <w:pPr>
        <w:spacing w:line="560" w:lineRule="exact"/>
        <w:ind w:firstLine="643" w:firstLineChars="200"/>
        <w:jc w:val="left"/>
        <w:rPr>
          <w:rFonts w:hint="eastAsia" w:ascii="楷体" w:hAnsi="楷体" w:eastAsia="楷体"/>
          <w:b/>
          <w:bCs/>
          <w:color w:val="000000" w:themeColor="text1"/>
          <w:sz w:val="32"/>
          <w:szCs w:val="32"/>
          <w:lang w:val="en-US" w:eastAsia="zh-CN"/>
          <w14:textFill>
            <w14:solidFill>
              <w14:schemeClr w14:val="tx1"/>
            </w14:solidFill>
          </w14:textFill>
        </w:rPr>
      </w:pPr>
      <w:r>
        <w:rPr>
          <w:rFonts w:hint="eastAsia" w:ascii="楷体" w:hAnsi="楷体" w:eastAsia="楷体"/>
          <w:b/>
          <w:bCs/>
          <w:color w:val="000000" w:themeColor="text1"/>
          <w:sz w:val="32"/>
          <w:szCs w:val="32"/>
          <w:lang w:val="en-US" w:eastAsia="zh-CN"/>
          <w14:textFill>
            <w14:solidFill>
              <w14:schemeClr w14:val="tx1"/>
            </w14:solidFill>
          </w14:textFill>
        </w:rPr>
        <w:t>（一）项目概况</w:t>
      </w:r>
    </w:p>
    <w:p w14:paraId="3A46A2D5">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学校免费向中标方提供目前属于学校食堂的场地及食堂正常运营必要设备设施、用具使用权。上述物品经清点（按交接清单双方签名）后，交中标方使用，服务期满后，中标方应将上述物品交还学校，如有遗失、损坏，中标方负</w:t>
      </w:r>
      <w:r>
        <w:rPr>
          <w:rFonts w:hint="eastAsia" w:ascii="宋体" w:hAnsi="宋体" w:eastAsia="宋体" w:cs="宋体"/>
          <w:color w:val="auto"/>
          <w:spacing w:val="0"/>
          <w:position w:val="0"/>
          <w:sz w:val="24"/>
          <w:szCs w:val="24"/>
          <w:highlight w:val="none"/>
          <w:lang w:val="en-US" w:eastAsia="zh-CN"/>
        </w:rPr>
        <w:t>责</w:t>
      </w:r>
      <w:r>
        <w:rPr>
          <w:rFonts w:hint="default" w:ascii="宋体" w:hAnsi="宋体" w:eastAsia="宋体" w:cs="宋体"/>
          <w:color w:val="auto"/>
          <w:spacing w:val="0"/>
          <w:position w:val="0"/>
          <w:sz w:val="24"/>
          <w:szCs w:val="24"/>
          <w:highlight w:val="none"/>
          <w:lang w:val="en-US" w:eastAsia="zh-CN"/>
        </w:rPr>
        <w:t>赔偿（自然损耗除外）。</w:t>
      </w:r>
    </w:p>
    <w:p w14:paraId="4A7249B9">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服务期内，学校负责免费提供食堂的水、电、燃料（气）和所有的耗材、粮油及食材，中标方负责包括但不限于食材烹饪、食堂日常管理、餐厅卫生清洁、就餐服务和迎接相关部门检查（含填报各种检查台账）等工作。</w:t>
      </w:r>
    </w:p>
    <w:p w14:paraId="69544F78">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学校将不定期对食堂日常管理、卫生和设施设备安全进行检查。学校监督供应商依法运营、安全生产、合同履行并做好协调工作。</w:t>
      </w:r>
    </w:p>
    <w:p w14:paraId="7D023349">
      <w:pPr>
        <w:spacing w:line="560" w:lineRule="exact"/>
        <w:ind w:firstLine="643" w:firstLineChars="200"/>
        <w:jc w:val="left"/>
        <w:rPr>
          <w:rFonts w:hint="eastAsia" w:ascii="楷体" w:hAnsi="楷体" w:eastAsia="楷体"/>
          <w:b/>
          <w:bCs/>
          <w:color w:val="000000" w:themeColor="text1"/>
          <w:sz w:val="32"/>
          <w:szCs w:val="32"/>
          <w:lang w:val="en-US" w:eastAsia="zh-CN"/>
          <w14:textFill>
            <w14:solidFill>
              <w14:schemeClr w14:val="tx1"/>
            </w14:solidFill>
          </w14:textFill>
        </w:rPr>
      </w:pPr>
      <w:r>
        <w:rPr>
          <w:rFonts w:hint="eastAsia" w:ascii="楷体" w:hAnsi="楷体" w:eastAsia="楷体"/>
          <w:b/>
          <w:bCs/>
          <w:color w:val="000000" w:themeColor="text1"/>
          <w:sz w:val="32"/>
          <w:szCs w:val="32"/>
          <w:lang w:val="en-US" w:eastAsia="zh-CN"/>
          <w14:textFill>
            <w14:solidFill>
              <w14:schemeClr w14:val="tx1"/>
            </w14:solidFill>
          </w14:textFill>
        </w:rPr>
        <w:t>（二）餐饮服务内容与要求</w:t>
      </w:r>
    </w:p>
    <w:p w14:paraId="1B3D70AB">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1．中标方应按照学校要求提供服务人员（服务人员需按相关规定标准配置，不少于30人，其中主管1名、厨师不少于5名、面点师不少于2名），且所有从业人员必须提供相关健康证明证书。（出具承诺函佐证）</w:t>
      </w:r>
    </w:p>
    <w:p w14:paraId="3A6BBB33">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2．中标方负责全面运营。不得将食堂转让或委托他人，不能经营超出合同约定范围的项目，一经发现，我方有权终止合同，履约保证金不退还。</w:t>
      </w:r>
    </w:p>
    <w:p w14:paraId="6723C410">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3、中标方按相关规定负责食堂日常管理、早中晚餐食材加工、用餐服务、清洗打扫、合规消毒等全过程实施。</w:t>
      </w:r>
    </w:p>
    <w:p w14:paraId="32F02CA2">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4．配合学校做好食材的索票索证、进货查验和临期食材的清理等工作．</w:t>
      </w:r>
    </w:p>
    <w:p w14:paraId="26BB3323">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5、学校要对供应商的加工生产、餐饮质量、服务标准及卫生状况进行监督，并有权要求其进行整改。</w:t>
      </w:r>
    </w:p>
    <w:p w14:paraId="1D000C07">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6、按学校规定的营业时间营业，按学校规定的就餐价售卖。</w:t>
      </w:r>
    </w:p>
    <w:p w14:paraId="140A9F5C">
      <w:pPr>
        <w:spacing w:line="560" w:lineRule="exact"/>
        <w:ind w:firstLine="643" w:firstLineChars="200"/>
        <w:jc w:val="left"/>
        <w:rPr>
          <w:rFonts w:hint="eastAsia" w:ascii="楷体" w:hAnsi="楷体" w:eastAsia="楷体"/>
          <w:b/>
          <w:bCs/>
          <w:color w:val="000000" w:themeColor="text1"/>
          <w:sz w:val="32"/>
          <w:szCs w:val="32"/>
          <w:lang w:val="en-US" w:eastAsia="zh-CN"/>
          <w14:textFill>
            <w14:solidFill>
              <w14:schemeClr w14:val="tx1"/>
            </w14:solidFill>
          </w14:textFill>
        </w:rPr>
      </w:pPr>
      <w:r>
        <w:rPr>
          <w:rFonts w:hint="eastAsia" w:ascii="楷体" w:hAnsi="楷体" w:eastAsia="楷体"/>
          <w:b/>
          <w:bCs/>
          <w:color w:val="000000" w:themeColor="text1"/>
          <w:sz w:val="32"/>
          <w:szCs w:val="32"/>
          <w:lang w:val="en-US" w:eastAsia="zh-CN"/>
          <w14:textFill>
            <w14:solidFill>
              <w14:schemeClr w14:val="tx1"/>
            </w14:solidFill>
          </w14:textFill>
        </w:rPr>
        <w:t>（三）餐饮服务要求与标准</w:t>
      </w:r>
    </w:p>
    <w:p w14:paraId="3B726C78">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（一）人员场地管理要求</w:t>
      </w:r>
    </w:p>
    <w:p w14:paraId="192005C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食堂工作人员须落实健康体检和每日晨检制度，上岗人员须符合国家餐饮行业从业人员健康标准，个人卫生及穿戴符合相关标准（如勤洗手、勤剪甲，统一穿工作服，戴工作帽和口罩，不能佩戴金银首饰和不用手直接触碰熟食等）。</w:t>
      </w:r>
    </w:p>
    <w:p w14:paraId="735AB838">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2.厨房、餐厅要保持清洁卫生，做到勤打扫、勤清洗，无“四害”、无垃圾死角。</w:t>
      </w:r>
    </w:p>
    <w:p w14:paraId="5EAB1DE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 餐具、用具等分类规范置放，并做到勤擦洗、勤消毒，并按照行业标准做到无毒无菌做到勤打扫、勤清洗。</w:t>
      </w:r>
    </w:p>
    <w:p w14:paraId="2313AF83">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4.对员工和场所做到“日管控，周排查，月调度”。</w:t>
      </w:r>
    </w:p>
    <w:p w14:paraId="65394A12">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（二）</w:t>
      </w:r>
      <w:r>
        <w:rPr>
          <w:rFonts w:hint="default" w:ascii="宋体" w:hAnsi="宋体" w:eastAsia="宋体" w:cs="宋体"/>
          <w:color w:val="auto"/>
          <w:spacing w:val="0"/>
          <w:position w:val="0"/>
          <w:sz w:val="24"/>
          <w:szCs w:val="24"/>
          <w:highlight w:val="none"/>
          <w:lang w:val="en-US" w:eastAsia="zh-CN"/>
        </w:rPr>
        <w:t>食品卫生管理要求</w:t>
      </w:r>
    </w:p>
    <w:p w14:paraId="07922208">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1.蔬菜一般当天购进当天食用，烹饪前，严格按照</w:t>
      </w:r>
      <w:r>
        <w:rPr>
          <w:rFonts w:hint="eastAsia" w:ascii="宋体" w:hAnsi="宋体" w:eastAsia="宋体" w:cs="宋体"/>
          <w:color w:val="auto"/>
          <w:spacing w:val="0"/>
          <w:position w:val="0"/>
          <w:sz w:val="24"/>
          <w:szCs w:val="24"/>
          <w:highlight w:val="none"/>
          <w:lang w:val="en-US" w:eastAsia="zh-CN"/>
        </w:rPr>
        <w:t>“</w:t>
      </w:r>
      <w:r>
        <w:rPr>
          <w:rFonts w:hint="default" w:ascii="宋体" w:hAnsi="宋体" w:eastAsia="宋体" w:cs="宋体"/>
          <w:color w:val="auto"/>
          <w:spacing w:val="0"/>
          <w:position w:val="0"/>
          <w:sz w:val="24"/>
          <w:szCs w:val="24"/>
          <w:highlight w:val="none"/>
          <w:lang w:val="en-US" w:eastAsia="zh-CN"/>
        </w:rPr>
        <w:t>一清二洗三浸泡”规程处理</w:t>
      </w:r>
      <w:r>
        <w:rPr>
          <w:rFonts w:hint="eastAsia" w:ascii="宋体" w:hAnsi="宋体" w:eastAsia="宋体" w:cs="宋体"/>
          <w:color w:val="auto"/>
          <w:spacing w:val="0"/>
          <w:position w:val="0"/>
          <w:sz w:val="24"/>
          <w:szCs w:val="24"/>
          <w:highlight w:val="none"/>
          <w:lang w:val="en-US" w:eastAsia="zh-CN"/>
        </w:rPr>
        <w:t>：</w:t>
      </w:r>
      <w:r>
        <w:rPr>
          <w:rFonts w:hint="default" w:ascii="宋体" w:hAnsi="宋体" w:eastAsia="宋体" w:cs="宋体"/>
          <w:color w:val="auto"/>
          <w:spacing w:val="0"/>
          <w:position w:val="0"/>
          <w:sz w:val="24"/>
          <w:szCs w:val="24"/>
          <w:highlight w:val="none"/>
          <w:lang w:val="en-US" w:eastAsia="zh-CN"/>
        </w:rPr>
        <w:t>所有蔬菜不得留置两天以上，一旦发现变质立即清理。</w:t>
      </w:r>
    </w:p>
    <w:p w14:paraId="344790F0">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2. 肉食、鱼类等要保持鲜活。</w:t>
      </w:r>
    </w:p>
    <w:p w14:paraId="792CABFB">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3. 菜品清洗要干净卫生，不能出现异物、杂质等。</w:t>
      </w:r>
    </w:p>
    <w:p w14:paraId="45949D4C">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4. 菜要炒熟煮透，油炸食品不能炸糊。</w:t>
      </w:r>
    </w:p>
    <w:p w14:paraId="4F0ACBBE">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5. 生、熟食材分类分柜存放，食品、用品分类分架置放，无过期、变质食品。</w:t>
      </w:r>
    </w:p>
    <w:p w14:paraId="7B804854">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6. 当日剩余未加工食材必须采取保鲜纸遮盖入冰柜，变质变味食品立即清理，不得售卖。</w:t>
      </w:r>
    </w:p>
    <w:p w14:paraId="56ABAAD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7. 严格把控所有食品加工环节并每天做好食品留样，留样食品保留48小时以上。</w:t>
      </w:r>
    </w:p>
    <w:p w14:paraId="15096F84">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8.鲜菜、肉类、</w:t>
      </w:r>
      <w:r>
        <w:rPr>
          <w:rFonts w:hint="eastAsia" w:ascii="宋体" w:hAnsi="宋体" w:eastAsia="宋体" w:cs="宋体"/>
          <w:color w:val="auto"/>
          <w:spacing w:val="0"/>
          <w:position w:val="0"/>
          <w:sz w:val="24"/>
          <w:szCs w:val="24"/>
          <w:highlight w:val="none"/>
          <w:lang w:val="en-US" w:eastAsia="zh-CN"/>
        </w:rPr>
        <w:t>干</w:t>
      </w:r>
      <w:r>
        <w:rPr>
          <w:rFonts w:hint="default" w:ascii="宋体" w:hAnsi="宋体" w:eastAsia="宋体" w:cs="宋体"/>
          <w:color w:val="auto"/>
          <w:spacing w:val="0"/>
          <w:position w:val="0"/>
          <w:sz w:val="24"/>
          <w:szCs w:val="24"/>
          <w:highlight w:val="none"/>
          <w:lang w:val="en-US" w:eastAsia="zh-CN"/>
        </w:rPr>
        <w:t>货成品和半成品须分类存放，不得混放或放置地上，并设置临期食品处置区。</w:t>
      </w:r>
    </w:p>
    <w:p w14:paraId="7D246185">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（三）</w:t>
      </w:r>
      <w:r>
        <w:rPr>
          <w:rFonts w:hint="default" w:ascii="宋体" w:hAnsi="宋体" w:eastAsia="宋体" w:cs="宋体"/>
          <w:color w:val="auto"/>
          <w:spacing w:val="0"/>
          <w:position w:val="0"/>
          <w:sz w:val="24"/>
          <w:szCs w:val="24"/>
          <w:highlight w:val="none"/>
          <w:lang w:val="en-US" w:eastAsia="zh-CN"/>
        </w:rPr>
        <w:t>消防安全管理要求</w:t>
      </w:r>
    </w:p>
    <w:p w14:paraId="1AE35EFC">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1.食堂内不得私接乱拉电源、电线，如确实需要，需报学校批准，由专业人员办理，用后及时拆除。</w:t>
      </w:r>
    </w:p>
    <w:p w14:paraId="3D9D5EA4">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2. 食堂与餐厅内干净整洁，不得堆积杂物。</w:t>
      </w:r>
    </w:p>
    <w:p w14:paraId="6946EBC4">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3. 对操作间内易燃气罐、管路、接头、阀门必须经常检查，防止泄漏。</w:t>
      </w:r>
    </w:p>
    <w:p w14:paraId="62A17046">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4.保证电源电路处干燥，防止因受潮而短路。</w:t>
      </w:r>
    </w:p>
    <w:p w14:paraId="70E1DBF7">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5. 当日工作结束前，应检查操作间内所有阀门、开关、电源是否断开，炉灶是否有明火，确认安全无误后方可离开。</w:t>
      </w:r>
    </w:p>
    <w:p w14:paraId="7CB8F870">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6.熟练掌握消防器材的使用方法，消防器材要定点放置，定期检查，保证完好有效，随时可用。</w:t>
      </w:r>
    </w:p>
    <w:p w14:paraId="103548EB">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（四）</w:t>
      </w:r>
      <w:r>
        <w:rPr>
          <w:rFonts w:hint="default" w:ascii="宋体" w:hAnsi="宋体" w:eastAsia="宋体" w:cs="宋体"/>
          <w:color w:val="auto"/>
          <w:spacing w:val="0"/>
          <w:position w:val="0"/>
          <w:sz w:val="24"/>
          <w:szCs w:val="24"/>
          <w:highlight w:val="none"/>
          <w:lang w:val="en-US" w:eastAsia="zh-CN"/>
        </w:rPr>
        <w:t>伙食质量管理</w:t>
      </w:r>
    </w:p>
    <w:p w14:paraId="65CA30D6">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食堂要做到食品供应多元化，能满足师生不同需求。尽量开发新品种，并注重食品营养。</w:t>
      </w:r>
    </w:p>
    <w:p w14:paraId="0F3A75A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具体要求如下：</w:t>
      </w:r>
    </w:p>
    <w:p w14:paraId="7BFB1B96">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1.每周一提前制定下一周的食谱报给学校，经学校同意后再报所需食材的量。</w:t>
      </w:r>
    </w:p>
    <w:p w14:paraId="3191B7C7">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2.提供品种多样、结构合理、数量充足、营养丰富的饭菜花色品种，早餐品种不少于6种，中餐晚餐品种不少于 14种，做到每日、每周都有变化。</w:t>
      </w:r>
    </w:p>
    <w:p w14:paraId="7878DEB4">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3.乙方应配合学校及时</w:t>
      </w:r>
      <w:r>
        <w:rPr>
          <w:rFonts w:hint="eastAsia" w:ascii="宋体" w:hAnsi="宋体" w:eastAsia="宋体" w:cs="宋体"/>
          <w:color w:val="auto"/>
          <w:spacing w:val="0"/>
          <w:position w:val="0"/>
          <w:sz w:val="24"/>
          <w:szCs w:val="24"/>
          <w:highlight w:val="none"/>
          <w:lang w:val="en-US" w:eastAsia="zh-CN"/>
        </w:rPr>
        <w:t>向</w:t>
      </w:r>
      <w:r>
        <w:rPr>
          <w:rFonts w:hint="default" w:ascii="宋体" w:hAnsi="宋体" w:eastAsia="宋体" w:cs="宋体"/>
          <w:color w:val="auto"/>
          <w:spacing w:val="0"/>
          <w:position w:val="0"/>
          <w:sz w:val="24"/>
          <w:szCs w:val="24"/>
          <w:highlight w:val="none"/>
          <w:lang w:val="en-US" w:eastAsia="zh-CN"/>
        </w:rPr>
        <w:t>全校师生供餐，保障师生的饮食安全。</w:t>
      </w:r>
    </w:p>
    <w:p w14:paraId="33C98226">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（五）</w:t>
      </w:r>
      <w:r>
        <w:rPr>
          <w:rFonts w:hint="default" w:ascii="宋体" w:hAnsi="宋体" w:eastAsia="宋体" w:cs="宋体"/>
          <w:color w:val="auto"/>
          <w:spacing w:val="0"/>
          <w:position w:val="0"/>
          <w:sz w:val="24"/>
          <w:szCs w:val="24"/>
          <w:highlight w:val="none"/>
          <w:lang w:val="en-US" w:eastAsia="zh-CN"/>
        </w:rPr>
        <w:t>提供优质服务</w:t>
      </w:r>
    </w:p>
    <w:p w14:paraId="0DF6A052">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1.员工着装统一、保持整洁，做到仪表端正，言行规范。</w:t>
      </w:r>
    </w:p>
    <w:p w14:paraId="02B915E2">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2.员工要虚心听取就餐者意见，在窗口服务中做到不与就餐者争执。要落实人员，以及时进行服务与投诉的现场处理。</w:t>
      </w:r>
    </w:p>
    <w:p w14:paraId="4D575044">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3.注重美化食堂整体环境，倡导“文明用餐，以俭养德”的经营托管服务项目理念。</w:t>
      </w:r>
    </w:p>
    <w:p w14:paraId="02C1FD5E">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（六）制度建设</w:t>
      </w:r>
    </w:p>
    <w:p w14:paraId="46E44DBE">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乙方必须建立健全食品卫生制度、服务管理、员工绩效考核等一系列规章制度，并按照各项规章制度做好管理台账。</w:t>
      </w:r>
    </w:p>
    <w:p w14:paraId="6F67E1C1">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（七）节能管理要求</w:t>
      </w:r>
    </w:p>
    <w:p w14:paraId="47F90B7C">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1.餐厅在准备早餐、中餐、晚餐期间严禁开空调和大灯，按季节需要开餐前15分钟可开</w:t>
      </w:r>
      <w:r>
        <w:rPr>
          <w:rFonts w:hint="eastAsia" w:ascii="宋体" w:hAnsi="宋体" w:eastAsia="宋体" w:cs="宋体"/>
          <w:color w:val="auto"/>
          <w:spacing w:val="0"/>
          <w:position w:val="0"/>
          <w:sz w:val="24"/>
          <w:szCs w:val="24"/>
          <w:highlight w:val="none"/>
          <w:lang w:val="en-US" w:eastAsia="zh-CN"/>
        </w:rPr>
        <w:t>启</w:t>
      </w:r>
      <w:r>
        <w:rPr>
          <w:rFonts w:hint="default" w:ascii="宋体" w:hAnsi="宋体" w:eastAsia="宋体" w:cs="宋体"/>
          <w:color w:val="auto"/>
          <w:spacing w:val="0"/>
          <w:position w:val="0"/>
          <w:sz w:val="24"/>
          <w:szCs w:val="24"/>
          <w:highlight w:val="none"/>
          <w:lang w:val="en-US" w:eastAsia="zh-CN"/>
        </w:rPr>
        <w:t>空调，开餐前5分钟开灯，如光线良好则一律不开灯，就餐完毕后10分钟内关闭所有空调；</w:t>
      </w:r>
    </w:p>
    <w:p w14:paraId="09EB6BDE">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2.做到厨房在光线良好情况下不开灯，更衣间随手关灯原料和餐具清洗完后应立即关闭水源。</w:t>
      </w:r>
    </w:p>
    <w:p w14:paraId="203EAD58">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643"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楷体" w:hAnsi="楷体" w:eastAsia="楷体"/>
          <w:b/>
          <w:bCs/>
          <w:color w:val="000000" w:themeColor="text1"/>
          <w:sz w:val="32"/>
          <w:szCs w:val="32"/>
          <w:lang w:val="en-US" w:eastAsia="zh-CN"/>
          <w14:textFill>
            <w14:solidFill>
              <w14:schemeClr w14:val="tx1"/>
            </w14:solidFill>
          </w14:textFill>
        </w:rPr>
        <w:t>（四）</w:t>
      </w:r>
      <w:r>
        <w:rPr>
          <w:rFonts w:hint="default" w:ascii="楷体" w:hAnsi="楷体" w:eastAsia="楷体"/>
          <w:b/>
          <w:bCs/>
          <w:color w:val="000000" w:themeColor="text1"/>
          <w:sz w:val="32"/>
          <w:szCs w:val="32"/>
          <w:lang w:val="en-US" w:eastAsia="zh-CN"/>
          <w14:textFill>
            <w14:solidFill>
              <w14:schemeClr w14:val="tx1"/>
            </w14:solidFill>
          </w14:textFill>
        </w:rPr>
        <w:t>其他</w:t>
      </w:r>
    </w:p>
    <w:p w14:paraId="184FA820">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1.乙方须严格按照《中华人民共和国食品安全法》和政府有关食品安全规定合法经营管理，</w:t>
      </w:r>
      <w:r>
        <w:rPr>
          <w:rFonts w:hint="eastAsia" w:ascii="宋体" w:hAnsi="宋体" w:eastAsia="宋体" w:cs="宋体"/>
          <w:color w:val="auto"/>
          <w:spacing w:val="0"/>
          <w:position w:val="0"/>
          <w:sz w:val="24"/>
          <w:szCs w:val="24"/>
          <w:highlight w:val="none"/>
          <w:lang w:val="en-US" w:eastAsia="zh-CN"/>
        </w:rPr>
        <w:t>承</w:t>
      </w:r>
      <w:r>
        <w:rPr>
          <w:rFonts w:hint="default" w:ascii="宋体" w:hAnsi="宋体" w:eastAsia="宋体" w:cs="宋体"/>
          <w:color w:val="auto"/>
          <w:spacing w:val="0"/>
          <w:position w:val="0"/>
          <w:sz w:val="24"/>
          <w:szCs w:val="24"/>
          <w:highlight w:val="none"/>
          <w:lang w:val="en-US" w:eastAsia="zh-CN"/>
        </w:rPr>
        <w:t>担进场后的食品安全、卫生防疫工作责任，杜绝使用三无食品、过期变质食品和有毒食品，所加工的食品和原材料保证品质和新鲜，对学校食堂所采购的不合格食品，应及时发现并禁止使用。负责做好每餐所有菜肴的留样工作，留样份量每样不少于125克，在0-8°冷藏条件下留样食品保留48小时以上，并做好留样记录。若因中标方管理及食品操作问题，造成食物中毒等事故，由中标方承担一切责任。</w:t>
      </w:r>
    </w:p>
    <w:p w14:paraId="2BE42AD6">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2.中标方须严格按照《中华人民共和国食品安全法》和相关法律法规，加强对工作人员的管理。另外，不得以任何形式带出食堂物品及饭菜，若造成损失由中标方承担连带赔偿责任。</w:t>
      </w:r>
    </w:p>
    <w:p w14:paraId="11547725">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default" w:ascii="宋体" w:hAnsi="宋体" w:eastAsia="宋体" w:cs="宋体"/>
          <w:color w:val="auto"/>
          <w:spacing w:val="0"/>
          <w:position w:val="0"/>
          <w:sz w:val="24"/>
          <w:szCs w:val="24"/>
          <w:highlight w:val="none"/>
          <w:lang w:val="en-US" w:eastAsia="zh-CN"/>
        </w:rPr>
        <w:t>3.中标方负责依照相关劳动法规合法用工，自行负责处理与员工的劳务或劳动纠纷，与学校无关：中标方负责员工开展必要的岗前培训（含食品安全培训和消防安全培训等），并提供安全的工作条件。</w:t>
      </w:r>
    </w:p>
    <w:p w14:paraId="6935C031">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4.必须不折不扣地履行服务承诺；</w:t>
      </w:r>
    </w:p>
    <w:p w14:paraId="1AC9493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5.中标方签订合同期内不得停止经营，如因不可抗拒原因无法经营，须提前5个月向学校提交书面申请。经学校同意后，学校将终止合同，履约保证金不计息全额退还。如合同期内中标方未提前5个月或少于5个月提交书面申请停止经营，校方将扣除履约保证金。如提交书面申请校方不同意申请，中标方必须履行完合同如不履行将扣除全部履约保证金。</w:t>
      </w:r>
    </w:p>
    <w:p w14:paraId="7F4C70D6">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643" w:firstLineChars="200"/>
        <w:jc w:val="both"/>
        <w:textAlignment w:val="baseline"/>
        <w:rPr>
          <w:rFonts w:hint="default" w:ascii="楷体" w:hAnsi="楷体" w:eastAsia="楷体"/>
          <w:b/>
          <w:bCs/>
          <w:color w:val="000000" w:themeColor="text1"/>
          <w:sz w:val="32"/>
          <w:szCs w:val="32"/>
          <w:lang w:val="en-US" w:eastAsia="zh-CN"/>
          <w14:textFill>
            <w14:solidFill>
              <w14:schemeClr w14:val="tx1"/>
            </w14:solidFill>
          </w14:textFill>
        </w:rPr>
      </w:pPr>
      <w:r>
        <w:rPr>
          <w:rFonts w:hint="eastAsia" w:ascii="楷体" w:hAnsi="楷体" w:eastAsia="楷体"/>
          <w:b/>
          <w:bCs/>
          <w:color w:val="000000" w:themeColor="text1"/>
          <w:sz w:val="32"/>
          <w:szCs w:val="32"/>
          <w:lang w:val="en-US" w:eastAsia="zh-CN"/>
          <w14:textFill>
            <w14:solidFill>
              <w14:schemeClr w14:val="tx1"/>
            </w14:solidFill>
          </w14:textFill>
        </w:rPr>
        <w:t>（五）</w:t>
      </w:r>
      <w:r>
        <w:rPr>
          <w:rFonts w:hint="default" w:ascii="楷体" w:hAnsi="楷体" w:eastAsia="楷体"/>
          <w:b/>
          <w:bCs/>
          <w:color w:val="000000" w:themeColor="text1"/>
          <w:sz w:val="32"/>
          <w:szCs w:val="32"/>
          <w:lang w:val="en-US" w:eastAsia="zh-CN"/>
          <w14:textFill>
            <w14:solidFill>
              <w14:schemeClr w14:val="tx1"/>
            </w14:solidFill>
          </w14:textFill>
        </w:rPr>
        <w:t>考核机制</w:t>
      </w:r>
    </w:p>
    <w:p w14:paraId="2DDC3129">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学校将采取日常检查和年度综合考核形式。考核每年进行一次。考核结果在年调度工作会中公布。根据《食堂管理工作年度考评表》进行评分，满分为100分，达85分以上（含85分）为合格，每低1分则罚款200元。如考核分值在70分以下，学校有权终止合同。</w:t>
      </w:r>
    </w:p>
    <w:p w14:paraId="479357F5">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在日常监督检查中，如发现有违反食品卫生管理规定、消防安全管理规定及考核办法的行为，情节较轻的，限期整改，限期未整改到位的处罚款300元，情节较重的，有以下情形的，实行一票否决制。</w:t>
      </w:r>
    </w:p>
    <w:p w14:paraId="30E11728">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1．若因中标方管理不善及操作过程不当引发轻微食物中毒，认定当月不合格；若发生严重中毒事件，除按《食品卫生法》进行处罚外，解除或终止外包合同。</w:t>
      </w:r>
    </w:p>
    <w:p w14:paraId="7487B1BA">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2．发生火灾隐患，必须立即整改到位；若造成人员伤亡及重大财产损失的，除按《消防法》进行处置，并解除或终止外包合同。</w:t>
      </w:r>
    </w:p>
    <w:p w14:paraId="70742177">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餐饮服务期间因中标方服务行为、操作不当等原因给校方造成不利舆论影响的，取消考核奖；第二次出现因中标方服务行为、操作不当等原因给校方造成不利舆论影响的取消食堂餐饮服务服务资格，立即终止合同。</w:t>
      </w:r>
    </w:p>
    <w:p w14:paraId="57B4006A">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4．中标方应当确保配备足够数量的服务人员。如实际到岗人数未达到约定标准，校方有权按实核减相应服务费用。</w:t>
      </w:r>
    </w:p>
    <w:p w14:paraId="4EAA6738">
      <w:pPr>
        <w:spacing w:line="560" w:lineRule="exact"/>
        <w:ind w:firstLine="640" w:firstLineChars="200"/>
        <w:jc w:val="left"/>
        <w:rPr>
          <w:rFonts w:hint="eastAsia" w:ascii="楷体" w:hAnsi="楷体" w:eastAsia="楷体"/>
          <w:color w:val="000000" w:themeColor="text1"/>
          <w:sz w:val="32"/>
          <w:szCs w:val="32"/>
          <w:lang w:val="en-US" w:eastAsia="zh-CN"/>
          <w14:textFill>
            <w14:solidFill>
              <w14:schemeClr w14:val="tx1"/>
            </w14:solidFill>
          </w14:textFill>
        </w:rPr>
      </w:pPr>
    </w:p>
    <w:p w14:paraId="2DCB1B20">
      <w:pPr>
        <w:autoSpaceDE w:val="0"/>
        <w:autoSpaceDN w:val="0"/>
        <w:spacing w:before="0" w:after="0" w:line="226" w:lineRule="auto"/>
        <w:jc w:val="center"/>
        <w:rPr>
          <w:sz w:val="31"/>
        </w:rPr>
      </w:pPr>
      <w:r>
        <w:rPr>
          <w:rFonts w:hint="eastAsia" w:ascii="宋体" w:hAnsi="宋体" w:eastAsia="宋体"/>
          <w:b/>
          <w:color w:val="000000"/>
          <w:sz w:val="31"/>
        </w:rPr>
        <w:t>食堂管理工作</w:t>
      </w:r>
      <w:r>
        <w:rPr>
          <w:rFonts w:hint="eastAsia" w:ascii="宋体" w:hAnsi="宋体" w:eastAsia="宋体"/>
          <w:b/>
          <w:color w:val="000000"/>
          <w:sz w:val="31"/>
          <w:lang w:val="en-US" w:eastAsia="zh-CN"/>
        </w:rPr>
        <w:t>年</w:t>
      </w:r>
      <w:r>
        <w:rPr>
          <w:rFonts w:hint="eastAsia" w:ascii="宋体" w:hAnsi="宋体" w:eastAsia="宋体"/>
          <w:b/>
          <w:color w:val="000000"/>
          <w:sz w:val="31"/>
          <w:highlight w:val="none"/>
        </w:rPr>
        <w:t>度</w:t>
      </w:r>
      <w:r>
        <w:rPr>
          <w:rFonts w:hint="eastAsia" w:ascii="宋体" w:hAnsi="宋体" w:eastAsia="宋体"/>
          <w:b/>
          <w:color w:val="000000"/>
          <w:sz w:val="31"/>
        </w:rPr>
        <w:t>考评表</w:t>
      </w:r>
    </w:p>
    <w:tbl>
      <w:tblPr>
        <w:tblStyle w:val="4"/>
        <w:tblW w:w="89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46"/>
        <w:gridCol w:w="4130"/>
        <w:gridCol w:w="730"/>
        <w:gridCol w:w="2550"/>
        <w:gridCol w:w="750"/>
      </w:tblGrid>
      <w:tr w14:paraId="38857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tcPr>
          <w:p w14:paraId="1E37C81C">
            <w:pPr>
              <w:widowControl w:val="0"/>
              <w:spacing w:line="560" w:lineRule="exact"/>
              <w:jc w:val="center"/>
              <w:rPr>
                <w:rFonts w:hint="default"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项目</w:t>
            </w:r>
          </w:p>
        </w:tc>
        <w:tc>
          <w:tcPr>
            <w:tcW w:w="4130" w:type="dxa"/>
          </w:tcPr>
          <w:p w14:paraId="7117974C">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检查具体内容</w:t>
            </w:r>
          </w:p>
        </w:tc>
        <w:tc>
          <w:tcPr>
            <w:tcW w:w="730" w:type="dxa"/>
            <w:vAlign w:val="top"/>
          </w:tcPr>
          <w:p w14:paraId="5B395E26">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分值</w:t>
            </w:r>
          </w:p>
        </w:tc>
        <w:tc>
          <w:tcPr>
            <w:tcW w:w="2550" w:type="dxa"/>
            <w:vAlign w:val="top"/>
          </w:tcPr>
          <w:p w14:paraId="64DF48C6">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评分标准</w:t>
            </w:r>
          </w:p>
        </w:tc>
        <w:tc>
          <w:tcPr>
            <w:tcW w:w="750" w:type="dxa"/>
            <w:vAlign w:val="top"/>
          </w:tcPr>
          <w:p w14:paraId="01942926">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得分</w:t>
            </w:r>
          </w:p>
        </w:tc>
      </w:tr>
      <w:tr w14:paraId="483F46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restart"/>
          </w:tcPr>
          <w:p w14:paraId="0CA0134E">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58ED09CA">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448E7E2F">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63AC3730">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0A0CF221">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2500736D">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08C6A095">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440F6CFF">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1C635989">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6618A57A">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卫生情况</w:t>
            </w:r>
          </w:p>
          <w:p w14:paraId="2EB5D915">
            <w:pPr>
              <w:widowControl w:val="0"/>
              <w:spacing w:line="560" w:lineRule="exact"/>
              <w:jc w:val="center"/>
              <w:rPr>
                <w:rFonts w:hint="default"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25</w:t>
            </w:r>
          </w:p>
        </w:tc>
        <w:tc>
          <w:tcPr>
            <w:tcW w:w="4130" w:type="dxa"/>
          </w:tcPr>
          <w:p w14:paraId="262F93DC">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食堂工作人员须持有效的健康证上岗，落实了晨检要求，着装整洁，未佩戴金银首饰，讲究个人卫生，做到勤洗手，勤修指甲，工作时统一工作服，工作帽。工作时间加工或出售食品时不吸烟，不能用手直接接触食品或餐具内壁，配餐人员须戴口罩或一次性手套。</w:t>
            </w:r>
          </w:p>
        </w:tc>
        <w:tc>
          <w:tcPr>
            <w:tcW w:w="730" w:type="dxa"/>
          </w:tcPr>
          <w:p w14:paraId="08902B4D">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475B11A9">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0B22E206">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1A776A86">
            <w:pPr>
              <w:widowControl w:val="0"/>
              <w:spacing w:line="560" w:lineRule="exact"/>
              <w:jc w:val="center"/>
              <w:rPr>
                <w:rFonts w:hint="default"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10</w:t>
            </w:r>
          </w:p>
        </w:tc>
        <w:tc>
          <w:tcPr>
            <w:tcW w:w="2550" w:type="dxa"/>
          </w:tcPr>
          <w:p w14:paraId="793C0695">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48C00074">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5E424F2A">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261054BC">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每发生1次不合规定的相1分。</w:t>
            </w:r>
          </w:p>
        </w:tc>
        <w:tc>
          <w:tcPr>
            <w:tcW w:w="750" w:type="dxa"/>
          </w:tcPr>
          <w:p w14:paraId="3ED253B4">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tc>
      </w:tr>
      <w:tr w14:paraId="6FD96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continue"/>
          </w:tcPr>
          <w:p w14:paraId="4AC9A6CE">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tc>
        <w:tc>
          <w:tcPr>
            <w:tcW w:w="4130" w:type="dxa"/>
          </w:tcPr>
          <w:p w14:paraId="1580F793">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炊具、餐具、菜具、熟食容器定期消毒，保持清洁，分类摆放，每天做好食品留样。</w:t>
            </w:r>
          </w:p>
        </w:tc>
        <w:tc>
          <w:tcPr>
            <w:tcW w:w="730" w:type="dxa"/>
          </w:tcPr>
          <w:p w14:paraId="1ADE8F60">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08D9275D">
            <w:pPr>
              <w:widowControl w:val="0"/>
              <w:spacing w:line="560" w:lineRule="exact"/>
              <w:jc w:val="center"/>
              <w:rPr>
                <w:rFonts w:hint="default"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5</w:t>
            </w:r>
          </w:p>
        </w:tc>
        <w:tc>
          <w:tcPr>
            <w:tcW w:w="2550" w:type="dxa"/>
          </w:tcPr>
          <w:p w14:paraId="6FDF8647">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无消毒作业1次扣1分，不定期作业扣1分，食品未留样1次扣1分。</w:t>
            </w:r>
          </w:p>
        </w:tc>
        <w:tc>
          <w:tcPr>
            <w:tcW w:w="750" w:type="dxa"/>
          </w:tcPr>
          <w:p w14:paraId="0C7D0BE2">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tc>
      </w:tr>
      <w:tr w14:paraId="1F7F6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continue"/>
          </w:tcPr>
          <w:p w14:paraId="5AE17881">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tc>
        <w:tc>
          <w:tcPr>
            <w:tcW w:w="4130" w:type="dxa"/>
          </w:tcPr>
          <w:p w14:paraId="1B695EE7">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工作间卫生清洁，地面干净，无积水、无杂物、操作台、灶台及售饭台卫生整洁，餐厅地面及桌椅整洁、整齐。</w:t>
            </w:r>
          </w:p>
        </w:tc>
        <w:tc>
          <w:tcPr>
            <w:tcW w:w="730" w:type="dxa"/>
          </w:tcPr>
          <w:p w14:paraId="3F3DC501">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5E0896E6">
            <w:pPr>
              <w:widowControl w:val="0"/>
              <w:spacing w:line="560" w:lineRule="exact"/>
              <w:jc w:val="center"/>
              <w:rPr>
                <w:rFonts w:hint="default"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5</w:t>
            </w:r>
          </w:p>
        </w:tc>
        <w:tc>
          <w:tcPr>
            <w:tcW w:w="2550" w:type="dxa"/>
          </w:tcPr>
          <w:p w14:paraId="772F1C5C">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未按要求做好的，每项扣1分。</w:t>
            </w:r>
          </w:p>
        </w:tc>
        <w:tc>
          <w:tcPr>
            <w:tcW w:w="750" w:type="dxa"/>
          </w:tcPr>
          <w:p w14:paraId="5A89D162">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tc>
      </w:tr>
      <w:tr w14:paraId="1F3DE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continue"/>
          </w:tcPr>
          <w:p w14:paraId="6CCD6324">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tc>
        <w:tc>
          <w:tcPr>
            <w:tcW w:w="4130" w:type="dxa"/>
          </w:tcPr>
          <w:p w14:paraId="1E0B23A6">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餐厅、厨房间无蜘蛛网，及时检查井提醒第三方公司做好消杀苍蝇、老鼠、蟑螂各项工作。</w:t>
            </w:r>
          </w:p>
        </w:tc>
        <w:tc>
          <w:tcPr>
            <w:tcW w:w="730" w:type="dxa"/>
          </w:tcPr>
          <w:p w14:paraId="702BFA35">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379437AD">
            <w:pPr>
              <w:widowControl w:val="0"/>
              <w:spacing w:line="560" w:lineRule="exact"/>
              <w:jc w:val="center"/>
              <w:rPr>
                <w:rFonts w:hint="default"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5</w:t>
            </w:r>
          </w:p>
        </w:tc>
        <w:tc>
          <w:tcPr>
            <w:tcW w:w="2550" w:type="dxa"/>
            <w:shd w:val="clear" w:color="auto" w:fill="auto"/>
            <w:vAlign w:val="top"/>
          </w:tcPr>
          <w:p w14:paraId="6CFF5B8C">
            <w:pPr>
              <w:widowControl w:val="0"/>
              <w:spacing w:line="560" w:lineRule="exact"/>
              <w:jc w:val="left"/>
              <w:rPr>
                <w:rFonts w:hint="eastAsia" w:ascii="楷体" w:hAnsi="楷体" w:eastAsia="楷体" w:cs="Times New Roman"/>
                <w:color w:val="000000" w:themeColor="text1"/>
                <w:kern w:val="2"/>
                <w:sz w:val="24"/>
                <w:szCs w:val="24"/>
                <w:vertAlign w:val="baseline"/>
                <w:lang w:val="en-US" w:eastAsia="zh-CN" w:bidi="ar-SA"/>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未按要求做好的，每项扣1分。</w:t>
            </w:r>
          </w:p>
        </w:tc>
        <w:tc>
          <w:tcPr>
            <w:tcW w:w="750" w:type="dxa"/>
          </w:tcPr>
          <w:p w14:paraId="5F0369B6">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tc>
      </w:tr>
      <w:tr w14:paraId="3FF86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restart"/>
          </w:tcPr>
          <w:p w14:paraId="6DA52803">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583FC8F6">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5BA8AF51">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1FC5BC26">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6E92F400">
            <w:pPr>
              <w:widowControl w:val="0"/>
              <w:spacing w:line="560" w:lineRule="exact"/>
              <w:jc w:val="left"/>
              <w:rPr>
                <w:rFonts w:hint="default" w:ascii="楷体" w:hAnsi="楷体" w:eastAsia="楷体"/>
                <w:color w:val="000000" w:themeColor="text1"/>
                <w:sz w:val="32"/>
                <w:szCs w:val="32"/>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服务质量20</w:t>
            </w:r>
          </w:p>
        </w:tc>
        <w:tc>
          <w:tcPr>
            <w:tcW w:w="4130" w:type="dxa"/>
            <w:vAlign w:val="top"/>
          </w:tcPr>
          <w:p w14:paraId="128FE937">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服务人员主动热情，态度端正和蔼，语言文明礼貌，不得与就餐人员发生争执。</w:t>
            </w:r>
          </w:p>
        </w:tc>
        <w:tc>
          <w:tcPr>
            <w:tcW w:w="730" w:type="dxa"/>
            <w:vAlign w:val="top"/>
          </w:tcPr>
          <w:p w14:paraId="3684F9AE">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49A659CA">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5</w:t>
            </w:r>
          </w:p>
        </w:tc>
        <w:tc>
          <w:tcPr>
            <w:tcW w:w="2550" w:type="dxa"/>
            <w:vAlign w:val="top"/>
          </w:tcPr>
          <w:p w14:paraId="0B834778">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引起投诉，每发生1次扣投诉1次扣1分</w:t>
            </w:r>
          </w:p>
        </w:tc>
        <w:tc>
          <w:tcPr>
            <w:tcW w:w="750" w:type="dxa"/>
          </w:tcPr>
          <w:p w14:paraId="08038DDC">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r>
      <w:tr w14:paraId="1AC5D0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continue"/>
          </w:tcPr>
          <w:p w14:paraId="02474760">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c>
          <w:tcPr>
            <w:tcW w:w="4130" w:type="dxa"/>
            <w:vAlign w:val="top"/>
          </w:tcPr>
          <w:p w14:paraId="6155B53E">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食品加工要精心调配，做到卫生、口味适中。</w:t>
            </w:r>
          </w:p>
        </w:tc>
        <w:tc>
          <w:tcPr>
            <w:tcW w:w="730" w:type="dxa"/>
            <w:vAlign w:val="top"/>
          </w:tcPr>
          <w:p w14:paraId="12C380CD">
            <w:pPr>
              <w:widowControl w:val="0"/>
              <w:spacing w:line="560" w:lineRule="exact"/>
              <w:jc w:val="center"/>
              <w:rPr>
                <w:rFonts w:hint="default"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5</w:t>
            </w:r>
          </w:p>
        </w:tc>
        <w:tc>
          <w:tcPr>
            <w:tcW w:w="2550" w:type="dxa"/>
            <w:vAlign w:val="top"/>
          </w:tcPr>
          <w:p w14:paraId="05B43E95">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多数员工不满意，被集体投诉1次扣1分</w:t>
            </w:r>
          </w:p>
        </w:tc>
        <w:tc>
          <w:tcPr>
            <w:tcW w:w="750" w:type="dxa"/>
          </w:tcPr>
          <w:p w14:paraId="131DB5F9">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r>
      <w:tr w14:paraId="29B28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continue"/>
          </w:tcPr>
          <w:p w14:paraId="4ECCBD89">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c>
          <w:tcPr>
            <w:tcW w:w="4130" w:type="dxa"/>
            <w:vAlign w:val="top"/>
          </w:tcPr>
          <w:p w14:paraId="59DB054D">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按时开餐，满足供给。</w:t>
            </w:r>
          </w:p>
        </w:tc>
        <w:tc>
          <w:tcPr>
            <w:tcW w:w="730" w:type="dxa"/>
            <w:vAlign w:val="top"/>
          </w:tcPr>
          <w:p w14:paraId="2C589A79">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6</w:t>
            </w:r>
          </w:p>
        </w:tc>
        <w:tc>
          <w:tcPr>
            <w:tcW w:w="2550" w:type="dxa"/>
            <w:vAlign w:val="top"/>
          </w:tcPr>
          <w:p w14:paraId="148AD091">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未按营业时间供餐每发生1次扣3分</w:t>
            </w:r>
          </w:p>
        </w:tc>
        <w:tc>
          <w:tcPr>
            <w:tcW w:w="750" w:type="dxa"/>
          </w:tcPr>
          <w:p w14:paraId="11DA8074">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r>
      <w:tr w14:paraId="436C4F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continue"/>
          </w:tcPr>
          <w:p w14:paraId="2C47C582">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c>
          <w:tcPr>
            <w:tcW w:w="4130" w:type="dxa"/>
            <w:vAlign w:val="top"/>
          </w:tcPr>
          <w:p w14:paraId="292B4A6F">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做好的饭菜应与每周的食谱相吻合。</w:t>
            </w:r>
          </w:p>
        </w:tc>
        <w:tc>
          <w:tcPr>
            <w:tcW w:w="730" w:type="dxa"/>
            <w:vAlign w:val="top"/>
          </w:tcPr>
          <w:p w14:paraId="4685F3AC">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4</w:t>
            </w:r>
          </w:p>
        </w:tc>
        <w:tc>
          <w:tcPr>
            <w:tcW w:w="2550" w:type="dxa"/>
            <w:vAlign w:val="top"/>
          </w:tcPr>
          <w:p w14:paraId="0F6F7C78">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与预定不符合，而又未事先做说明的扣1分。</w:t>
            </w:r>
          </w:p>
        </w:tc>
        <w:tc>
          <w:tcPr>
            <w:tcW w:w="750" w:type="dxa"/>
          </w:tcPr>
          <w:p w14:paraId="21E9A80C">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r>
      <w:tr w14:paraId="77ABF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restart"/>
          </w:tcPr>
          <w:p w14:paraId="2F08B44C">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572A80F5">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337840E8">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248635AA">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5A2357ED">
            <w:pPr>
              <w:widowControl w:val="0"/>
              <w:spacing w:line="560" w:lineRule="exact"/>
              <w:jc w:val="left"/>
              <w:rPr>
                <w:rFonts w:hint="default"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膳食质量25</w:t>
            </w:r>
          </w:p>
        </w:tc>
        <w:tc>
          <w:tcPr>
            <w:tcW w:w="4130" w:type="dxa"/>
            <w:vAlign w:val="top"/>
          </w:tcPr>
          <w:p w14:paraId="4827F391">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食物品种丰富，早、中餐、晚餐不得少干规定的品种数量（早餐品种不少于6种、中餐、晚餐品种各不少于14种</w:t>
            </w:r>
          </w:p>
        </w:tc>
        <w:tc>
          <w:tcPr>
            <w:tcW w:w="730" w:type="dxa"/>
            <w:vAlign w:val="top"/>
          </w:tcPr>
          <w:p w14:paraId="5B2CCC82">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7DBA8F4A">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8</w:t>
            </w:r>
          </w:p>
        </w:tc>
        <w:tc>
          <w:tcPr>
            <w:tcW w:w="2550" w:type="dxa"/>
            <w:vAlign w:val="top"/>
          </w:tcPr>
          <w:p w14:paraId="77E4F24A">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1B38E8E9">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低于配餐标准的，每发现一次扣1分。</w:t>
            </w:r>
          </w:p>
        </w:tc>
        <w:tc>
          <w:tcPr>
            <w:tcW w:w="750" w:type="dxa"/>
          </w:tcPr>
          <w:p w14:paraId="16286F2C">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r>
      <w:tr w14:paraId="310B1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continue"/>
          </w:tcPr>
          <w:p w14:paraId="5E83719F">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tc>
        <w:tc>
          <w:tcPr>
            <w:tcW w:w="4130" w:type="dxa"/>
            <w:vAlign w:val="top"/>
          </w:tcPr>
          <w:p w14:paraId="28163DA0">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菜品色泽味方面能满足大众口味，每道菜色香味俱全。</w:t>
            </w:r>
          </w:p>
        </w:tc>
        <w:tc>
          <w:tcPr>
            <w:tcW w:w="730" w:type="dxa"/>
            <w:vAlign w:val="top"/>
          </w:tcPr>
          <w:p w14:paraId="7419A517">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5</w:t>
            </w:r>
          </w:p>
        </w:tc>
        <w:tc>
          <w:tcPr>
            <w:tcW w:w="2550" w:type="dxa"/>
            <w:vAlign w:val="top"/>
          </w:tcPr>
          <w:p w14:paraId="168911FF">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发现菜品味道差，1次扣1分。</w:t>
            </w:r>
          </w:p>
        </w:tc>
        <w:tc>
          <w:tcPr>
            <w:tcW w:w="750" w:type="dxa"/>
          </w:tcPr>
          <w:p w14:paraId="7D064922">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r>
      <w:tr w14:paraId="54F28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continue"/>
          </w:tcPr>
          <w:p w14:paraId="6CB0294C">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tc>
        <w:tc>
          <w:tcPr>
            <w:tcW w:w="4130" w:type="dxa"/>
            <w:vAlign w:val="top"/>
          </w:tcPr>
          <w:p w14:paraId="010E1202">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23A9CA94">
            <w:pPr>
              <w:widowControl w:val="0"/>
              <w:spacing w:line="560" w:lineRule="exact"/>
              <w:jc w:val="left"/>
              <w:rPr>
                <w:rFonts w:hint="default"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师生满意率要达到85％以上。</w:t>
            </w:r>
          </w:p>
        </w:tc>
        <w:tc>
          <w:tcPr>
            <w:tcW w:w="730" w:type="dxa"/>
            <w:vAlign w:val="top"/>
          </w:tcPr>
          <w:p w14:paraId="2AA1E7B7">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081A582D">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2</w:t>
            </w:r>
          </w:p>
        </w:tc>
        <w:tc>
          <w:tcPr>
            <w:tcW w:w="2550" w:type="dxa"/>
            <w:vAlign w:val="top"/>
          </w:tcPr>
          <w:p w14:paraId="66187687">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师生满意率85％以下扣1分，满意率80％以下扣2分。</w:t>
            </w:r>
          </w:p>
        </w:tc>
        <w:tc>
          <w:tcPr>
            <w:tcW w:w="750" w:type="dxa"/>
          </w:tcPr>
          <w:p w14:paraId="5D172B98">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r>
      <w:tr w14:paraId="1D2A6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continue"/>
          </w:tcPr>
          <w:p w14:paraId="43D915B2">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tc>
        <w:tc>
          <w:tcPr>
            <w:tcW w:w="4130" w:type="dxa"/>
            <w:vAlign w:val="top"/>
          </w:tcPr>
          <w:p w14:paraId="6E73D2B6">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无生、冷（凉菜除外）、变质菜品、需要定期排查食材的有效期，及时排查并清理过期产品。</w:t>
            </w:r>
          </w:p>
        </w:tc>
        <w:tc>
          <w:tcPr>
            <w:tcW w:w="730" w:type="dxa"/>
            <w:vAlign w:val="top"/>
          </w:tcPr>
          <w:p w14:paraId="748DE61C">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20D4077D">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10</w:t>
            </w:r>
          </w:p>
        </w:tc>
        <w:tc>
          <w:tcPr>
            <w:tcW w:w="2550" w:type="dxa"/>
            <w:vAlign w:val="top"/>
          </w:tcPr>
          <w:p w14:paraId="73A6B063">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5ACD22A0">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发现1次扣2分</w:t>
            </w:r>
          </w:p>
        </w:tc>
        <w:tc>
          <w:tcPr>
            <w:tcW w:w="750" w:type="dxa"/>
          </w:tcPr>
          <w:p w14:paraId="77E3ADD1">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r>
      <w:tr w14:paraId="19D38D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restart"/>
          </w:tcPr>
          <w:p w14:paraId="3CDBD2CF">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19998DFD">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06579824">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46345020">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577FD8C7">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38D79C29">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4BF430FA">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0E0B18DE">
            <w:pPr>
              <w:widowControl w:val="0"/>
              <w:spacing w:line="560" w:lineRule="exact"/>
              <w:jc w:val="left"/>
              <w:rPr>
                <w:rFonts w:hint="default"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食堂管理30</w:t>
            </w:r>
          </w:p>
        </w:tc>
        <w:tc>
          <w:tcPr>
            <w:tcW w:w="4130" w:type="dxa"/>
            <w:vAlign w:val="top"/>
          </w:tcPr>
          <w:p w14:paraId="42A24D72">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各岗位应建立管理制度，员工是否做到日管控，周排查，月调度，做好各种工作台账，进货查险等工作并严格执行。</w:t>
            </w:r>
          </w:p>
        </w:tc>
        <w:tc>
          <w:tcPr>
            <w:tcW w:w="730" w:type="dxa"/>
            <w:vAlign w:val="top"/>
          </w:tcPr>
          <w:p w14:paraId="4D55E1D8">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0A6D8D27">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26487992">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10</w:t>
            </w:r>
          </w:p>
        </w:tc>
        <w:tc>
          <w:tcPr>
            <w:tcW w:w="2550" w:type="dxa"/>
            <w:vAlign w:val="top"/>
          </w:tcPr>
          <w:p w14:paraId="0332808E">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各岗位应建立管理制度，并严格执行。未按要求做台账（如消毒台账、留样台账等）或未落实各项管理制度，每发现1次扣1分。</w:t>
            </w:r>
          </w:p>
        </w:tc>
        <w:tc>
          <w:tcPr>
            <w:tcW w:w="750" w:type="dxa"/>
          </w:tcPr>
          <w:p w14:paraId="3D3CE3DB">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r>
      <w:tr w14:paraId="180002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continue"/>
          </w:tcPr>
          <w:p w14:paraId="0B20D10C">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c>
          <w:tcPr>
            <w:tcW w:w="4130" w:type="dxa"/>
            <w:vAlign w:val="top"/>
          </w:tcPr>
          <w:p w14:paraId="3421AFDB">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23045AED">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严格落实消防安全管理规定。</w:t>
            </w:r>
          </w:p>
        </w:tc>
        <w:tc>
          <w:tcPr>
            <w:tcW w:w="730" w:type="dxa"/>
            <w:vAlign w:val="top"/>
          </w:tcPr>
          <w:p w14:paraId="3BE8552A">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364789DB">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5</w:t>
            </w:r>
          </w:p>
        </w:tc>
        <w:tc>
          <w:tcPr>
            <w:tcW w:w="2550" w:type="dxa"/>
            <w:vAlign w:val="top"/>
          </w:tcPr>
          <w:p w14:paraId="4A613502">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未做到定期检查消防安全的1次如2分，存在私拉电线、电源的1次扣3分。</w:t>
            </w:r>
          </w:p>
        </w:tc>
        <w:tc>
          <w:tcPr>
            <w:tcW w:w="750" w:type="dxa"/>
          </w:tcPr>
          <w:p w14:paraId="6286E50D">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r>
      <w:tr w14:paraId="44934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continue"/>
          </w:tcPr>
          <w:p w14:paraId="644A1D42">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c>
          <w:tcPr>
            <w:tcW w:w="4130" w:type="dxa"/>
            <w:vAlign w:val="top"/>
          </w:tcPr>
          <w:p w14:paraId="6A60FF60">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对所聘厨房人员进行实名登记管理，并对人员在业务及工作态度等方面进行管理。</w:t>
            </w:r>
          </w:p>
        </w:tc>
        <w:tc>
          <w:tcPr>
            <w:tcW w:w="730" w:type="dxa"/>
            <w:vAlign w:val="top"/>
          </w:tcPr>
          <w:p w14:paraId="12E1C79B">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25563332">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5</w:t>
            </w:r>
          </w:p>
        </w:tc>
        <w:tc>
          <w:tcPr>
            <w:tcW w:w="2550" w:type="dxa"/>
            <w:vAlign w:val="top"/>
          </w:tcPr>
          <w:p w14:paraId="5324B1F9">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无审核无登记的1次扣1分，对所聘人员管理不力的1次扣1分。</w:t>
            </w:r>
          </w:p>
        </w:tc>
        <w:tc>
          <w:tcPr>
            <w:tcW w:w="750" w:type="dxa"/>
          </w:tcPr>
          <w:p w14:paraId="2860F71D">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r>
      <w:tr w14:paraId="64411D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46" w:type="dxa"/>
            <w:vMerge w:val="continue"/>
          </w:tcPr>
          <w:p w14:paraId="1EB1F7F6">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c>
          <w:tcPr>
            <w:tcW w:w="4130" w:type="dxa"/>
            <w:vAlign w:val="top"/>
          </w:tcPr>
          <w:p w14:paraId="7122DAC9">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学生未缴费就餐，故意浪费菜品、核油和水、电、燃（油）气，故意破坏厨具物品、员工私带食材出食堂等行为。</w:t>
            </w:r>
          </w:p>
        </w:tc>
        <w:tc>
          <w:tcPr>
            <w:tcW w:w="730" w:type="dxa"/>
            <w:vAlign w:val="top"/>
          </w:tcPr>
          <w:p w14:paraId="1AF35353">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1CF2FA71">
            <w:pPr>
              <w:widowControl w:val="0"/>
              <w:spacing w:line="560" w:lineRule="exact"/>
              <w:jc w:val="center"/>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10</w:t>
            </w:r>
          </w:p>
        </w:tc>
        <w:tc>
          <w:tcPr>
            <w:tcW w:w="2550" w:type="dxa"/>
            <w:vAlign w:val="top"/>
          </w:tcPr>
          <w:p w14:paraId="7211E026">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p>
          <w:p w14:paraId="281F04F6">
            <w:pPr>
              <w:widowControl w:val="0"/>
              <w:spacing w:line="560" w:lineRule="exact"/>
              <w:jc w:val="left"/>
              <w:rPr>
                <w:rFonts w:hint="eastAsia" w:ascii="楷体" w:hAnsi="楷体" w:eastAsia="楷体"/>
                <w:color w:val="000000" w:themeColor="text1"/>
                <w:sz w:val="24"/>
                <w:szCs w:val="24"/>
                <w:vertAlign w:val="baseline"/>
                <w:lang w:val="en-US" w:eastAsia="zh-CN"/>
                <w14:textFill>
                  <w14:solidFill>
                    <w14:schemeClr w14:val="tx1"/>
                  </w14:solidFill>
                </w14:textFill>
              </w:rPr>
            </w:pPr>
            <w:r>
              <w:rPr>
                <w:rFonts w:hint="eastAsia" w:ascii="楷体" w:hAnsi="楷体" w:eastAsia="楷体"/>
                <w:color w:val="000000" w:themeColor="text1"/>
                <w:sz w:val="24"/>
                <w:szCs w:val="24"/>
                <w:vertAlign w:val="baseline"/>
                <w:lang w:val="en-US" w:eastAsia="zh-CN"/>
                <w14:textFill>
                  <w14:solidFill>
                    <w14:schemeClr w14:val="tx1"/>
                  </w14:solidFill>
                </w14:textFill>
              </w:rPr>
              <w:t>发现以上情况一次扣2分。</w:t>
            </w:r>
          </w:p>
        </w:tc>
        <w:tc>
          <w:tcPr>
            <w:tcW w:w="750" w:type="dxa"/>
          </w:tcPr>
          <w:p w14:paraId="0D05E726">
            <w:pPr>
              <w:widowControl w:val="0"/>
              <w:spacing w:line="560" w:lineRule="exact"/>
              <w:jc w:val="left"/>
              <w:rPr>
                <w:rFonts w:hint="eastAsia" w:ascii="楷体" w:hAnsi="楷体" w:eastAsia="楷体"/>
                <w:color w:val="000000" w:themeColor="text1"/>
                <w:sz w:val="32"/>
                <w:szCs w:val="32"/>
                <w:vertAlign w:val="baseline"/>
                <w:lang w:val="en-US" w:eastAsia="zh-CN"/>
                <w14:textFill>
                  <w14:solidFill>
                    <w14:schemeClr w14:val="tx1"/>
                  </w14:solidFill>
                </w14:textFill>
              </w:rPr>
            </w:pPr>
          </w:p>
        </w:tc>
      </w:tr>
    </w:tbl>
    <w:p w14:paraId="32EAE690">
      <w:pPr>
        <w:spacing w:line="560" w:lineRule="exact"/>
        <w:jc w:val="left"/>
        <w:rPr>
          <w:rFonts w:hint="eastAsia" w:ascii="楷体" w:hAnsi="楷体" w:eastAsia="楷体"/>
          <w:color w:val="000000" w:themeColor="text1"/>
          <w:sz w:val="32"/>
          <w:szCs w:val="32"/>
          <w:lang w:val="en-US" w:eastAsia="zh-CN"/>
          <w14:textFill>
            <w14:solidFill>
              <w14:schemeClr w14:val="tx1"/>
            </w14:solidFill>
          </w14:textFill>
        </w:rPr>
      </w:pPr>
    </w:p>
    <w:p w14:paraId="115913D5">
      <w:pPr>
        <w:numPr>
          <w:ilvl w:val="0"/>
          <w:numId w:val="1"/>
        </w:numPr>
        <w:spacing w:line="560" w:lineRule="exact"/>
        <w:ind w:firstLine="643" w:firstLineChars="200"/>
        <w:jc w:val="left"/>
        <w:rPr>
          <w:rFonts w:hint="eastAsia" w:ascii="楷体" w:hAnsi="楷体" w:eastAsia="楷体"/>
          <w:b/>
          <w:bCs/>
          <w:color w:val="000000" w:themeColor="text1"/>
          <w:sz w:val="32"/>
          <w:szCs w:val="32"/>
          <w:lang w:val="en-US" w:eastAsia="zh-CN"/>
          <w14:textFill>
            <w14:solidFill>
              <w14:schemeClr w14:val="tx1"/>
            </w14:solidFill>
          </w14:textFill>
        </w:rPr>
      </w:pPr>
      <w:r>
        <w:rPr>
          <w:rFonts w:hint="eastAsia" w:ascii="楷体" w:hAnsi="楷体" w:eastAsia="楷体"/>
          <w:b/>
          <w:bCs/>
          <w:color w:val="000000" w:themeColor="text1"/>
          <w:sz w:val="32"/>
          <w:szCs w:val="32"/>
          <w:lang w:val="en-US" w:eastAsia="zh-CN"/>
          <w14:textFill>
            <w14:solidFill>
              <w14:schemeClr w14:val="tx1"/>
            </w14:solidFill>
          </w14:textFill>
        </w:rPr>
        <w:t>处罚</w:t>
      </w:r>
      <w:r>
        <w:rPr>
          <w:rFonts w:hint="default" w:ascii="楷体" w:hAnsi="楷体" w:eastAsia="楷体"/>
          <w:b/>
          <w:bCs/>
          <w:color w:val="000000" w:themeColor="text1"/>
          <w:sz w:val="32"/>
          <w:szCs w:val="32"/>
          <w:lang w:val="en-US" w:eastAsia="zh-CN"/>
          <w14:textFill>
            <w14:solidFill>
              <w14:schemeClr w14:val="tx1"/>
            </w14:solidFill>
          </w14:textFill>
        </w:rPr>
        <w:t>机</w:t>
      </w:r>
      <w:r>
        <w:rPr>
          <w:rFonts w:hint="eastAsia" w:ascii="楷体" w:hAnsi="楷体" w:eastAsia="楷体"/>
          <w:b/>
          <w:bCs/>
          <w:color w:val="000000" w:themeColor="text1"/>
          <w:sz w:val="32"/>
          <w:szCs w:val="32"/>
          <w:lang w:val="en-US" w:eastAsia="zh-CN"/>
          <w14:textFill>
            <w14:solidFill>
              <w14:schemeClr w14:val="tx1"/>
            </w14:solidFill>
          </w14:textFill>
        </w:rPr>
        <w:t>制</w:t>
      </w:r>
    </w:p>
    <w:p w14:paraId="6CEFC8DA">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中标方在营业期间，需遵守市场监督管理局食品安全要求及教育部手机不得进校园文件规定，学生只准在卡机刷卡消费，不得收取现金及刷支付宝和微信消费等。如校方检查发现有私收现金及扫支付宝和微信支付现象，视为中标方违约，校方有权要求中标方支付违约金1000元或者单方解除合同。</w:t>
      </w:r>
    </w:p>
    <w:p w14:paraId="59C007F8">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中标方必须遵守学校关于校园保洁方面的规定，保持食堂内部及周边环境的清洁卫生，自觉接受政府环境保护部门的监督管理。对食堂垃圾进行相关的垃圾分类工作并自行清运到指定地点，如发现食堂内卫生清洁不到位或垃圾未分类清运，校方提醒后仍没有整改到位的，每出现一次扣罚款300元。</w:t>
      </w:r>
    </w:p>
    <w:p w14:paraId="4E235E5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3．中标方聘用人员应当具备健康证明，符合上岗要求，如果上级有关部门检查发现问题，所有责任及费用由中标方承担。学校有权不定期进行检查，发现一起违规使用人员事件，从履约保证金中扣除500元。</w:t>
      </w:r>
    </w:p>
    <w:p w14:paraId="152EF0B3">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4、中标方在经营管理期间所聘用的工作人员必须按新《劳动合同法》签订用工合同，购买社会保险，以及根据《工伤保险条例》相关规定为聘用员工购买工伤保险，学校有权对中标方执行情况进行检查督促。中标方聘用人员在校园内发生人身意外事故，全部由中标方负责，与学校无关。</w:t>
      </w:r>
    </w:p>
    <w:p w14:paraId="0E582B33">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5．中标方因工作人员失职或操作不当，出现对师生身体、学校声誉造成损害的，将追究中标方全部责任，严重的直至追究中标方的法律责任。</w:t>
      </w:r>
    </w:p>
    <w:p w14:paraId="1C352C7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6．中标方须保证自觉遵守中华人民共和国法规和政府相关规定，合法经营，并自觉落实房屋的食品、消防、治安、防疫等安全责任，特别要注意防毒、防火、防盗、防漏电等安全工作。因中标方违法违规操作而给学校造成的连带责任和损失，除进行100-1000元／次不等的处罚外，并由中标方负责承担相应的赔偿。</w:t>
      </w:r>
    </w:p>
    <w:p w14:paraId="149971D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7．中标方须自觉维护食堂周边环境卫生，门前实行“卫生三包”。中标方不准在校园内及其管理场所养猪、狗、鸡及其它牲畜。中标方不得占道经营，不得在食堂外摆放、搭建、堆放、张贴任何物品，不得设置音响进行广告宣传，否则学校有权对乙方实施100-1000元／次不等的处罚。</w:t>
      </w:r>
    </w:p>
    <w:p w14:paraId="34793928">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default"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8．中标方不得私自进货售卖，一经发现没收所有物品，并处罚款2000元。</w:t>
      </w:r>
    </w:p>
    <w:p w14:paraId="1E879384">
      <w:pPr>
        <w:bidi w:val="0"/>
        <w:rPr>
          <w:rFonts w:hint="eastAsia" w:ascii="Times New Roman" w:hAnsi="Times New Roman" w:eastAsia="宋体" w:cs="Times New Roman"/>
          <w:kern w:val="2"/>
          <w:sz w:val="21"/>
          <w:szCs w:val="24"/>
          <w:lang w:val="en-US" w:eastAsia="zh-CN" w:bidi="ar-SA"/>
        </w:rPr>
      </w:pPr>
    </w:p>
    <w:p w14:paraId="5189E3B4">
      <w:pPr>
        <w:numPr>
          <w:ilvl w:val="0"/>
          <w:numId w:val="1"/>
        </w:numPr>
        <w:spacing w:line="560" w:lineRule="exact"/>
        <w:ind w:firstLine="643" w:firstLineChars="200"/>
        <w:jc w:val="left"/>
        <w:rPr>
          <w:rFonts w:hint="eastAsia" w:ascii="楷体" w:hAnsi="楷体" w:eastAsia="楷体"/>
          <w:b/>
          <w:bCs/>
          <w:color w:val="000000" w:themeColor="text1"/>
          <w:sz w:val="32"/>
          <w:szCs w:val="32"/>
          <w:lang w:val="en-US" w:eastAsia="zh-CN"/>
          <w14:textFill>
            <w14:solidFill>
              <w14:schemeClr w14:val="tx1"/>
            </w14:solidFill>
          </w14:textFill>
        </w:rPr>
      </w:pPr>
      <w:r>
        <w:rPr>
          <w:rFonts w:hint="eastAsia" w:ascii="楷体" w:hAnsi="楷体" w:eastAsia="楷体"/>
          <w:b/>
          <w:bCs/>
          <w:color w:val="000000" w:themeColor="text1"/>
          <w:sz w:val="32"/>
          <w:szCs w:val="32"/>
          <w:lang w:val="en-US" w:eastAsia="zh-CN"/>
          <w14:textFill>
            <w14:solidFill>
              <w14:schemeClr w14:val="tx1"/>
            </w14:solidFill>
          </w14:textFill>
        </w:rPr>
        <w:t>奖惩</w:t>
      </w:r>
      <w:r>
        <w:rPr>
          <w:rFonts w:hint="default" w:ascii="楷体" w:hAnsi="楷体" w:eastAsia="楷体"/>
          <w:b/>
          <w:bCs/>
          <w:color w:val="000000" w:themeColor="text1"/>
          <w:sz w:val="32"/>
          <w:szCs w:val="32"/>
          <w:lang w:val="en-US" w:eastAsia="zh-CN"/>
          <w14:textFill>
            <w14:solidFill>
              <w14:schemeClr w14:val="tx1"/>
            </w14:solidFill>
          </w14:textFill>
        </w:rPr>
        <w:t>机</w:t>
      </w:r>
      <w:r>
        <w:rPr>
          <w:rFonts w:hint="eastAsia" w:ascii="楷体" w:hAnsi="楷体" w:eastAsia="楷体"/>
          <w:b/>
          <w:bCs/>
          <w:color w:val="000000" w:themeColor="text1"/>
          <w:sz w:val="32"/>
          <w:szCs w:val="32"/>
          <w:lang w:val="en-US" w:eastAsia="zh-CN"/>
          <w14:textFill>
            <w14:solidFill>
              <w14:schemeClr w14:val="tx1"/>
            </w14:solidFill>
          </w14:textFill>
        </w:rPr>
        <w:t>制</w:t>
      </w:r>
    </w:p>
    <w:p w14:paraId="501114C5">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1. 奖励金额为食堂当年营业额的1%-2%。（以合同周期满一年为考核年）</w:t>
      </w:r>
    </w:p>
    <w:p w14:paraId="60DCBE30">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2．食堂若当年总成本占当年营业额的97%-98%（其中：原材料成本含主辅料和调料控制在当年营业额的70%-71%以内，动力（水电气等）成本控制在当年营业额的4%以内），且考核在90分以上（合90分），且没有发生安全事件，学校按当年食堂营业额的2%作为奖励奖给中标方。</w:t>
      </w:r>
    </w:p>
    <w:p w14:paraId="6F1C0041">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3．食堂若每年总成本占当年营业额的98%-99%（其中：原材料成本含主辅料和调料控制在营业额的70%-72%以内、动力（水电气等）成本控制在营业额的4%以内），且考核在85分以上（含85分），且没有发生安全事件，学校按当年食堂营业额的1%作为奖励奖给中标方。</w:t>
      </w:r>
    </w:p>
    <w:p w14:paraId="27B3F169">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当年总成本=当年营业额*中标率（21.5%-22%期间）的餐饮服务费+原材料成本（主辅料和调料）＋动力（水电气等）成本+设备折旧及低值易耗品成本（不超过当年营业额的5%）</w:t>
      </w:r>
    </w:p>
    <w:p w14:paraId="796E7EAA">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0" w:firstLineChars="200"/>
        <w:jc w:val="both"/>
        <w:textAlignment w:val="baseline"/>
        <w:rPr>
          <w:rFonts w:hint="eastAsia" w:ascii="宋体" w:hAnsi="宋体" w:eastAsia="宋体" w:cs="宋体"/>
          <w:color w:val="auto"/>
          <w:spacing w:val="0"/>
          <w:position w:val="0"/>
          <w:sz w:val="24"/>
          <w:szCs w:val="24"/>
          <w:highlight w:val="yellow"/>
          <w:lang w:val="en-US" w:eastAsia="zh-CN"/>
        </w:rPr>
      </w:pPr>
      <w:r>
        <w:rPr>
          <w:rFonts w:hint="eastAsia" w:ascii="宋体" w:hAnsi="宋体" w:eastAsia="宋体" w:cs="宋体"/>
          <w:color w:val="auto"/>
          <w:spacing w:val="0"/>
          <w:position w:val="0"/>
          <w:sz w:val="24"/>
          <w:szCs w:val="24"/>
          <w:highlight w:val="none"/>
          <w:lang w:val="en-US" w:eastAsia="zh-CN"/>
        </w:rPr>
        <w:t>若中标方未能将食材成本控制在当年营业额的70%-75%，则招标方有权扣除当年营业额的2%的餐饮服务费。</w:t>
      </w:r>
    </w:p>
    <w:p w14:paraId="2B5CA3CD">
      <w:pPr>
        <w:keepNext w:val="0"/>
        <w:keepLines w:val="0"/>
        <w:pageBreakBefore w:val="0"/>
        <w:widowControl w:val="0"/>
        <w:kinsoku w:val="0"/>
        <w:wordWrap/>
        <w:overflowPunct/>
        <w:topLinePunct w:val="0"/>
        <w:autoSpaceDE w:val="0"/>
        <w:autoSpaceDN w:val="0"/>
        <w:bidi w:val="0"/>
        <w:adjustRightInd w:val="0"/>
        <w:snapToGrid w:val="0"/>
        <w:spacing w:before="78" w:line="500" w:lineRule="atLeast"/>
        <w:ind w:right="80" w:firstLine="482" w:firstLineChars="200"/>
        <w:jc w:val="both"/>
        <w:textAlignment w:val="baseline"/>
        <w:rPr>
          <w:rFonts w:hint="eastAsia" w:ascii="楷体" w:hAnsi="楷体" w:eastAsia="楷体"/>
          <w:color w:val="000000" w:themeColor="text1"/>
          <w:sz w:val="32"/>
          <w:szCs w:val="32"/>
          <w:lang w:val="en-US" w:eastAsia="zh-CN"/>
          <w14:textFill>
            <w14:solidFill>
              <w14:schemeClr w14:val="tx1"/>
            </w14:solidFill>
          </w14:textFill>
        </w:rPr>
      </w:pPr>
      <w:r>
        <w:rPr>
          <w:rFonts w:hint="eastAsia" w:ascii="宋体" w:hAnsi="宋体" w:eastAsia="宋体" w:cs="宋体"/>
          <w:b/>
          <w:bCs/>
          <w:color w:val="auto"/>
          <w:spacing w:val="0"/>
          <w:position w:val="0"/>
          <w:sz w:val="24"/>
          <w:szCs w:val="24"/>
          <w:highlight w:val="none"/>
          <w:lang w:val="en-US" w:eastAsia="zh-CN"/>
        </w:rPr>
        <w:t>注：</w:t>
      </w:r>
      <w:r>
        <w:rPr>
          <w:rFonts w:hint="eastAsia" w:ascii="宋体" w:hAnsi="宋体" w:eastAsia="宋体" w:cs="宋体"/>
          <w:color w:val="auto"/>
          <w:spacing w:val="0"/>
          <w:position w:val="0"/>
          <w:sz w:val="24"/>
          <w:szCs w:val="24"/>
          <w:highlight w:val="none"/>
          <w:lang w:val="en-US" w:eastAsia="zh-CN"/>
        </w:rPr>
        <w:t>上述服务内容是最低限度的要求，中标方提供的服务应达到或优于本招标文件要求，且符合国家现行有关标准和规范要求，否则将以无效标处理。</w:t>
      </w:r>
    </w:p>
    <w:p w14:paraId="3F6FE029">
      <w:pPr>
        <w:pageBreakBefore w:val="0"/>
        <w:widowControl w:val="0"/>
        <w:wordWrap/>
        <w:overflowPunct/>
        <w:topLinePunct w:val="0"/>
        <w:bidi w:val="0"/>
        <w:spacing w:line="245" w:lineRule="auto"/>
        <w:rPr>
          <w:color w:val="auto"/>
          <w:spacing w:val="0"/>
          <w:position w:val="0"/>
          <w:lang w:eastAsia="zh-CN"/>
        </w:rPr>
      </w:pPr>
    </w:p>
    <w:p w14:paraId="643491DF">
      <w:pPr>
        <w:pageBreakBefore w:val="0"/>
        <w:widowControl w:val="0"/>
        <w:wordWrap/>
        <w:overflowPunct/>
        <w:topLinePunct w:val="0"/>
        <w:bidi w:val="0"/>
        <w:spacing w:line="245" w:lineRule="auto"/>
        <w:rPr>
          <w:color w:val="auto"/>
          <w:spacing w:val="0"/>
          <w:position w:val="0"/>
          <w:lang w:eastAsia="zh-CN"/>
        </w:rPr>
      </w:pPr>
    </w:p>
    <w:p w14:paraId="43D1022E">
      <w:pPr>
        <w:pageBreakBefore w:val="0"/>
        <w:widowControl w:val="0"/>
        <w:wordWrap/>
        <w:overflowPunct/>
        <w:topLinePunct w:val="0"/>
        <w:bidi w:val="0"/>
        <w:spacing w:line="245" w:lineRule="auto"/>
        <w:rPr>
          <w:color w:val="auto"/>
          <w:spacing w:val="0"/>
          <w:position w:val="0"/>
          <w:lang w:eastAsia="zh-CN"/>
        </w:rPr>
      </w:pPr>
    </w:p>
    <w:p w14:paraId="728F7282">
      <w:pPr>
        <w:pageBreakBefore w:val="0"/>
        <w:widowControl w:val="0"/>
        <w:wordWrap/>
        <w:overflowPunct/>
        <w:topLinePunct w:val="0"/>
        <w:bidi w:val="0"/>
        <w:spacing w:line="245" w:lineRule="auto"/>
        <w:rPr>
          <w:color w:val="auto"/>
          <w:spacing w:val="0"/>
          <w:position w:val="0"/>
          <w:lang w:eastAsia="zh-CN"/>
        </w:rPr>
      </w:pPr>
    </w:p>
    <w:p w14:paraId="3530A294">
      <w:pPr>
        <w:pageBreakBefore w:val="0"/>
        <w:widowControl w:val="0"/>
        <w:wordWrap/>
        <w:overflowPunct/>
        <w:topLinePunct w:val="0"/>
        <w:bidi w:val="0"/>
        <w:spacing w:line="245" w:lineRule="auto"/>
        <w:rPr>
          <w:color w:val="auto"/>
          <w:spacing w:val="0"/>
          <w:position w:val="0"/>
          <w:lang w:eastAsia="zh-CN"/>
        </w:rPr>
      </w:pPr>
    </w:p>
    <w:p w14:paraId="20D2CE69">
      <w:pPr>
        <w:pageBreakBefore w:val="0"/>
        <w:widowControl w:val="0"/>
        <w:wordWrap/>
        <w:overflowPunct/>
        <w:topLinePunct w:val="0"/>
        <w:bidi w:val="0"/>
        <w:spacing w:line="245" w:lineRule="auto"/>
        <w:rPr>
          <w:color w:val="auto"/>
          <w:spacing w:val="0"/>
          <w:position w:val="0"/>
          <w:lang w:eastAsia="zh-CN"/>
        </w:rPr>
      </w:pPr>
    </w:p>
    <w:p w14:paraId="20A71204">
      <w:pPr>
        <w:pageBreakBefore w:val="0"/>
        <w:widowControl w:val="0"/>
        <w:wordWrap/>
        <w:overflowPunct/>
        <w:topLinePunct w:val="0"/>
        <w:bidi w:val="0"/>
        <w:spacing w:line="245" w:lineRule="auto"/>
        <w:rPr>
          <w:color w:val="auto"/>
          <w:spacing w:val="0"/>
          <w:position w:val="0"/>
          <w:lang w:eastAsia="zh-CN"/>
        </w:rPr>
      </w:pPr>
    </w:p>
    <w:p w14:paraId="256B097F">
      <w:pPr>
        <w:pageBreakBefore w:val="0"/>
        <w:widowControl w:val="0"/>
        <w:wordWrap/>
        <w:overflowPunct/>
        <w:topLinePunct w:val="0"/>
        <w:bidi w:val="0"/>
        <w:spacing w:line="245" w:lineRule="auto"/>
        <w:rPr>
          <w:color w:val="auto"/>
          <w:spacing w:val="0"/>
          <w:position w:val="0"/>
          <w:lang w:eastAsia="zh-CN"/>
        </w:rPr>
      </w:pPr>
    </w:p>
    <w:p w14:paraId="78725ABB">
      <w:pPr>
        <w:pageBreakBefore w:val="0"/>
        <w:widowControl w:val="0"/>
        <w:wordWrap/>
        <w:overflowPunct/>
        <w:topLinePunct w:val="0"/>
        <w:bidi w:val="0"/>
        <w:spacing w:line="245" w:lineRule="auto"/>
        <w:rPr>
          <w:color w:val="auto"/>
          <w:spacing w:val="0"/>
          <w:position w:val="0"/>
          <w:lang w:eastAsia="zh-CN"/>
        </w:rPr>
      </w:pPr>
    </w:p>
    <w:p w14:paraId="12CA0DF4">
      <w:pPr>
        <w:pageBreakBefore w:val="0"/>
        <w:widowControl w:val="0"/>
        <w:wordWrap/>
        <w:overflowPunct/>
        <w:topLinePunct w:val="0"/>
        <w:bidi w:val="0"/>
        <w:spacing w:line="245" w:lineRule="auto"/>
        <w:rPr>
          <w:color w:val="auto"/>
          <w:spacing w:val="0"/>
          <w:position w:val="0"/>
          <w:lang w:eastAsia="zh-CN"/>
        </w:rPr>
      </w:pPr>
    </w:p>
    <w:p w14:paraId="6890E6A7">
      <w:pPr>
        <w:pageBreakBefore w:val="0"/>
        <w:widowControl w:val="0"/>
        <w:wordWrap/>
        <w:overflowPunct/>
        <w:topLinePunct w:val="0"/>
        <w:bidi w:val="0"/>
        <w:spacing w:line="245" w:lineRule="auto"/>
        <w:rPr>
          <w:color w:val="auto"/>
          <w:spacing w:val="0"/>
          <w:position w:val="0"/>
          <w:lang w:eastAsia="zh-CN"/>
        </w:rPr>
      </w:pPr>
    </w:p>
    <w:p w14:paraId="372F6E25">
      <w:pPr>
        <w:pageBreakBefore w:val="0"/>
        <w:widowControl w:val="0"/>
        <w:wordWrap/>
        <w:overflowPunct/>
        <w:topLinePunct w:val="0"/>
        <w:bidi w:val="0"/>
        <w:spacing w:line="245" w:lineRule="auto"/>
        <w:rPr>
          <w:color w:val="auto"/>
          <w:spacing w:val="0"/>
          <w:position w:val="0"/>
          <w:lang w:eastAsia="zh-CN"/>
        </w:rPr>
      </w:pPr>
    </w:p>
    <w:p w14:paraId="22CBB5AF">
      <w:pPr>
        <w:pageBreakBefore w:val="0"/>
        <w:widowControl w:val="0"/>
        <w:wordWrap/>
        <w:overflowPunct/>
        <w:topLinePunct w:val="0"/>
        <w:bidi w:val="0"/>
        <w:spacing w:line="245" w:lineRule="auto"/>
        <w:rPr>
          <w:color w:val="auto"/>
          <w:spacing w:val="0"/>
          <w:position w:val="0"/>
          <w:lang w:eastAsia="zh-CN"/>
        </w:rPr>
      </w:pPr>
    </w:p>
    <w:p w14:paraId="6525F75F">
      <w:pPr>
        <w:pageBreakBefore w:val="0"/>
        <w:widowControl w:val="0"/>
        <w:wordWrap/>
        <w:overflowPunct/>
        <w:topLinePunct w:val="0"/>
        <w:bidi w:val="0"/>
        <w:spacing w:line="245" w:lineRule="auto"/>
        <w:rPr>
          <w:color w:val="auto"/>
          <w:spacing w:val="0"/>
          <w:position w:val="0"/>
          <w:lang w:eastAsia="zh-CN"/>
        </w:rPr>
      </w:pPr>
    </w:p>
    <w:p w14:paraId="0FADB85B">
      <w:pPr>
        <w:pageBreakBefore w:val="0"/>
        <w:widowControl w:val="0"/>
        <w:wordWrap/>
        <w:overflowPunct/>
        <w:topLinePunct w:val="0"/>
        <w:bidi w:val="0"/>
        <w:spacing w:line="245" w:lineRule="auto"/>
        <w:rPr>
          <w:color w:val="auto"/>
          <w:spacing w:val="0"/>
          <w:position w:val="0"/>
          <w:lang w:eastAsia="zh-CN"/>
        </w:rPr>
      </w:pPr>
    </w:p>
    <w:p w14:paraId="70AB6AE4">
      <w:pPr>
        <w:pageBreakBefore w:val="0"/>
        <w:widowControl w:val="0"/>
        <w:wordWrap/>
        <w:overflowPunct/>
        <w:topLinePunct w:val="0"/>
        <w:bidi w:val="0"/>
        <w:spacing w:line="245" w:lineRule="auto"/>
        <w:rPr>
          <w:color w:val="auto"/>
          <w:spacing w:val="0"/>
          <w:position w:val="0"/>
          <w:lang w:eastAsia="zh-CN"/>
        </w:rPr>
      </w:pPr>
    </w:p>
    <w:p w14:paraId="08E037E4">
      <w:pPr>
        <w:pageBreakBefore w:val="0"/>
        <w:widowControl w:val="0"/>
        <w:wordWrap/>
        <w:overflowPunct/>
        <w:topLinePunct w:val="0"/>
        <w:bidi w:val="0"/>
        <w:spacing w:line="245" w:lineRule="auto"/>
        <w:rPr>
          <w:color w:val="auto"/>
          <w:spacing w:val="0"/>
          <w:position w:val="0"/>
          <w:lang w:eastAsia="zh-CN"/>
        </w:rPr>
      </w:pPr>
    </w:p>
    <w:p w14:paraId="7E16B1BF">
      <w:pPr>
        <w:pageBreakBefore w:val="0"/>
        <w:widowControl w:val="0"/>
        <w:wordWrap/>
        <w:overflowPunct/>
        <w:topLinePunct w:val="0"/>
        <w:bidi w:val="0"/>
        <w:spacing w:line="245" w:lineRule="auto"/>
        <w:rPr>
          <w:color w:val="auto"/>
          <w:spacing w:val="0"/>
          <w:position w:val="0"/>
          <w:lang w:eastAsia="zh-CN"/>
        </w:rPr>
      </w:pPr>
    </w:p>
    <w:p w14:paraId="4A6DCB47">
      <w:pPr>
        <w:pageBreakBefore w:val="0"/>
        <w:widowControl w:val="0"/>
        <w:wordWrap/>
        <w:overflowPunct/>
        <w:topLinePunct w:val="0"/>
        <w:bidi w:val="0"/>
        <w:spacing w:line="245" w:lineRule="auto"/>
        <w:rPr>
          <w:color w:val="auto"/>
          <w:spacing w:val="0"/>
          <w:position w:val="0"/>
          <w:lang w:eastAsia="zh-CN"/>
        </w:rPr>
      </w:pPr>
    </w:p>
    <w:p w14:paraId="3DEEC076">
      <w:pPr>
        <w:pageBreakBefore w:val="0"/>
        <w:widowControl w:val="0"/>
        <w:wordWrap/>
        <w:overflowPunct/>
        <w:topLinePunct w:val="0"/>
        <w:bidi w:val="0"/>
        <w:spacing w:line="245" w:lineRule="auto"/>
        <w:rPr>
          <w:color w:val="auto"/>
          <w:spacing w:val="0"/>
          <w:position w:val="0"/>
          <w:lang w:eastAsia="zh-CN"/>
        </w:rPr>
      </w:pPr>
    </w:p>
    <w:p w14:paraId="33D038AE">
      <w:pPr>
        <w:pageBreakBefore w:val="0"/>
        <w:widowControl w:val="0"/>
        <w:wordWrap/>
        <w:overflowPunct/>
        <w:topLinePunct w:val="0"/>
        <w:bidi w:val="0"/>
        <w:spacing w:line="245" w:lineRule="auto"/>
        <w:rPr>
          <w:color w:val="auto"/>
          <w:spacing w:val="0"/>
          <w:position w:val="0"/>
          <w:lang w:eastAsia="zh-CN"/>
        </w:rPr>
      </w:pPr>
    </w:p>
    <w:p w14:paraId="4A0142F5">
      <w:pPr>
        <w:pageBreakBefore w:val="0"/>
        <w:widowControl w:val="0"/>
        <w:wordWrap/>
        <w:overflowPunct/>
        <w:topLinePunct w:val="0"/>
        <w:bidi w:val="0"/>
        <w:spacing w:line="245" w:lineRule="auto"/>
        <w:rPr>
          <w:color w:val="auto"/>
          <w:spacing w:val="0"/>
          <w:position w:val="0"/>
          <w:lang w:eastAsia="zh-CN"/>
        </w:rPr>
      </w:pPr>
    </w:p>
    <w:p w14:paraId="43252E65">
      <w:pPr>
        <w:pageBreakBefore w:val="0"/>
        <w:widowControl w:val="0"/>
        <w:wordWrap/>
        <w:overflowPunct/>
        <w:topLinePunct w:val="0"/>
        <w:bidi w:val="0"/>
        <w:spacing w:line="245" w:lineRule="auto"/>
        <w:rPr>
          <w:color w:val="auto"/>
          <w:spacing w:val="0"/>
          <w:position w:val="0"/>
          <w:lang w:eastAsia="zh-CN"/>
        </w:rPr>
      </w:pPr>
    </w:p>
    <w:p w14:paraId="6DF0FDFC">
      <w:pPr>
        <w:pageBreakBefore w:val="0"/>
        <w:widowControl w:val="0"/>
        <w:wordWrap/>
        <w:overflowPunct/>
        <w:topLinePunct w:val="0"/>
        <w:bidi w:val="0"/>
        <w:spacing w:line="245" w:lineRule="auto"/>
        <w:rPr>
          <w:color w:val="auto"/>
          <w:spacing w:val="0"/>
          <w:position w:val="0"/>
          <w:lang w:eastAsia="zh-CN"/>
        </w:rPr>
      </w:pPr>
    </w:p>
    <w:p w14:paraId="0970ED5B">
      <w:pPr>
        <w:pageBreakBefore w:val="0"/>
        <w:widowControl w:val="0"/>
        <w:wordWrap/>
        <w:overflowPunct/>
        <w:topLinePunct w:val="0"/>
        <w:bidi w:val="0"/>
        <w:spacing w:line="245" w:lineRule="auto"/>
        <w:rPr>
          <w:color w:val="auto"/>
          <w:spacing w:val="0"/>
          <w:position w:val="0"/>
          <w:lang w:eastAsia="zh-CN"/>
        </w:rPr>
      </w:pPr>
    </w:p>
    <w:p w14:paraId="28CF58CC">
      <w:pPr>
        <w:pageBreakBefore w:val="0"/>
        <w:widowControl w:val="0"/>
        <w:wordWrap/>
        <w:overflowPunct/>
        <w:topLinePunct w:val="0"/>
        <w:bidi w:val="0"/>
        <w:spacing w:line="245" w:lineRule="auto"/>
        <w:rPr>
          <w:color w:val="auto"/>
          <w:spacing w:val="0"/>
          <w:position w:val="0"/>
          <w:lang w:eastAsia="zh-CN"/>
        </w:rPr>
      </w:pPr>
    </w:p>
    <w:p w14:paraId="6B8E6865">
      <w:pPr>
        <w:pageBreakBefore w:val="0"/>
        <w:widowControl w:val="0"/>
        <w:wordWrap/>
        <w:overflowPunct/>
        <w:topLinePunct w:val="0"/>
        <w:bidi w:val="0"/>
        <w:spacing w:line="245" w:lineRule="auto"/>
        <w:rPr>
          <w:color w:val="auto"/>
          <w:spacing w:val="0"/>
          <w:position w:val="0"/>
          <w:lang w:eastAsia="zh-CN"/>
        </w:rPr>
      </w:pPr>
    </w:p>
    <w:p w14:paraId="5E39E083">
      <w:pPr>
        <w:pageBreakBefore w:val="0"/>
        <w:widowControl w:val="0"/>
        <w:wordWrap/>
        <w:overflowPunct/>
        <w:topLinePunct w:val="0"/>
        <w:bidi w:val="0"/>
        <w:spacing w:line="245" w:lineRule="auto"/>
        <w:rPr>
          <w:color w:val="auto"/>
          <w:spacing w:val="0"/>
          <w:position w:val="0"/>
          <w:lang w:eastAsia="zh-CN"/>
        </w:rPr>
      </w:pPr>
    </w:p>
    <w:p w14:paraId="08C5E417">
      <w:pPr>
        <w:pageBreakBefore w:val="0"/>
        <w:widowControl w:val="0"/>
        <w:wordWrap/>
        <w:overflowPunct/>
        <w:topLinePunct w:val="0"/>
        <w:bidi w:val="0"/>
        <w:spacing w:line="245" w:lineRule="auto"/>
        <w:rPr>
          <w:color w:val="auto"/>
          <w:spacing w:val="0"/>
          <w:position w:val="0"/>
          <w:lang w:eastAsia="zh-CN"/>
        </w:rPr>
      </w:pPr>
    </w:p>
    <w:p w14:paraId="1060B9D2">
      <w:pPr>
        <w:pageBreakBefore w:val="0"/>
        <w:widowControl w:val="0"/>
        <w:wordWrap/>
        <w:overflowPunct/>
        <w:topLinePunct w:val="0"/>
        <w:bidi w:val="0"/>
        <w:spacing w:line="245" w:lineRule="auto"/>
        <w:rPr>
          <w:color w:val="auto"/>
          <w:spacing w:val="0"/>
          <w:position w:val="0"/>
          <w:lang w:eastAsia="zh-CN"/>
        </w:rPr>
      </w:pPr>
    </w:p>
    <w:p w14:paraId="5E83758A">
      <w:pPr>
        <w:pageBreakBefore w:val="0"/>
        <w:widowControl w:val="0"/>
        <w:wordWrap/>
        <w:overflowPunct/>
        <w:topLinePunct w:val="0"/>
        <w:bidi w:val="0"/>
        <w:spacing w:before="78" w:line="219" w:lineRule="auto"/>
        <w:rPr>
          <w:rFonts w:ascii="宋体" w:hAnsi="宋体" w:eastAsia="宋体" w:cs="宋体"/>
          <w:color w:val="auto"/>
          <w:spacing w:val="0"/>
          <w:position w:val="0"/>
          <w:sz w:val="24"/>
          <w:szCs w:val="24"/>
          <w:lang w:eastAsia="zh-CN"/>
        </w:rPr>
      </w:pPr>
      <w:r>
        <w:rPr>
          <w:rFonts w:ascii="宋体" w:hAnsi="宋体" w:eastAsia="宋体" w:cs="宋体"/>
          <w:color w:val="auto"/>
          <w:spacing w:val="0"/>
          <w:position w:val="0"/>
          <w:sz w:val="24"/>
          <w:szCs w:val="24"/>
          <w:lang w:eastAsia="zh-CN"/>
        </w:rPr>
        <w:t>（二） 商务条件</w:t>
      </w:r>
    </w:p>
    <w:p w14:paraId="239A7C66">
      <w:pPr>
        <w:pageBreakBefore w:val="0"/>
        <w:widowControl w:val="0"/>
        <w:wordWrap/>
        <w:overflowPunct/>
        <w:topLinePunct w:val="0"/>
        <w:bidi w:val="0"/>
        <w:spacing w:line="249" w:lineRule="auto"/>
        <w:rPr>
          <w:color w:val="auto"/>
          <w:spacing w:val="0"/>
          <w:position w:val="0"/>
          <w:lang w:eastAsia="zh-CN"/>
        </w:rPr>
      </w:pPr>
    </w:p>
    <w:p w14:paraId="5E4F17A4">
      <w:pPr>
        <w:spacing w:line="560" w:lineRule="exact"/>
        <w:ind w:firstLine="321" w:firstLineChars="100"/>
        <w:jc w:val="left"/>
        <w:rPr>
          <w:rFonts w:hint="eastAsia" w:ascii="仿宋" w:hAnsi="仿宋" w:eastAsia="仿宋"/>
          <w:b/>
          <w:bCs/>
          <w:sz w:val="32"/>
          <w:szCs w:val="32"/>
        </w:rPr>
      </w:pPr>
      <w:r>
        <w:rPr>
          <w:rFonts w:hint="eastAsia" w:ascii="仿宋" w:hAnsi="仿宋" w:eastAsia="仿宋"/>
          <w:b/>
          <w:bCs/>
          <w:sz w:val="32"/>
          <w:szCs w:val="32"/>
        </w:rPr>
        <w:t>商务要求</w:t>
      </w:r>
    </w:p>
    <w:p w14:paraId="35132812">
      <w:pPr>
        <w:pageBreakBefore w:val="0"/>
        <w:widowControl w:val="0"/>
        <w:numPr>
          <w:ilvl w:val="0"/>
          <w:numId w:val="0"/>
        </w:numPr>
        <w:wordWrap/>
        <w:overflowPunct/>
        <w:topLinePunct w:val="0"/>
        <w:bidi w:val="0"/>
        <w:spacing w:before="78"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1.服务期：三年（从2026年9月1日起至2029年7月31日止）。</w:t>
      </w:r>
      <w:r>
        <w:rPr>
          <w:rFonts w:hint="eastAsia" w:ascii="宋体" w:hAnsi="宋体" w:eastAsia="宋体" w:cs="宋体"/>
          <w:color w:val="auto"/>
          <w:spacing w:val="0"/>
          <w:position w:val="0"/>
          <w:sz w:val="24"/>
          <w:szCs w:val="24"/>
          <w:highlight w:val="none"/>
          <w:lang w:val="en-US" w:eastAsia="zh-CN"/>
        </w:rPr>
        <w:t>采购预算作为招标预算，最终结算金额按食堂每月营业额*中标服务费率（21.5%</w:t>
      </w:r>
      <w:r>
        <w:rPr>
          <w:rFonts w:hint="eastAsia" w:ascii="宋体" w:hAnsi="宋体" w:eastAsia="宋体" w:cs="宋体"/>
          <w:bCs/>
          <w:color w:val="auto"/>
          <w:spacing w:val="0"/>
          <w:kern w:val="0"/>
          <w:position w:val="0"/>
          <w:sz w:val="24"/>
          <w:szCs w:val="24"/>
          <w:highlight w:val="none"/>
          <w:lang w:val="en-US" w:eastAsia="zh-CN"/>
        </w:rPr>
        <w:t>～</w:t>
      </w:r>
      <w:r>
        <w:rPr>
          <w:rFonts w:hint="eastAsia" w:ascii="宋体" w:hAnsi="宋体" w:eastAsia="宋体" w:cs="宋体"/>
          <w:color w:val="auto"/>
          <w:spacing w:val="0"/>
          <w:position w:val="0"/>
          <w:sz w:val="24"/>
          <w:szCs w:val="24"/>
          <w:highlight w:val="none"/>
          <w:lang w:val="en-US" w:eastAsia="zh-CN"/>
        </w:rPr>
        <w:t>22%期间）计算为准。</w:t>
      </w:r>
    </w:p>
    <w:p w14:paraId="614DBA10">
      <w:pPr>
        <w:pageBreakBefore w:val="0"/>
        <w:widowControl w:val="0"/>
        <w:numPr>
          <w:ilvl w:val="0"/>
          <w:numId w:val="0"/>
        </w:numPr>
        <w:wordWrap/>
        <w:overflowPunct/>
        <w:topLinePunct w:val="0"/>
        <w:bidi w:val="0"/>
        <w:spacing w:before="78"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付款金额及付款方式：餐饮服务费按食堂当月营业总额的中标率计算（奖惩另算），中标方凭正式有效餐饮服务发票按月结算当月费用，次月15日前支付餐饮服务费用（如有罚金需扣除后支付）。餐饮服务费用包括但不限于餐饮服务人员工资、社会保险、意外险、食责险、日常外药、体检费、加班费、税费、管理费等，采购人不另外支付其他费用。</w:t>
      </w:r>
    </w:p>
    <w:p w14:paraId="08BA9075">
      <w:pPr>
        <w:pageBreakBefore w:val="0"/>
        <w:widowControl w:val="0"/>
        <w:wordWrap/>
        <w:overflowPunct/>
        <w:topLinePunct w:val="0"/>
        <w:bidi w:val="0"/>
        <w:spacing w:before="78"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3．服务地点：鹰潭一中校内食堂。</w:t>
      </w:r>
    </w:p>
    <w:p w14:paraId="363CE55C">
      <w:pPr>
        <w:pageBreakBefore w:val="0"/>
        <w:widowControl w:val="0"/>
        <w:wordWrap/>
        <w:overflowPunct/>
        <w:topLinePunct w:val="0"/>
        <w:bidi w:val="0"/>
        <w:spacing w:before="78"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4．履约保证金：履约保证金金额：10万元</w:t>
      </w:r>
    </w:p>
    <w:p w14:paraId="6D5F2762">
      <w:pPr>
        <w:pageBreakBefore w:val="0"/>
        <w:widowControl w:val="0"/>
        <w:wordWrap/>
        <w:overflowPunct/>
        <w:topLinePunct w:val="0"/>
        <w:bidi w:val="0"/>
        <w:spacing w:before="78"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本项目履约保证金</w:t>
      </w:r>
      <w:r>
        <w:rPr>
          <w:rFonts w:hint="eastAsia" w:ascii="宋体" w:hAnsi="宋体" w:eastAsia="宋体" w:cs="宋体"/>
          <w:color w:val="auto"/>
          <w:spacing w:val="0"/>
          <w:position w:val="0"/>
          <w:sz w:val="24"/>
          <w:szCs w:val="24"/>
          <w:highlight w:val="none"/>
          <w:lang w:val="en-US" w:eastAsia="zh-CN"/>
        </w:rPr>
        <w:t>应当以银行转账（电汇）</w:t>
      </w:r>
      <w:r>
        <w:rPr>
          <w:rFonts w:hint="eastAsia" w:ascii="宋体" w:hAnsi="宋体" w:eastAsia="宋体" w:cs="宋体"/>
          <w:color w:val="auto"/>
          <w:spacing w:val="0"/>
          <w:position w:val="0"/>
          <w:sz w:val="24"/>
          <w:szCs w:val="24"/>
          <w:lang w:val="en-US" w:eastAsia="zh-CN"/>
        </w:rPr>
        <w:t>、支票、汇票、本票或者金融机构、担保机构出具的保函等非现金形式提交</w:t>
      </w:r>
    </w:p>
    <w:p w14:paraId="226B5118">
      <w:pPr>
        <w:pageBreakBefore w:val="0"/>
        <w:widowControl w:val="0"/>
        <w:wordWrap/>
        <w:overflowPunct/>
        <w:topLinePunct w:val="0"/>
        <w:bidi w:val="0"/>
        <w:spacing w:before="78"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（1）中标投标人应在合同签订后7个工作日内缴纳履约保证金，并保持合同履行期内持续有效；采购人在合同履行期结束后一个月内退回履约保证金（不计息）。</w:t>
      </w:r>
    </w:p>
    <w:p w14:paraId="272D08CA">
      <w:pPr>
        <w:pageBreakBefore w:val="0"/>
        <w:widowControl w:val="0"/>
        <w:wordWrap/>
        <w:overflowPunct/>
        <w:topLinePunct w:val="0"/>
        <w:bidi w:val="0"/>
        <w:spacing w:before="78"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（2）不予退还的情形：①中标投标人不履行合同主要义务，且采购人催告仍不履行的；②合同履行期内发生重大、特别重大生产安全事故的，且应负主要责任的；③法律法规规定的不予退还履约保证金的情形。</w:t>
      </w:r>
    </w:p>
    <w:p w14:paraId="036671C3">
      <w:pPr>
        <w:pageBreakBefore w:val="0"/>
        <w:widowControl w:val="0"/>
        <w:wordWrap/>
        <w:overflowPunct/>
        <w:topLinePunct w:val="0"/>
        <w:bidi w:val="0"/>
        <w:spacing w:before="78" w:line="360" w:lineRule="auto"/>
        <w:rPr>
          <w:rFonts w:hint="eastAsia"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lang w:val="en-US" w:eastAsia="zh-CN"/>
        </w:rPr>
        <w:t>5．食堂承包范围内包含的厨具物品在损坏无法使用时，应将已损坏物品归还给学校申请换新。食堂承包范围内包含的消耗物品在使用完后，需列出消耗品使用时间、使用量及申请量说明给学校。</w:t>
      </w:r>
    </w:p>
    <w:p w14:paraId="7498376C">
      <w:pPr>
        <w:pageBreakBefore w:val="0"/>
        <w:widowControl w:val="0"/>
        <w:wordWrap/>
        <w:overflowPunct/>
        <w:topLinePunct w:val="0"/>
        <w:bidi w:val="0"/>
        <w:spacing w:before="78" w:line="360" w:lineRule="auto"/>
        <w:rPr>
          <w:rFonts w:hint="eastAsia" w:ascii="宋体" w:hAnsi="宋体" w:eastAsia="宋体" w:cs="宋体"/>
          <w:color w:val="auto"/>
          <w:spacing w:val="0"/>
          <w:position w:val="0"/>
          <w:sz w:val="24"/>
          <w:szCs w:val="24"/>
          <w:highlight w:val="none"/>
          <w:lang w:val="en-US" w:eastAsia="zh-CN"/>
        </w:rPr>
      </w:pPr>
      <w:r>
        <w:rPr>
          <w:rFonts w:hint="eastAsia" w:ascii="宋体" w:hAnsi="宋体" w:eastAsia="宋体" w:cs="宋体"/>
          <w:color w:val="auto"/>
          <w:spacing w:val="0"/>
          <w:position w:val="0"/>
          <w:sz w:val="24"/>
          <w:szCs w:val="24"/>
          <w:highlight w:val="none"/>
          <w:lang w:val="en-US" w:eastAsia="zh-CN"/>
        </w:rPr>
        <w:t>6.如因政策变更，在合同履行期间未尽事宜双方协商确认。</w:t>
      </w:r>
    </w:p>
    <w:p w14:paraId="4C4114A2">
      <w:pPr>
        <w:pageBreakBefore w:val="0"/>
        <w:widowControl w:val="0"/>
        <w:wordWrap/>
        <w:overflowPunct/>
        <w:topLinePunct w:val="0"/>
        <w:bidi w:val="0"/>
        <w:spacing w:before="78" w:line="360" w:lineRule="auto"/>
        <w:rPr>
          <w:rFonts w:hint="default" w:ascii="宋体" w:hAnsi="宋体" w:eastAsia="宋体" w:cs="宋体"/>
          <w:color w:val="auto"/>
          <w:spacing w:val="0"/>
          <w:position w:val="0"/>
          <w:sz w:val="24"/>
          <w:szCs w:val="24"/>
          <w:lang w:val="en-US" w:eastAsia="zh-CN"/>
        </w:rPr>
      </w:pPr>
      <w:r>
        <w:rPr>
          <w:rFonts w:hint="eastAsia" w:ascii="宋体" w:hAnsi="宋体" w:eastAsia="宋体" w:cs="宋体"/>
          <w:color w:val="auto"/>
          <w:spacing w:val="0"/>
          <w:position w:val="0"/>
          <w:sz w:val="24"/>
          <w:szCs w:val="24"/>
          <w:highlight w:val="none"/>
          <w:lang w:val="en-US" w:eastAsia="zh-CN"/>
        </w:rPr>
        <w:t>7.中标方拟派人员如要更换，需提供同等标准的人员替换（相关证件一致），并书面报备学校。</w:t>
      </w:r>
    </w:p>
    <w:p w14:paraId="724A9A53"/>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2F2B13">
    <w:pPr>
      <w:pStyle w:val="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8A2135">
                          <w:pPr>
                            <w:pStyle w:val="2"/>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2A8A2135">
                    <w:pPr>
                      <w:pStyle w:val="2"/>
                    </w:pPr>
                    <w:r>
                      <w:fldChar w:fldCharType="begin"/>
                    </w:r>
                    <w:r>
                      <w:instrText xml:space="preserve"> PAGE  \* MERGEFORMAT </w:instrText>
                    </w:r>
                    <w:r>
                      <w:fldChar w:fldCharType="separate"/>
                    </w:r>
                    <w:r>
                      <w:t>55</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A44E15E"/>
    <w:multiLevelType w:val="singleLevel"/>
    <w:tmpl w:val="3A44E15E"/>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9321AAF"/>
    <w:rsid w:val="49321A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5">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
    <w:name w:val="Table Normal"/>
    <w:semiHidden/>
    <w:unhideWhenUsed/>
    <w:qFormat/>
    <w:uiPriority w:val="0"/>
    <w:tblPr>
      <w:tblCellMar>
        <w:top w:w="0" w:type="dxa"/>
        <w:left w:w="0" w:type="dxa"/>
        <w:bottom w:w="0" w:type="dxa"/>
        <w:right w:w="0" w:type="dxa"/>
      </w:tblCellMar>
    </w:tblPr>
  </w:style>
  <w:style w:type="paragraph" w:customStyle="1" w:styleId="7">
    <w:name w:val="Table Text"/>
    <w:basedOn w:val="1"/>
    <w:semiHidden/>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2026-06-17T03:19:00Z</dcterms:created>
  <dc:creator>朱婷婷123</dc:creator>
  <cp:lastModifiedBy>朱婷婷123</cp:lastModifiedBy>
  <dcterms:modified xsi:type="dcterms:W3CDTF">2026-06-17T03:20:11Z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887459A83762487E8A826C8C5CA10D0F_11</vt:lpwstr>
  </property>
  <property fmtid="{D5CDD505-2E9C-101B-9397-08002B2CF9AE}" pid="4" name="KSOTemplateDocerSaveRecord">
    <vt:lpwstr>eyJoZGlkIjoiZjZiZjJhZmYxMGJhN2RkZjc3YWY4YWYyOGY5OTg4OTEiLCJ1c2VySWQiOiI3NTYwODg2MDQifQ==</vt:lpwstr>
  </property>
</Properties>
</file>