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AD3AF40">
      <w:pPr>
        <w:spacing w:before="91" w:line="219" w:lineRule="auto"/>
        <w:jc w:val="center"/>
      </w:pPr>
      <w:r>
        <w:rPr>
          <w:rFonts w:ascii="宋体" w:hAnsi="宋体" w:eastAsia="宋体" w:cs="宋体"/>
          <w:b/>
          <w:bCs/>
          <w:spacing w:val="-8"/>
          <w:sz w:val="28"/>
          <w:szCs w:val="28"/>
        </w:rPr>
        <w:t>采购要求</w:t>
      </w:r>
    </w:p>
    <w:p w14:paraId="75771625">
      <w:pPr>
        <w:spacing w:before="78" w:line="219" w:lineRule="auto"/>
        <w:ind w:left="4688"/>
        <w:rPr>
          <w:rFonts w:ascii="宋体" w:hAnsi="宋体" w:eastAsia="宋体" w:cs="宋体"/>
          <w:b/>
          <w:bCs/>
          <w:spacing w:val="1"/>
          <w:sz w:val="24"/>
          <w:szCs w:val="24"/>
        </w:rPr>
      </w:pPr>
      <w:r>
        <w:rPr>
          <w:rFonts w:ascii="宋体" w:hAnsi="宋体" w:eastAsia="宋体" w:cs="宋体"/>
          <w:b/>
          <w:bCs/>
          <w:spacing w:val="1"/>
          <w:sz w:val="24"/>
          <w:szCs w:val="24"/>
        </w:rPr>
        <w:t>技术需求</w:t>
      </w:r>
    </w:p>
    <w:p w14:paraId="5D461EE8">
      <w:pPr>
        <w:spacing w:before="78" w:line="219" w:lineRule="auto"/>
        <w:ind w:left="4688"/>
        <w:rPr>
          <w:rFonts w:ascii="宋体" w:hAnsi="宋体" w:eastAsia="宋体" w:cs="宋体"/>
          <w:b/>
          <w:bCs/>
          <w:spacing w:val="1"/>
          <w:sz w:val="24"/>
          <w:szCs w:val="24"/>
        </w:rPr>
      </w:pPr>
    </w:p>
    <w:p w14:paraId="3D6138F0">
      <w:pPr>
        <w:spacing w:before="7" w:line="219" w:lineRule="auto"/>
        <w:ind w:left="915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pacing w:val="3"/>
          <w:sz w:val="24"/>
          <w:szCs w:val="24"/>
        </w:rPr>
        <w:t>(一)响应供应商须提供全新、原装，并符合国家、行业质量标准的货物。</w:t>
      </w:r>
    </w:p>
    <w:p w14:paraId="4E8BC9FC">
      <w:pPr>
        <w:spacing w:before="45" w:line="219" w:lineRule="auto"/>
        <w:ind w:left="915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pacing w:val="4"/>
          <w:sz w:val="24"/>
          <w:szCs w:val="24"/>
        </w:rPr>
        <w:t>(二)所有的知识产权问题，由各投标供应商自行负</w:t>
      </w:r>
      <w:r>
        <w:rPr>
          <w:rFonts w:ascii="宋体" w:hAnsi="宋体" w:eastAsia="宋体" w:cs="宋体"/>
          <w:spacing w:val="3"/>
          <w:sz w:val="24"/>
          <w:szCs w:val="24"/>
        </w:rPr>
        <w:t>责。</w:t>
      </w:r>
    </w:p>
    <w:p w14:paraId="7CC23CC5">
      <w:pPr>
        <w:spacing w:before="15" w:line="233" w:lineRule="auto"/>
        <w:ind w:left="794" w:right="875" w:firstLine="120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pacing w:val="4"/>
          <w:sz w:val="24"/>
          <w:szCs w:val="24"/>
        </w:rPr>
        <w:t>(三)本招标文件提出的是最低限度的要求，</w:t>
      </w:r>
      <w:r>
        <w:rPr>
          <w:rFonts w:ascii="宋体" w:hAnsi="宋体" w:eastAsia="宋体" w:cs="宋体"/>
          <w:spacing w:val="3"/>
          <w:sz w:val="24"/>
          <w:szCs w:val="24"/>
        </w:rPr>
        <w:t>响应供应商的服务应达到或优于本招</w:t>
      </w:r>
      <w:r>
        <w:rPr>
          <w:rFonts w:ascii="宋体" w:hAnsi="宋体" w:eastAsia="宋体" w:cs="宋体"/>
          <w:sz w:val="24"/>
          <w:szCs w:val="24"/>
        </w:rPr>
        <w:t xml:space="preserve"> </w:t>
      </w:r>
      <w:r>
        <w:rPr>
          <w:rFonts w:ascii="宋体" w:hAnsi="宋体" w:eastAsia="宋体" w:cs="宋体"/>
          <w:spacing w:val="-1"/>
          <w:sz w:val="24"/>
          <w:szCs w:val="24"/>
        </w:rPr>
        <w:t>标文件要求，且符合国家有关标准和规范要求且不允许负偏离。</w:t>
      </w:r>
    </w:p>
    <w:p w14:paraId="5FDCE495">
      <w:pPr>
        <w:spacing w:before="36" w:line="220" w:lineRule="auto"/>
        <w:ind w:left="915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pacing w:val="5"/>
          <w:sz w:val="24"/>
          <w:szCs w:val="24"/>
        </w:rPr>
        <w:t>(四)质量要求：达到国六标准。</w:t>
      </w:r>
    </w:p>
    <w:p w14:paraId="2E9E1BB3">
      <w:pPr>
        <w:spacing w:before="13" w:line="235" w:lineRule="auto"/>
        <w:ind w:left="794" w:right="868" w:firstLine="120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pacing w:val="3"/>
          <w:sz w:val="24"/>
          <w:szCs w:val="24"/>
        </w:rPr>
        <w:t>(五)运输前应先检查包装容器是否完整、密封，运输过程</w:t>
      </w:r>
      <w:r>
        <w:rPr>
          <w:rFonts w:ascii="宋体" w:hAnsi="宋体" w:eastAsia="宋体" w:cs="宋体"/>
          <w:spacing w:val="2"/>
          <w:sz w:val="24"/>
          <w:szCs w:val="24"/>
        </w:rPr>
        <w:t>中要确保容器不泄露、</w:t>
      </w:r>
      <w:r>
        <w:rPr>
          <w:rFonts w:ascii="宋体" w:hAnsi="宋体" w:eastAsia="宋体" w:cs="宋体"/>
          <w:sz w:val="24"/>
          <w:szCs w:val="24"/>
        </w:rPr>
        <w:t xml:space="preserve"> </w:t>
      </w:r>
      <w:r>
        <w:rPr>
          <w:rFonts w:ascii="宋体" w:hAnsi="宋体" w:eastAsia="宋体" w:cs="宋体"/>
          <w:spacing w:val="3"/>
          <w:sz w:val="24"/>
          <w:szCs w:val="24"/>
        </w:rPr>
        <w:t xml:space="preserve">不倒塌、不坠落、不损坏。运输时运输车辆应配备相应品种和数量的消防器材及  </w:t>
      </w:r>
      <w:r>
        <w:rPr>
          <w:rFonts w:ascii="宋体" w:hAnsi="宋体" w:eastAsia="宋体" w:cs="宋体"/>
          <w:sz w:val="24"/>
          <w:szCs w:val="24"/>
        </w:rPr>
        <w:t>泄漏应急处理。夏季最好早晚运输。运输时所有的罐车应有接地链，槽内可设孔隔</w:t>
      </w:r>
      <w:r>
        <w:rPr>
          <w:rFonts w:ascii="宋体" w:hAnsi="宋体" w:eastAsia="宋体" w:cs="宋体"/>
          <w:spacing w:val="7"/>
          <w:sz w:val="24"/>
          <w:szCs w:val="24"/>
        </w:rPr>
        <w:t xml:space="preserve"> </w:t>
      </w:r>
      <w:r>
        <w:rPr>
          <w:rFonts w:ascii="宋体" w:hAnsi="宋体" w:eastAsia="宋体" w:cs="宋体"/>
          <w:sz w:val="24"/>
          <w:szCs w:val="24"/>
        </w:rPr>
        <w:t>板以减少震荡产生静电。严禁与氧化剂、卤素、食用化学品等混装混运。运输途中</w:t>
      </w:r>
      <w:r>
        <w:rPr>
          <w:rFonts w:ascii="宋体" w:hAnsi="宋体" w:eastAsia="宋体" w:cs="宋体"/>
          <w:spacing w:val="15"/>
          <w:sz w:val="24"/>
          <w:szCs w:val="24"/>
        </w:rPr>
        <w:t xml:space="preserve"> </w:t>
      </w:r>
      <w:r>
        <w:rPr>
          <w:rFonts w:ascii="宋体" w:hAnsi="宋体" w:eastAsia="宋体" w:cs="宋体"/>
          <w:sz w:val="24"/>
          <w:szCs w:val="24"/>
        </w:rPr>
        <w:t>应防暴晒、雨淋，防高温。中途停留时应远离火种、热源</w:t>
      </w:r>
      <w:r>
        <w:rPr>
          <w:rFonts w:ascii="宋体" w:hAnsi="宋体" w:eastAsia="宋体" w:cs="宋体"/>
          <w:spacing w:val="-1"/>
          <w:sz w:val="24"/>
          <w:szCs w:val="24"/>
        </w:rPr>
        <w:t>、高温区。运输所需的一</w:t>
      </w:r>
      <w:r>
        <w:rPr>
          <w:rFonts w:ascii="宋体" w:hAnsi="宋体" w:eastAsia="宋体" w:cs="宋体"/>
          <w:sz w:val="24"/>
          <w:szCs w:val="24"/>
        </w:rPr>
        <w:t xml:space="preserve"> </w:t>
      </w:r>
      <w:r>
        <w:rPr>
          <w:rFonts w:ascii="宋体" w:hAnsi="宋体" w:eastAsia="宋体" w:cs="宋体"/>
          <w:spacing w:val="-3"/>
          <w:sz w:val="24"/>
          <w:szCs w:val="24"/>
        </w:rPr>
        <w:t>切费用和安全问题由响应供应商自行承担。</w:t>
      </w:r>
    </w:p>
    <w:p w14:paraId="3ADBDE49">
      <w:pPr>
        <w:spacing w:before="58" w:line="233" w:lineRule="auto"/>
        <w:ind w:left="794" w:right="884" w:firstLine="120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pacing w:val="3"/>
          <w:sz w:val="24"/>
          <w:szCs w:val="24"/>
        </w:rPr>
        <w:t>(六)负责运输的从业人员如：驾驶人员、装卸人员、押运人员等从业人员须符合</w:t>
      </w:r>
      <w:r>
        <w:rPr>
          <w:rFonts w:ascii="宋体" w:hAnsi="宋体" w:eastAsia="宋体" w:cs="宋体"/>
          <w:spacing w:val="-5"/>
          <w:sz w:val="24"/>
          <w:szCs w:val="24"/>
        </w:rPr>
        <w:t>国家相关规定。</w:t>
      </w:r>
    </w:p>
    <w:p w14:paraId="4008EA5A">
      <w:pPr>
        <w:spacing w:before="22" w:line="224" w:lineRule="auto"/>
        <w:ind w:left="794" w:right="884" w:firstLine="120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pacing w:val="3"/>
          <w:sz w:val="24"/>
          <w:szCs w:val="24"/>
        </w:rPr>
        <w:t>(七)响应供应商按折扣率报价，供货当日当地柴油价格*【1-下浮系数费率3%(含</w:t>
      </w:r>
      <w:r>
        <w:rPr>
          <w:rFonts w:ascii="宋体" w:hAnsi="宋体" w:eastAsia="宋体" w:cs="宋体"/>
          <w:spacing w:val="2"/>
          <w:sz w:val="24"/>
          <w:szCs w:val="24"/>
        </w:rPr>
        <w:t xml:space="preserve"> </w:t>
      </w:r>
      <w:r>
        <w:rPr>
          <w:rFonts w:ascii="宋体" w:hAnsi="宋体" w:eastAsia="宋体" w:cs="宋体"/>
          <w:spacing w:val="9"/>
          <w:sz w:val="24"/>
          <w:szCs w:val="24"/>
        </w:rPr>
        <w:t>)以上为有效报价系数”】</w:t>
      </w:r>
    </w:p>
    <w:p w14:paraId="1331E8AF">
      <w:pPr>
        <w:spacing w:before="36" w:line="229" w:lineRule="auto"/>
        <w:ind w:left="794" w:right="884" w:firstLine="120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pacing w:val="3"/>
          <w:sz w:val="24"/>
          <w:szCs w:val="24"/>
        </w:rPr>
        <w:t>(八)最高限价。根据《中华人民共和国政府采购法实施条例》</w:t>
      </w:r>
      <w:r>
        <w:rPr>
          <w:rFonts w:ascii="宋体" w:hAnsi="宋体" w:eastAsia="宋体" w:cs="宋体"/>
          <w:spacing w:val="-1"/>
          <w:sz w:val="24"/>
          <w:szCs w:val="24"/>
        </w:rPr>
        <w:t>的有关规定，</w:t>
      </w:r>
      <w:r>
        <w:rPr>
          <w:rFonts w:ascii="宋体" w:hAnsi="宋体" w:eastAsia="宋体" w:cs="宋体"/>
          <w:spacing w:val="-3"/>
          <w:sz w:val="24"/>
          <w:szCs w:val="24"/>
        </w:rPr>
        <w:t>本项目设定最高限价为</w:t>
      </w:r>
      <w:r>
        <w:rPr>
          <w:rFonts w:hint="eastAsia" w:ascii="Times New Roman" w:hAnsi="Times New Roman" w:eastAsia="宋体" w:cs="Times New Roman"/>
          <w:spacing w:val="-3"/>
          <w:sz w:val="24"/>
          <w:szCs w:val="24"/>
          <w:u w:val="single" w:color="auto"/>
          <w:lang w:eastAsia="zh-CN"/>
        </w:rPr>
        <w:t>1065594</w:t>
      </w:r>
      <w:r>
        <w:rPr>
          <w:rFonts w:ascii="Times New Roman" w:hAnsi="Times New Roman" w:eastAsia="Times New Roman" w:cs="Times New Roman"/>
          <w:spacing w:val="-24"/>
          <w:sz w:val="24"/>
          <w:szCs w:val="24"/>
        </w:rPr>
        <w:t xml:space="preserve"> </w:t>
      </w:r>
      <w:r>
        <w:rPr>
          <w:rFonts w:ascii="宋体" w:hAnsi="宋体" w:eastAsia="宋体" w:cs="宋体"/>
          <w:spacing w:val="-3"/>
          <w:sz w:val="24"/>
          <w:szCs w:val="24"/>
        </w:rPr>
        <w:t>元，投标价高于</w:t>
      </w:r>
      <w:r>
        <w:rPr>
          <w:rFonts w:hint="eastAsia" w:ascii="Times New Roman" w:hAnsi="Times New Roman" w:eastAsia="宋体" w:cs="Times New Roman"/>
          <w:spacing w:val="-3"/>
          <w:sz w:val="24"/>
          <w:szCs w:val="24"/>
          <w:u w:val="single" w:color="auto"/>
          <w:lang w:eastAsia="zh-CN"/>
        </w:rPr>
        <w:t>1065594</w:t>
      </w:r>
      <w:r>
        <w:rPr>
          <w:rFonts w:ascii="Times New Roman" w:hAnsi="Times New Roman" w:eastAsia="Times New Roman" w:cs="Times New Roman"/>
          <w:spacing w:val="-31"/>
          <w:sz w:val="24"/>
          <w:szCs w:val="24"/>
        </w:rPr>
        <w:t xml:space="preserve"> </w:t>
      </w:r>
      <w:r>
        <w:rPr>
          <w:rFonts w:ascii="宋体" w:hAnsi="宋体" w:eastAsia="宋体" w:cs="宋体"/>
          <w:spacing w:val="-3"/>
          <w:sz w:val="24"/>
          <w:szCs w:val="24"/>
        </w:rPr>
        <w:t>元不予评审。</w:t>
      </w:r>
    </w:p>
    <w:p w14:paraId="378506F6">
      <w:pPr>
        <w:spacing w:before="27" w:line="219" w:lineRule="auto"/>
        <w:ind w:left="915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pacing w:val="6"/>
          <w:sz w:val="24"/>
          <w:szCs w:val="24"/>
        </w:rPr>
        <w:t>(九)采购清单、主要技术规格及要求</w:t>
      </w:r>
    </w:p>
    <w:p w14:paraId="7374F2F6">
      <w:pPr>
        <w:spacing w:before="41"/>
      </w:pPr>
    </w:p>
    <w:tbl>
      <w:tblPr>
        <w:tblStyle w:val="8"/>
        <w:tblW w:w="10310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022"/>
        <w:gridCol w:w="849"/>
        <w:gridCol w:w="769"/>
        <w:gridCol w:w="2458"/>
        <w:gridCol w:w="1908"/>
        <w:gridCol w:w="1304"/>
      </w:tblGrid>
      <w:tr w14:paraId="2793C77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2" w:hRule="atLeast"/>
        </w:trPr>
        <w:tc>
          <w:tcPr>
            <w:tcW w:w="3022" w:type="dxa"/>
            <w:vAlign w:val="top"/>
          </w:tcPr>
          <w:p w14:paraId="63F8A199">
            <w:pPr>
              <w:pStyle w:val="7"/>
              <w:spacing w:before="255" w:line="220" w:lineRule="auto"/>
              <w:ind w:left="1024"/>
            </w:pPr>
            <w:r>
              <w:rPr>
                <w:spacing w:val="3"/>
              </w:rPr>
              <w:t>项目名称</w:t>
            </w:r>
          </w:p>
        </w:tc>
        <w:tc>
          <w:tcPr>
            <w:tcW w:w="849" w:type="dxa"/>
            <w:vAlign w:val="top"/>
          </w:tcPr>
          <w:p w14:paraId="7AE16C8E">
            <w:pPr>
              <w:pStyle w:val="7"/>
              <w:spacing w:before="255" w:line="219" w:lineRule="auto"/>
              <w:ind w:left="172"/>
            </w:pPr>
            <w:r>
              <w:rPr>
                <w:spacing w:val="4"/>
              </w:rPr>
              <w:t>数量</w:t>
            </w:r>
          </w:p>
        </w:tc>
        <w:tc>
          <w:tcPr>
            <w:tcW w:w="769" w:type="dxa"/>
            <w:vAlign w:val="top"/>
          </w:tcPr>
          <w:p w14:paraId="6C73846B">
            <w:pPr>
              <w:pStyle w:val="7"/>
              <w:spacing w:before="255" w:line="220" w:lineRule="auto"/>
              <w:ind w:left="133"/>
            </w:pPr>
            <w:r>
              <w:rPr>
                <w:spacing w:val="4"/>
              </w:rPr>
              <w:t>单位</w:t>
            </w:r>
          </w:p>
        </w:tc>
        <w:tc>
          <w:tcPr>
            <w:tcW w:w="2458" w:type="dxa"/>
            <w:vAlign w:val="top"/>
          </w:tcPr>
          <w:p w14:paraId="5404EAEA">
            <w:pPr>
              <w:pStyle w:val="7"/>
              <w:spacing w:before="102" w:line="242" w:lineRule="auto"/>
              <w:ind w:left="624" w:right="151" w:hanging="480"/>
            </w:pPr>
            <w:r>
              <w:rPr>
                <w:spacing w:val="-1"/>
              </w:rPr>
              <w:t>采购清单、主要技术</w:t>
            </w:r>
            <w:r>
              <w:t xml:space="preserve"> </w:t>
            </w:r>
            <w:r>
              <w:rPr>
                <w:spacing w:val="2"/>
              </w:rPr>
              <w:t>参数及要求</w:t>
            </w:r>
          </w:p>
        </w:tc>
        <w:tc>
          <w:tcPr>
            <w:tcW w:w="1908" w:type="dxa"/>
            <w:vAlign w:val="top"/>
          </w:tcPr>
          <w:p w14:paraId="7A9921CC">
            <w:pPr>
              <w:pStyle w:val="7"/>
              <w:spacing w:before="84" w:line="219" w:lineRule="auto"/>
              <w:ind w:left="347"/>
            </w:pPr>
            <w:r>
              <w:rPr>
                <w:spacing w:val="1"/>
              </w:rPr>
              <w:t>预算总金额</w:t>
            </w:r>
          </w:p>
          <w:p w14:paraId="67A058FC">
            <w:pPr>
              <w:pStyle w:val="7"/>
              <w:spacing w:before="85" w:line="213" w:lineRule="auto"/>
              <w:ind w:left="706"/>
            </w:pPr>
            <w:r>
              <w:rPr>
                <w:spacing w:val="17"/>
              </w:rPr>
              <w:t>(元)</w:t>
            </w:r>
          </w:p>
        </w:tc>
        <w:tc>
          <w:tcPr>
            <w:tcW w:w="1304" w:type="dxa"/>
            <w:vAlign w:val="top"/>
          </w:tcPr>
          <w:p w14:paraId="272CB8AF">
            <w:pPr>
              <w:pStyle w:val="7"/>
              <w:spacing w:before="255" w:line="220" w:lineRule="auto"/>
              <w:ind w:left="168"/>
            </w:pPr>
            <w:r>
              <w:rPr>
                <w:spacing w:val="-2"/>
              </w:rPr>
              <w:t>所属行业</w:t>
            </w:r>
          </w:p>
        </w:tc>
      </w:tr>
      <w:tr w14:paraId="4C04BC5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86" w:hRule="atLeast"/>
        </w:trPr>
        <w:tc>
          <w:tcPr>
            <w:tcW w:w="3022" w:type="dxa"/>
            <w:vAlign w:val="top"/>
          </w:tcPr>
          <w:p w14:paraId="15196131">
            <w:pPr>
              <w:pStyle w:val="7"/>
              <w:spacing w:before="302" w:line="232" w:lineRule="auto"/>
              <w:ind w:left="1024" w:right="161" w:hanging="840"/>
            </w:pPr>
            <w:r>
              <w:rPr>
                <w:rFonts w:hint="eastAsia"/>
                <w:spacing w:val="3"/>
                <w:lang w:eastAsia="zh-CN"/>
              </w:rPr>
              <w:t>鄱阳县殡葬事业服务中心</w:t>
            </w:r>
            <w:r>
              <w:rPr>
                <w:spacing w:val="2"/>
              </w:rPr>
              <w:t>柴油</w:t>
            </w:r>
            <w:r>
              <w:rPr>
                <w:spacing w:val="11"/>
              </w:rPr>
              <w:t>采购</w:t>
            </w:r>
          </w:p>
        </w:tc>
        <w:tc>
          <w:tcPr>
            <w:tcW w:w="849" w:type="dxa"/>
            <w:vAlign w:val="top"/>
          </w:tcPr>
          <w:p w14:paraId="0BC07F87">
            <w:pPr>
              <w:spacing w:line="376" w:lineRule="auto"/>
              <w:rPr>
                <w:rFonts w:ascii="Arial"/>
                <w:sz w:val="21"/>
              </w:rPr>
            </w:pPr>
          </w:p>
          <w:p w14:paraId="3119032C">
            <w:pPr>
              <w:pStyle w:val="7"/>
              <w:spacing w:before="78" w:line="241" w:lineRule="auto"/>
              <w:ind w:left="353"/>
            </w:pPr>
            <w:r>
              <w:t>1</w:t>
            </w:r>
          </w:p>
        </w:tc>
        <w:tc>
          <w:tcPr>
            <w:tcW w:w="769" w:type="dxa"/>
            <w:vAlign w:val="top"/>
          </w:tcPr>
          <w:p w14:paraId="1C53D191">
            <w:pPr>
              <w:spacing w:line="355" w:lineRule="auto"/>
              <w:rPr>
                <w:rFonts w:ascii="Arial"/>
                <w:sz w:val="21"/>
              </w:rPr>
            </w:pPr>
          </w:p>
          <w:p w14:paraId="14631448">
            <w:pPr>
              <w:pStyle w:val="7"/>
              <w:spacing w:before="78" w:line="221" w:lineRule="auto"/>
              <w:ind w:left="254"/>
            </w:pPr>
            <w:r>
              <w:t>批</w:t>
            </w:r>
          </w:p>
        </w:tc>
        <w:tc>
          <w:tcPr>
            <w:tcW w:w="2458" w:type="dxa"/>
            <w:vAlign w:val="top"/>
          </w:tcPr>
          <w:p w14:paraId="4A7AB392">
            <w:pPr>
              <w:spacing w:line="351" w:lineRule="auto"/>
              <w:rPr>
                <w:rFonts w:ascii="Arial"/>
                <w:sz w:val="21"/>
              </w:rPr>
            </w:pPr>
          </w:p>
          <w:p w14:paraId="015EBE25">
            <w:pPr>
              <w:pStyle w:val="7"/>
              <w:spacing w:before="78" w:line="219" w:lineRule="auto"/>
              <w:ind w:left="505"/>
            </w:pPr>
            <w:r>
              <w:rPr>
                <w:spacing w:val="39"/>
              </w:rPr>
              <w:t>详见“附件”</w:t>
            </w:r>
          </w:p>
        </w:tc>
        <w:tc>
          <w:tcPr>
            <w:tcW w:w="1908" w:type="dxa"/>
            <w:vAlign w:val="top"/>
          </w:tcPr>
          <w:p w14:paraId="4F64A689">
            <w:pPr>
              <w:spacing w:line="375" w:lineRule="auto"/>
              <w:rPr>
                <w:rFonts w:ascii="Arial"/>
                <w:sz w:val="21"/>
              </w:rPr>
            </w:pPr>
          </w:p>
          <w:p w14:paraId="7DB0312D">
            <w:pPr>
              <w:pStyle w:val="7"/>
              <w:spacing w:before="78"/>
              <w:ind w:left="587"/>
              <w:rPr>
                <w:rFonts w:hint="eastAsia" w:eastAsia="宋体"/>
                <w:lang w:eastAsia="zh-CN"/>
              </w:rPr>
            </w:pPr>
            <w:r>
              <w:rPr>
                <w:rFonts w:hint="eastAsia"/>
                <w:spacing w:val="-3"/>
                <w:lang w:eastAsia="zh-CN"/>
              </w:rPr>
              <w:t>1065594</w:t>
            </w:r>
          </w:p>
        </w:tc>
        <w:tc>
          <w:tcPr>
            <w:tcW w:w="1304" w:type="dxa"/>
            <w:vAlign w:val="top"/>
          </w:tcPr>
          <w:p w14:paraId="6B584430">
            <w:pPr>
              <w:spacing w:line="367" w:lineRule="auto"/>
              <w:rPr>
                <w:rFonts w:ascii="Arial"/>
                <w:sz w:val="21"/>
              </w:rPr>
            </w:pPr>
          </w:p>
          <w:p w14:paraId="30C007F4">
            <w:pPr>
              <w:pStyle w:val="7"/>
              <w:spacing w:before="78" w:line="232" w:lineRule="auto"/>
              <w:ind w:left="408"/>
            </w:pPr>
            <w:r>
              <w:rPr>
                <w:spacing w:val="4"/>
              </w:rPr>
              <w:t>工业</w:t>
            </w:r>
          </w:p>
        </w:tc>
      </w:tr>
      <w:tr w14:paraId="2BF45C6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8" w:hRule="atLeast"/>
        </w:trPr>
        <w:tc>
          <w:tcPr>
            <w:tcW w:w="10310" w:type="dxa"/>
            <w:gridSpan w:val="6"/>
            <w:vAlign w:val="top"/>
          </w:tcPr>
          <w:p w14:paraId="35A22717">
            <w:pPr>
              <w:pStyle w:val="7"/>
              <w:spacing w:before="244" w:line="218" w:lineRule="auto"/>
              <w:ind w:left="3704"/>
              <w:rPr>
                <w:rFonts w:hint="eastAsia" w:eastAsia="宋体"/>
                <w:lang w:eastAsia="zh-CN"/>
              </w:rPr>
            </w:pPr>
            <w:r>
              <w:t>本项目最高限价为</w:t>
            </w:r>
            <w:r>
              <w:rPr>
                <w:rFonts w:hint="eastAsia"/>
                <w:lang w:eastAsia="zh-CN"/>
              </w:rPr>
              <w:t>1065594</w:t>
            </w:r>
            <w:r>
              <w:t>元</w:t>
            </w:r>
          </w:p>
        </w:tc>
      </w:tr>
      <w:tr w14:paraId="14C4607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3" w:hRule="atLeast"/>
        </w:trPr>
        <w:tc>
          <w:tcPr>
            <w:tcW w:w="10310" w:type="dxa"/>
            <w:gridSpan w:val="6"/>
            <w:vAlign w:val="top"/>
          </w:tcPr>
          <w:p w14:paraId="2EE7AD7D">
            <w:pPr>
              <w:pStyle w:val="7"/>
              <w:spacing w:before="137" w:line="219" w:lineRule="auto"/>
              <w:ind w:left="3045"/>
            </w:pPr>
            <w:r>
              <w:t>注：本项目只允许国内供应商参与投标。</w:t>
            </w:r>
          </w:p>
        </w:tc>
      </w:tr>
    </w:tbl>
    <w:p w14:paraId="1672741B"/>
    <w:p w14:paraId="363E9C9A">
      <w:bookmarkStart w:id="0" w:name="_GoBack"/>
      <w:bookmarkEnd w:id="0"/>
    </w:p>
    <w:p w14:paraId="05044408"/>
    <w:p w14:paraId="7AEBD98B">
      <w:pPr>
        <w:pStyle w:val="7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248" w:lineRule="auto"/>
        <w:ind w:right="0"/>
        <w:jc w:val="center"/>
        <w:textAlignment w:val="baseline"/>
        <w:rPr>
          <w:b/>
          <w:bCs/>
          <w:spacing w:val="-4"/>
        </w:rPr>
      </w:pPr>
      <w:r>
        <w:rPr>
          <w:rFonts w:hint="eastAsia"/>
          <w:b/>
          <w:bCs/>
          <w:spacing w:val="-4"/>
          <w:lang w:val="en-US" w:eastAsia="zh-CN"/>
        </w:rPr>
        <w:t xml:space="preserve">  </w:t>
      </w:r>
      <w:r>
        <w:rPr>
          <w:rFonts w:hint="eastAsia"/>
          <w:b/>
          <w:bCs/>
          <w:spacing w:val="-4"/>
          <w:lang w:eastAsia="zh-CN"/>
        </w:rPr>
        <w:t>鄱阳县殡葬事业服务中心柴油采购</w:t>
      </w:r>
      <w:r>
        <w:rPr>
          <w:b/>
          <w:bCs/>
          <w:spacing w:val="-4"/>
        </w:rPr>
        <w:t>基本参数要求</w:t>
      </w:r>
    </w:p>
    <w:p w14:paraId="2ADCE795">
      <w:pPr>
        <w:pStyle w:val="7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248" w:lineRule="auto"/>
        <w:ind w:right="2812"/>
        <w:jc w:val="both"/>
        <w:textAlignment w:val="baseline"/>
        <w:rPr>
          <w:rFonts w:hint="eastAsia"/>
          <w:b/>
          <w:bCs/>
          <w:spacing w:val="-4"/>
        </w:rPr>
      </w:pPr>
    </w:p>
    <w:p w14:paraId="3EF05ADE">
      <w:pPr>
        <w:pStyle w:val="7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248" w:lineRule="auto"/>
        <w:ind w:right="2812"/>
        <w:jc w:val="both"/>
        <w:textAlignment w:val="baseline"/>
        <w:rPr>
          <w:rFonts w:hint="eastAsia"/>
          <w:b/>
          <w:bCs/>
          <w:spacing w:val="-4"/>
        </w:rPr>
      </w:pPr>
      <w:r>
        <w:rPr>
          <w:rFonts w:hint="eastAsia"/>
          <w:b/>
          <w:bCs/>
          <w:spacing w:val="-4"/>
        </w:rPr>
        <w:t>执行标准：GB 19147-2016《车用柴油》（国VI标准）</w:t>
      </w:r>
    </w:p>
    <w:p w14:paraId="5D8564CA">
      <w:pPr>
        <w:rPr>
          <w:rFonts w:hint="eastAsia" w:eastAsia="宋体"/>
          <w:b/>
          <w:bCs/>
          <w:spacing w:val="-4"/>
          <w:lang w:eastAsia="zh-CN"/>
        </w:rPr>
      </w:pPr>
      <w:r>
        <w:rPr>
          <w:rFonts w:hint="eastAsia"/>
          <w:b/>
          <w:bCs/>
          <w:spacing w:val="-4"/>
        </w:rPr>
        <w:t>产品名称：0号车用柴油（VI</w:t>
      </w:r>
      <w:r>
        <w:rPr>
          <w:rFonts w:hint="eastAsia" w:eastAsia="宋体"/>
          <w:b/>
          <w:bCs/>
          <w:spacing w:val="-4"/>
          <w:lang w:eastAsia="zh-CN"/>
        </w:rPr>
        <w:t>）</w:t>
      </w:r>
    </w:p>
    <w:tbl>
      <w:tblPr>
        <w:tblStyle w:val="8"/>
        <w:tblW w:w="9320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94"/>
        <w:gridCol w:w="3876"/>
        <w:gridCol w:w="1918"/>
        <w:gridCol w:w="2632"/>
      </w:tblGrid>
      <w:tr w14:paraId="40D46F0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9" w:hRule="atLeast"/>
        </w:trPr>
        <w:tc>
          <w:tcPr>
            <w:tcW w:w="894" w:type="dxa"/>
            <w:vAlign w:val="top"/>
          </w:tcPr>
          <w:p w14:paraId="16111186">
            <w:pPr>
              <w:pStyle w:val="7"/>
              <w:spacing w:before="128" w:line="221" w:lineRule="auto"/>
              <w:ind w:left="88"/>
            </w:pPr>
            <w:r>
              <w:rPr>
                <w:b/>
                <w:bCs/>
                <w:spacing w:val="-5"/>
              </w:rPr>
              <w:t>序号</w:t>
            </w:r>
          </w:p>
        </w:tc>
        <w:tc>
          <w:tcPr>
            <w:tcW w:w="3876" w:type="dxa"/>
            <w:vAlign w:val="top"/>
          </w:tcPr>
          <w:p w14:paraId="7B26C2B1">
            <w:pPr>
              <w:pStyle w:val="7"/>
              <w:spacing w:before="128" w:line="220" w:lineRule="auto"/>
              <w:ind w:left="1454"/>
            </w:pPr>
            <w:r>
              <w:rPr>
                <w:b/>
                <w:bCs/>
                <w:spacing w:val="7"/>
              </w:rPr>
              <w:t>分析项目</w:t>
            </w:r>
          </w:p>
        </w:tc>
        <w:tc>
          <w:tcPr>
            <w:tcW w:w="1918" w:type="dxa"/>
            <w:vAlign w:val="top"/>
          </w:tcPr>
          <w:p w14:paraId="104434AF">
            <w:pPr>
              <w:pStyle w:val="7"/>
              <w:spacing w:before="128" w:line="220" w:lineRule="auto"/>
              <w:ind w:left="478"/>
            </w:pPr>
            <w:r>
              <w:rPr>
                <w:b/>
                <w:bCs/>
                <w:spacing w:val="-5"/>
              </w:rPr>
              <w:t>质量指标</w:t>
            </w:r>
          </w:p>
        </w:tc>
        <w:tc>
          <w:tcPr>
            <w:tcW w:w="2632" w:type="dxa"/>
            <w:vAlign w:val="top"/>
          </w:tcPr>
          <w:p w14:paraId="2CA2EC16">
            <w:pPr>
              <w:pStyle w:val="7"/>
              <w:spacing w:before="127" w:line="219" w:lineRule="auto"/>
              <w:ind w:left="840"/>
            </w:pPr>
            <w:r>
              <w:rPr>
                <w:b/>
                <w:bCs/>
                <w:spacing w:val="-5"/>
              </w:rPr>
              <w:t>检验方法</w:t>
            </w:r>
          </w:p>
        </w:tc>
      </w:tr>
      <w:tr w14:paraId="55A8A50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9" w:hRule="atLeast"/>
        </w:trPr>
        <w:tc>
          <w:tcPr>
            <w:tcW w:w="894" w:type="dxa"/>
            <w:vAlign w:val="top"/>
          </w:tcPr>
          <w:p w14:paraId="65CB98F0">
            <w:pPr>
              <w:spacing w:line="286" w:lineRule="auto"/>
              <w:rPr>
                <w:rFonts w:ascii="Arial"/>
                <w:sz w:val="21"/>
              </w:rPr>
            </w:pPr>
          </w:p>
          <w:p w14:paraId="5ADE3574">
            <w:pPr>
              <w:pStyle w:val="7"/>
              <w:spacing w:before="78" w:line="241" w:lineRule="auto"/>
              <w:ind w:left="375"/>
            </w:pPr>
            <w:r>
              <w:t>1</w:t>
            </w:r>
          </w:p>
        </w:tc>
        <w:tc>
          <w:tcPr>
            <w:tcW w:w="3876" w:type="dxa"/>
            <w:vAlign w:val="top"/>
          </w:tcPr>
          <w:p w14:paraId="11A92AB9">
            <w:pPr>
              <w:pStyle w:val="7"/>
              <w:spacing w:before="200" w:line="212" w:lineRule="auto"/>
              <w:ind w:left="101" w:right="775"/>
            </w:pPr>
            <w:r>
              <w:rPr>
                <w:spacing w:val="-1"/>
              </w:rPr>
              <w:t>氧化安定性(以总不溶物计)/</w:t>
            </w:r>
            <w:r>
              <w:rPr>
                <w:spacing w:val="2"/>
              </w:rPr>
              <w:t xml:space="preserve"> </w:t>
            </w:r>
            <w:r>
              <w:rPr>
                <w:spacing w:val="-5"/>
              </w:rPr>
              <w:t>(mg/100mL)</w:t>
            </w:r>
          </w:p>
        </w:tc>
        <w:tc>
          <w:tcPr>
            <w:tcW w:w="1918" w:type="dxa"/>
            <w:vAlign w:val="top"/>
          </w:tcPr>
          <w:p w14:paraId="67FEEEC9">
            <w:pPr>
              <w:spacing w:line="263" w:lineRule="auto"/>
              <w:rPr>
                <w:rFonts w:ascii="Arial"/>
                <w:sz w:val="21"/>
              </w:rPr>
            </w:pPr>
          </w:p>
          <w:p w14:paraId="44A1A23F">
            <w:pPr>
              <w:pStyle w:val="7"/>
              <w:spacing w:before="78" w:line="220" w:lineRule="auto"/>
              <w:ind w:left="415"/>
            </w:pPr>
            <w:r>
              <w:rPr>
                <w:spacing w:val="2"/>
              </w:rPr>
              <w:t>不大于2.5</w:t>
            </w:r>
          </w:p>
        </w:tc>
        <w:tc>
          <w:tcPr>
            <w:tcW w:w="2632" w:type="dxa"/>
            <w:vAlign w:val="top"/>
          </w:tcPr>
          <w:p w14:paraId="3E5A4D5A">
            <w:pPr>
              <w:spacing w:line="269" w:lineRule="auto"/>
              <w:rPr>
                <w:rFonts w:ascii="Arial"/>
                <w:sz w:val="21"/>
              </w:rPr>
            </w:pPr>
          </w:p>
          <w:p w14:paraId="4A734FFC">
            <w:pPr>
              <w:pStyle w:val="7"/>
              <w:spacing w:before="78" w:line="224" w:lineRule="auto"/>
              <w:ind w:left="97"/>
            </w:pPr>
            <w:r>
              <w:rPr>
                <w:spacing w:val="-2"/>
              </w:rPr>
              <w:t>SH/T.0175</w:t>
            </w:r>
          </w:p>
        </w:tc>
      </w:tr>
      <w:tr w14:paraId="1B4BD88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0" w:hRule="atLeast"/>
        </w:trPr>
        <w:tc>
          <w:tcPr>
            <w:tcW w:w="894" w:type="dxa"/>
            <w:vAlign w:val="top"/>
          </w:tcPr>
          <w:p w14:paraId="547B9220">
            <w:pPr>
              <w:pStyle w:val="7"/>
              <w:spacing w:before="136" w:line="241" w:lineRule="auto"/>
              <w:ind w:left="375"/>
            </w:pPr>
            <w:r>
              <w:t>2</w:t>
            </w:r>
          </w:p>
        </w:tc>
        <w:tc>
          <w:tcPr>
            <w:tcW w:w="3876" w:type="dxa"/>
            <w:vAlign w:val="top"/>
          </w:tcPr>
          <w:p w14:paraId="7D2611BA">
            <w:pPr>
              <w:pStyle w:val="7"/>
              <w:spacing w:before="104" w:line="214" w:lineRule="auto"/>
              <w:ind w:left="101"/>
            </w:pPr>
            <w:r>
              <w:rPr>
                <w:spacing w:val="7"/>
              </w:rPr>
              <w:t>硫含量/(</w:t>
            </w:r>
            <w:r>
              <w:t>mg</w:t>
            </w:r>
            <w:r>
              <w:rPr>
                <w:spacing w:val="7"/>
              </w:rPr>
              <w:t>/</w:t>
            </w:r>
            <w:r>
              <w:t>kg</w:t>
            </w:r>
            <w:r>
              <w:rPr>
                <w:spacing w:val="7"/>
              </w:rPr>
              <w:t>)</w:t>
            </w:r>
          </w:p>
        </w:tc>
        <w:tc>
          <w:tcPr>
            <w:tcW w:w="1918" w:type="dxa"/>
            <w:vAlign w:val="top"/>
          </w:tcPr>
          <w:p w14:paraId="0F4AFD16">
            <w:pPr>
              <w:pStyle w:val="7"/>
              <w:spacing w:before="113" w:line="220" w:lineRule="auto"/>
              <w:ind w:left="475"/>
            </w:pPr>
            <w:r>
              <w:rPr>
                <w:spacing w:val="2"/>
              </w:rPr>
              <w:t>不大于10</w:t>
            </w:r>
          </w:p>
        </w:tc>
        <w:tc>
          <w:tcPr>
            <w:tcW w:w="2632" w:type="dxa"/>
            <w:vAlign w:val="top"/>
          </w:tcPr>
          <w:p w14:paraId="7222CF6B">
            <w:pPr>
              <w:pStyle w:val="7"/>
              <w:spacing w:before="119" w:line="224" w:lineRule="auto"/>
              <w:ind w:left="97"/>
            </w:pPr>
            <w:r>
              <w:rPr>
                <w:spacing w:val="-2"/>
              </w:rPr>
              <w:t>SH/T.0689</w:t>
            </w:r>
          </w:p>
        </w:tc>
      </w:tr>
      <w:tr w14:paraId="309256C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0" w:hRule="atLeast"/>
        </w:trPr>
        <w:tc>
          <w:tcPr>
            <w:tcW w:w="894" w:type="dxa"/>
            <w:vAlign w:val="top"/>
          </w:tcPr>
          <w:p w14:paraId="37A25A8F">
            <w:pPr>
              <w:pStyle w:val="7"/>
              <w:spacing w:before="127" w:line="233" w:lineRule="auto"/>
              <w:ind w:left="375"/>
            </w:pPr>
            <w:r>
              <w:t>3</w:t>
            </w:r>
          </w:p>
        </w:tc>
        <w:tc>
          <w:tcPr>
            <w:tcW w:w="3876" w:type="dxa"/>
            <w:vAlign w:val="top"/>
          </w:tcPr>
          <w:p w14:paraId="1E292EE4">
            <w:pPr>
              <w:pStyle w:val="7"/>
              <w:spacing w:before="94" w:line="214" w:lineRule="auto"/>
              <w:ind w:left="101"/>
            </w:pPr>
            <w:r>
              <w:rPr>
                <w:spacing w:val="4"/>
              </w:rPr>
              <w:t>酸度(以</w:t>
            </w:r>
            <w:r>
              <w:t>KOH</w:t>
            </w:r>
            <w:r>
              <w:rPr>
                <w:spacing w:val="4"/>
              </w:rPr>
              <w:t>计)/(</w:t>
            </w:r>
            <w:r>
              <w:t>mg</w:t>
            </w:r>
            <w:r>
              <w:rPr>
                <w:spacing w:val="4"/>
              </w:rPr>
              <w:t>/100</w:t>
            </w:r>
            <w:r>
              <w:t>mL</w:t>
            </w:r>
            <w:r>
              <w:rPr>
                <w:spacing w:val="4"/>
              </w:rPr>
              <w:t>)</w:t>
            </w:r>
          </w:p>
        </w:tc>
        <w:tc>
          <w:tcPr>
            <w:tcW w:w="1918" w:type="dxa"/>
            <w:vAlign w:val="top"/>
          </w:tcPr>
          <w:p w14:paraId="77660C58">
            <w:pPr>
              <w:pStyle w:val="7"/>
              <w:spacing w:before="103" w:line="220" w:lineRule="auto"/>
              <w:ind w:left="535"/>
            </w:pPr>
            <w:r>
              <w:rPr>
                <w:spacing w:val="3"/>
              </w:rPr>
              <w:t>不大于7</w:t>
            </w:r>
          </w:p>
        </w:tc>
        <w:tc>
          <w:tcPr>
            <w:tcW w:w="2632" w:type="dxa"/>
            <w:vAlign w:val="top"/>
          </w:tcPr>
          <w:p w14:paraId="1FFF6D3A">
            <w:pPr>
              <w:pStyle w:val="7"/>
              <w:spacing w:before="109" w:line="224" w:lineRule="auto"/>
              <w:ind w:left="97"/>
            </w:pPr>
            <w:r>
              <w:rPr>
                <w:spacing w:val="-1"/>
              </w:rPr>
              <w:t>GB/T.258</w:t>
            </w:r>
          </w:p>
        </w:tc>
      </w:tr>
      <w:tr w14:paraId="2E2E94D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0" w:hRule="atLeast"/>
        </w:trPr>
        <w:tc>
          <w:tcPr>
            <w:tcW w:w="894" w:type="dxa"/>
            <w:vAlign w:val="top"/>
          </w:tcPr>
          <w:p w14:paraId="78926AD4">
            <w:pPr>
              <w:pStyle w:val="7"/>
              <w:spacing w:before="146" w:line="241" w:lineRule="auto"/>
              <w:ind w:left="375"/>
            </w:pPr>
            <w:r>
              <w:t>4</w:t>
            </w:r>
          </w:p>
        </w:tc>
        <w:tc>
          <w:tcPr>
            <w:tcW w:w="3876" w:type="dxa"/>
            <w:vAlign w:val="top"/>
          </w:tcPr>
          <w:p w14:paraId="5CF13307">
            <w:pPr>
              <w:pStyle w:val="7"/>
              <w:spacing w:before="123" w:line="219" w:lineRule="auto"/>
              <w:ind w:left="101"/>
            </w:pPr>
            <w:r>
              <w:t>10%蒸余物残炭(质量分数)/%</w:t>
            </w:r>
          </w:p>
        </w:tc>
        <w:tc>
          <w:tcPr>
            <w:tcW w:w="1918" w:type="dxa"/>
            <w:vAlign w:val="top"/>
          </w:tcPr>
          <w:p w14:paraId="0898F2D9">
            <w:pPr>
              <w:pStyle w:val="7"/>
              <w:spacing w:before="123" w:line="220" w:lineRule="auto"/>
              <w:ind w:left="354"/>
            </w:pPr>
            <w:r>
              <w:rPr>
                <w:spacing w:val="1"/>
              </w:rPr>
              <w:t>不大于0.30</w:t>
            </w:r>
          </w:p>
        </w:tc>
        <w:tc>
          <w:tcPr>
            <w:tcW w:w="2632" w:type="dxa"/>
            <w:vAlign w:val="top"/>
          </w:tcPr>
          <w:p w14:paraId="6FCF4C04">
            <w:pPr>
              <w:pStyle w:val="7"/>
              <w:spacing w:before="129" w:line="224" w:lineRule="auto"/>
              <w:ind w:left="97"/>
            </w:pPr>
            <w:r>
              <w:rPr>
                <w:spacing w:val="-4"/>
              </w:rPr>
              <w:t>GB/T</w:t>
            </w:r>
            <w:r>
              <w:rPr>
                <w:spacing w:val="33"/>
              </w:rPr>
              <w:t xml:space="preserve"> </w:t>
            </w:r>
            <w:r>
              <w:rPr>
                <w:spacing w:val="-4"/>
              </w:rPr>
              <w:t>17144</w:t>
            </w:r>
          </w:p>
        </w:tc>
      </w:tr>
      <w:tr w14:paraId="3478F88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0" w:hRule="atLeast"/>
        </w:trPr>
        <w:tc>
          <w:tcPr>
            <w:tcW w:w="894" w:type="dxa"/>
            <w:vAlign w:val="top"/>
          </w:tcPr>
          <w:p w14:paraId="3AE14DA8">
            <w:pPr>
              <w:pStyle w:val="7"/>
              <w:spacing w:before="136"/>
              <w:ind w:left="375"/>
            </w:pPr>
            <w:r>
              <w:t>5</w:t>
            </w:r>
          </w:p>
        </w:tc>
        <w:tc>
          <w:tcPr>
            <w:tcW w:w="3876" w:type="dxa"/>
            <w:vAlign w:val="top"/>
          </w:tcPr>
          <w:p w14:paraId="64D4C535">
            <w:pPr>
              <w:pStyle w:val="7"/>
              <w:spacing w:before="113" w:line="219" w:lineRule="auto"/>
              <w:ind w:left="101"/>
            </w:pPr>
            <w:r>
              <w:rPr>
                <w:spacing w:val="-2"/>
              </w:rPr>
              <w:t>灰分(质量分数)/%</w:t>
            </w:r>
          </w:p>
        </w:tc>
        <w:tc>
          <w:tcPr>
            <w:tcW w:w="1918" w:type="dxa"/>
            <w:vAlign w:val="top"/>
          </w:tcPr>
          <w:p w14:paraId="09047E7F">
            <w:pPr>
              <w:pStyle w:val="7"/>
              <w:spacing w:before="113" w:line="220" w:lineRule="auto"/>
              <w:ind w:left="354"/>
            </w:pPr>
            <w:r>
              <w:rPr>
                <w:spacing w:val="3"/>
              </w:rPr>
              <w:t>不大于0.01</w:t>
            </w:r>
          </w:p>
        </w:tc>
        <w:tc>
          <w:tcPr>
            <w:tcW w:w="2632" w:type="dxa"/>
            <w:vAlign w:val="top"/>
          </w:tcPr>
          <w:p w14:paraId="1DE9F02E">
            <w:pPr>
              <w:pStyle w:val="7"/>
              <w:spacing w:before="119" w:line="224" w:lineRule="auto"/>
              <w:ind w:left="97"/>
            </w:pPr>
            <w:r>
              <w:rPr>
                <w:spacing w:val="-1"/>
              </w:rPr>
              <w:t>GB/T.508</w:t>
            </w:r>
          </w:p>
        </w:tc>
      </w:tr>
      <w:tr w14:paraId="640E47A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9" w:hRule="atLeast"/>
        </w:trPr>
        <w:tc>
          <w:tcPr>
            <w:tcW w:w="894" w:type="dxa"/>
            <w:vAlign w:val="top"/>
          </w:tcPr>
          <w:p w14:paraId="2145A08D">
            <w:pPr>
              <w:pStyle w:val="7"/>
              <w:spacing w:before="127" w:line="232" w:lineRule="auto"/>
              <w:ind w:left="375"/>
            </w:pPr>
            <w:r>
              <w:t>6</w:t>
            </w:r>
          </w:p>
        </w:tc>
        <w:tc>
          <w:tcPr>
            <w:tcW w:w="3876" w:type="dxa"/>
            <w:vAlign w:val="top"/>
          </w:tcPr>
          <w:p w14:paraId="210F80D5">
            <w:pPr>
              <w:pStyle w:val="7"/>
              <w:spacing w:before="99" w:line="216" w:lineRule="auto"/>
              <w:ind w:left="101"/>
            </w:pPr>
            <w:r>
              <w:rPr>
                <w:spacing w:val="1"/>
              </w:rPr>
              <w:t>铜片腐蚀(50℃,3h)/级</w:t>
            </w:r>
          </w:p>
        </w:tc>
        <w:tc>
          <w:tcPr>
            <w:tcW w:w="1918" w:type="dxa"/>
            <w:vAlign w:val="top"/>
          </w:tcPr>
          <w:p w14:paraId="223B0549">
            <w:pPr>
              <w:pStyle w:val="7"/>
              <w:spacing w:before="103" w:line="220" w:lineRule="auto"/>
              <w:ind w:left="535"/>
            </w:pPr>
            <w:r>
              <w:rPr>
                <w:spacing w:val="6"/>
              </w:rPr>
              <w:t>不大于1</w:t>
            </w:r>
          </w:p>
        </w:tc>
        <w:tc>
          <w:tcPr>
            <w:tcW w:w="2632" w:type="dxa"/>
            <w:vAlign w:val="top"/>
          </w:tcPr>
          <w:p w14:paraId="769A9798">
            <w:pPr>
              <w:pStyle w:val="7"/>
              <w:spacing w:before="109" w:line="224" w:lineRule="auto"/>
              <w:ind w:left="97"/>
            </w:pPr>
            <w:r>
              <w:rPr>
                <w:spacing w:val="-3"/>
              </w:rPr>
              <w:t>GB/T</w:t>
            </w:r>
            <w:r>
              <w:rPr>
                <w:spacing w:val="20"/>
              </w:rPr>
              <w:t xml:space="preserve"> </w:t>
            </w:r>
            <w:r>
              <w:rPr>
                <w:spacing w:val="-3"/>
              </w:rPr>
              <w:t>5096</w:t>
            </w:r>
          </w:p>
        </w:tc>
      </w:tr>
      <w:tr w14:paraId="1CBF92A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9" w:hRule="atLeast"/>
        </w:trPr>
        <w:tc>
          <w:tcPr>
            <w:tcW w:w="894" w:type="dxa"/>
            <w:vAlign w:val="top"/>
          </w:tcPr>
          <w:p w14:paraId="3CF5EC2D">
            <w:pPr>
              <w:pStyle w:val="7"/>
              <w:spacing w:before="148" w:line="239" w:lineRule="auto"/>
              <w:ind w:left="375"/>
            </w:pPr>
            <w:r>
              <w:t>7</w:t>
            </w:r>
          </w:p>
        </w:tc>
        <w:tc>
          <w:tcPr>
            <w:tcW w:w="3876" w:type="dxa"/>
            <w:vAlign w:val="top"/>
          </w:tcPr>
          <w:p w14:paraId="3E91C5D9">
            <w:pPr>
              <w:pStyle w:val="7"/>
              <w:spacing w:before="124" w:line="219" w:lineRule="auto"/>
              <w:ind w:left="101"/>
            </w:pPr>
            <w:r>
              <w:rPr>
                <w:spacing w:val="-2"/>
              </w:rPr>
              <w:t>水含量(体积分数)/%</w:t>
            </w:r>
          </w:p>
        </w:tc>
        <w:tc>
          <w:tcPr>
            <w:tcW w:w="1918" w:type="dxa"/>
            <w:vAlign w:val="top"/>
          </w:tcPr>
          <w:p w14:paraId="05874D61">
            <w:pPr>
              <w:pStyle w:val="7"/>
              <w:spacing w:before="124" w:line="219" w:lineRule="auto"/>
              <w:ind w:left="354"/>
            </w:pPr>
            <w:r>
              <w:rPr>
                <w:spacing w:val="1"/>
              </w:rPr>
              <w:t>不大于痕迹</w:t>
            </w:r>
          </w:p>
        </w:tc>
        <w:tc>
          <w:tcPr>
            <w:tcW w:w="2632" w:type="dxa"/>
            <w:vAlign w:val="top"/>
          </w:tcPr>
          <w:p w14:paraId="6F6D4F3F">
            <w:pPr>
              <w:pStyle w:val="7"/>
              <w:spacing w:before="130" w:line="224" w:lineRule="auto"/>
              <w:ind w:left="97"/>
            </w:pPr>
            <w:r>
              <w:rPr>
                <w:spacing w:val="-1"/>
              </w:rPr>
              <w:t>GB/T.11133</w:t>
            </w:r>
          </w:p>
        </w:tc>
      </w:tr>
      <w:tr w14:paraId="5275685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0" w:hRule="atLeast"/>
        </w:trPr>
        <w:tc>
          <w:tcPr>
            <w:tcW w:w="894" w:type="dxa"/>
            <w:vAlign w:val="top"/>
          </w:tcPr>
          <w:p w14:paraId="36A298B8">
            <w:pPr>
              <w:pStyle w:val="7"/>
              <w:spacing w:before="139" w:line="239" w:lineRule="auto"/>
              <w:ind w:left="375"/>
            </w:pPr>
            <w:r>
              <w:t>8</w:t>
            </w:r>
          </w:p>
        </w:tc>
        <w:tc>
          <w:tcPr>
            <w:tcW w:w="3876" w:type="dxa"/>
            <w:vAlign w:val="top"/>
          </w:tcPr>
          <w:p w14:paraId="38AA605B">
            <w:pPr>
              <w:pStyle w:val="7"/>
              <w:spacing w:before="113" w:line="219" w:lineRule="auto"/>
              <w:ind w:left="101"/>
            </w:pPr>
            <w:r>
              <w:rPr>
                <w:spacing w:val="6"/>
              </w:rPr>
              <w:t>机械杂质</w:t>
            </w:r>
          </w:p>
        </w:tc>
        <w:tc>
          <w:tcPr>
            <w:tcW w:w="1918" w:type="dxa"/>
            <w:vAlign w:val="top"/>
          </w:tcPr>
          <w:p w14:paraId="745AC565">
            <w:pPr>
              <w:pStyle w:val="7"/>
              <w:spacing w:before="115" w:line="220" w:lineRule="auto"/>
              <w:ind w:left="835"/>
            </w:pPr>
            <w:r>
              <w:t>无</w:t>
            </w:r>
          </w:p>
        </w:tc>
        <w:tc>
          <w:tcPr>
            <w:tcW w:w="2632" w:type="dxa"/>
            <w:vAlign w:val="top"/>
          </w:tcPr>
          <w:p w14:paraId="76498FC0">
            <w:pPr>
              <w:pStyle w:val="7"/>
              <w:spacing w:before="116" w:line="221" w:lineRule="auto"/>
              <w:ind w:left="97"/>
            </w:pPr>
            <w:r>
              <w:rPr>
                <w:spacing w:val="-28"/>
              </w:rPr>
              <w:t>目</w:t>
            </w:r>
            <w:r>
              <w:rPr>
                <w:spacing w:val="-35"/>
              </w:rPr>
              <w:t xml:space="preserve"> </w:t>
            </w:r>
            <w:r>
              <w:rPr>
                <w:spacing w:val="-28"/>
              </w:rPr>
              <w:t>测</w:t>
            </w:r>
          </w:p>
        </w:tc>
      </w:tr>
      <w:tr w14:paraId="3A1DE54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9" w:hRule="atLeast"/>
        </w:trPr>
        <w:tc>
          <w:tcPr>
            <w:tcW w:w="894" w:type="dxa"/>
            <w:vAlign w:val="top"/>
          </w:tcPr>
          <w:p w14:paraId="6BF171C0">
            <w:pPr>
              <w:pStyle w:val="7"/>
              <w:spacing w:before="128" w:line="231" w:lineRule="auto"/>
              <w:ind w:left="375"/>
            </w:pPr>
            <w:r>
              <w:t>9</w:t>
            </w:r>
          </w:p>
        </w:tc>
        <w:tc>
          <w:tcPr>
            <w:tcW w:w="3876" w:type="dxa"/>
            <w:vAlign w:val="top"/>
          </w:tcPr>
          <w:p w14:paraId="55DFFAF2">
            <w:pPr>
              <w:pStyle w:val="7"/>
              <w:spacing w:before="105" w:line="219" w:lineRule="auto"/>
              <w:ind w:left="101"/>
            </w:pPr>
            <w:r>
              <w:rPr>
                <w:spacing w:val="-4"/>
              </w:rPr>
              <w:t>校正磨痕直径(60℃)/.</w:t>
            </w:r>
            <w:r>
              <w:rPr>
                <w:spacing w:val="-49"/>
              </w:rPr>
              <w:t xml:space="preserve"> </w:t>
            </w:r>
            <w:r>
              <w:rPr>
                <w:spacing w:val="-4"/>
              </w:rPr>
              <w:t>μm</w:t>
            </w:r>
          </w:p>
        </w:tc>
        <w:tc>
          <w:tcPr>
            <w:tcW w:w="1918" w:type="dxa"/>
            <w:vAlign w:val="top"/>
          </w:tcPr>
          <w:p w14:paraId="2AF79887">
            <w:pPr>
              <w:pStyle w:val="7"/>
              <w:spacing w:before="105" w:line="220" w:lineRule="auto"/>
              <w:ind w:left="415"/>
            </w:pPr>
            <w:r>
              <w:rPr>
                <w:spacing w:val="2"/>
              </w:rPr>
              <w:t>不大于460</w:t>
            </w:r>
          </w:p>
        </w:tc>
        <w:tc>
          <w:tcPr>
            <w:tcW w:w="2632" w:type="dxa"/>
            <w:vAlign w:val="top"/>
          </w:tcPr>
          <w:p w14:paraId="2ACE2C15">
            <w:pPr>
              <w:pStyle w:val="7"/>
              <w:spacing w:before="111" w:line="224" w:lineRule="auto"/>
              <w:ind w:left="97"/>
            </w:pPr>
            <w:r>
              <w:rPr>
                <w:spacing w:val="-2"/>
              </w:rPr>
              <w:t>SH/T.0765</w:t>
            </w:r>
          </w:p>
        </w:tc>
      </w:tr>
      <w:tr w14:paraId="7ACA00B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0" w:hRule="atLeast"/>
        </w:trPr>
        <w:tc>
          <w:tcPr>
            <w:tcW w:w="894" w:type="dxa"/>
            <w:vAlign w:val="top"/>
          </w:tcPr>
          <w:p w14:paraId="0E7F5263">
            <w:pPr>
              <w:pStyle w:val="7"/>
              <w:spacing w:before="140" w:line="238" w:lineRule="auto"/>
              <w:ind w:left="315"/>
            </w:pPr>
            <w:r>
              <w:rPr>
                <w:spacing w:val="-7"/>
              </w:rPr>
              <w:t>10</w:t>
            </w:r>
          </w:p>
        </w:tc>
        <w:tc>
          <w:tcPr>
            <w:tcW w:w="3876" w:type="dxa"/>
            <w:vAlign w:val="top"/>
          </w:tcPr>
          <w:p w14:paraId="04722559">
            <w:pPr>
              <w:pStyle w:val="7"/>
              <w:spacing w:before="116" w:line="219" w:lineRule="auto"/>
              <w:ind w:left="101"/>
            </w:pPr>
            <w:r>
              <w:t>多环芳烃含量(质量分数)/%</w:t>
            </w:r>
          </w:p>
        </w:tc>
        <w:tc>
          <w:tcPr>
            <w:tcW w:w="1918" w:type="dxa"/>
            <w:vAlign w:val="top"/>
          </w:tcPr>
          <w:p w14:paraId="49919B57">
            <w:pPr>
              <w:pStyle w:val="7"/>
              <w:spacing w:before="116" w:line="220" w:lineRule="auto"/>
              <w:ind w:left="535"/>
            </w:pPr>
            <w:r>
              <w:rPr>
                <w:spacing w:val="3"/>
              </w:rPr>
              <w:t>不大于7</w:t>
            </w:r>
          </w:p>
        </w:tc>
        <w:tc>
          <w:tcPr>
            <w:tcW w:w="2632" w:type="dxa"/>
            <w:vAlign w:val="top"/>
          </w:tcPr>
          <w:p w14:paraId="521CFBD4">
            <w:pPr>
              <w:pStyle w:val="7"/>
              <w:spacing w:before="122" w:line="224" w:lineRule="auto"/>
              <w:ind w:left="97"/>
            </w:pPr>
            <w:r>
              <w:rPr>
                <w:spacing w:val="-2"/>
              </w:rPr>
              <w:t>SH/T.0806</w:t>
            </w:r>
          </w:p>
        </w:tc>
      </w:tr>
      <w:tr w14:paraId="404B2F8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0" w:hRule="atLeast"/>
        </w:trPr>
        <w:tc>
          <w:tcPr>
            <w:tcW w:w="894" w:type="dxa"/>
            <w:vAlign w:val="top"/>
          </w:tcPr>
          <w:p w14:paraId="71A67842">
            <w:pPr>
              <w:pStyle w:val="7"/>
              <w:spacing w:before="149" w:line="239" w:lineRule="auto"/>
              <w:ind w:left="315"/>
            </w:pPr>
            <w:r>
              <w:rPr>
                <w:spacing w:val="-7"/>
              </w:rPr>
              <w:t>11</w:t>
            </w:r>
          </w:p>
        </w:tc>
        <w:tc>
          <w:tcPr>
            <w:tcW w:w="3876" w:type="dxa"/>
            <w:vAlign w:val="top"/>
          </w:tcPr>
          <w:p w14:paraId="38A31374">
            <w:pPr>
              <w:pStyle w:val="7"/>
              <w:spacing w:before="117" w:line="214" w:lineRule="auto"/>
              <w:ind w:left="101"/>
            </w:pPr>
            <w:r>
              <w:rPr>
                <w:spacing w:val="5"/>
              </w:rPr>
              <w:t>总污染物含量/(</w:t>
            </w:r>
            <w:r>
              <w:t>mg</w:t>
            </w:r>
            <w:r>
              <w:rPr>
                <w:spacing w:val="5"/>
              </w:rPr>
              <w:t>/</w:t>
            </w:r>
            <w:r>
              <w:t>kg</w:t>
            </w:r>
            <w:r>
              <w:rPr>
                <w:spacing w:val="5"/>
              </w:rPr>
              <w:t>)</w:t>
            </w:r>
          </w:p>
        </w:tc>
        <w:tc>
          <w:tcPr>
            <w:tcW w:w="1918" w:type="dxa"/>
            <w:vAlign w:val="top"/>
          </w:tcPr>
          <w:p w14:paraId="25F426CE">
            <w:pPr>
              <w:pStyle w:val="7"/>
              <w:spacing w:before="126" w:line="220" w:lineRule="auto"/>
              <w:ind w:left="475"/>
            </w:pPr>
            <w:r>
              <w:rPr>
                <w:spacing w:val="1"/>
              </w:rPr>
              <w:t>不大于24</w:t>
            </w:r>
          </w:p>
        </w:tc>
        <w:tc>
          <w:tcPr>
            <w:tcW w:w="2632" w:type="dxa"/>
            <w:vAlign w:val="top"/>
          </w:tcPr>
          <w:p w14:paraId="7659C963">
            <w:pPr>
              <w:pStyle w:val="7"/>
              <w:spacing w:before="132" w:line="224" w:lineRule="auto"/>
              <w:ind w:left="97"/>
            </w:pPr>
            <w:r>
              <w:rPr>
                <w:spacing w:val="-2"/>
              </w:rPr>
              <w:t>GB/T</w:t>
            </w:r>
            <w:r>
              <w:rPr>
                <w:spacing w:val="14"/>
              </w:rPr>
              <w:t xml:space="preserve"> </w:t>
            </w:r>
            <w:r>
              <w:rPr>
                <w:spacing w:val="-2"/>
              </w:rPr>
              <w:t>33400</w:t>
            </w:r>
          </w:p>
        </w:tc>
      </w:tr>
      <w:tr w14:paraId="3DC67BC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0" w:hRule="atLeast"/>
        </w:trPr>
        <w:tc>
          <w:tcPr>
            <w:tcW w:w="894" w:type="dxa"/>
            <w:vAlign w:val="top"/>
          </w:tcPr>
          <w:p w14:paraId="54F55021">
            <w:pPr>
              <w:pStyle w:val="7"/>
              <w:spacing w:before="129" w:line="231" w:lineRule="auto"/>
              <w:ind w:left="315"/>
            </w:pPr>
            <w:r>
              <w:rPr>
                <w:spacing w:val="-7"/>
              </w:rPr>
              <w:t>12</w:t>
            </w:r>
          </w:p>
        </w:tc>
        <w:tc>
          <w:tcPr>
            <w:tcW w:w="3876" w:type="dxa"/>
            <w:vAlign w:val="top"/>
          </w:tcPr>
          <w:p w14:paraId="54E7C8B9">
            <w:pPr>
              <w:pStyle w:val="7"/>
              <w:spacing w:before="106" w:line="220" w:lineRule="auto"/>
              <w:ind w:left="101"/>
            </w:pPr>
            <w:r>
              <w:rPr>
                <w:spacing w:val="3"/>
              </w:rPr>
              <w:t>运动黏度(20℃)/(</w:t>
            </w:r>
            <w:r>
              <w:t>mm</w:t>
            </w:r>
            <w:r>
              <w:rPr>
                <w:spacing w:val="3"/>
              </w:rPr>
              <w:t>2/s)</w:t>
            </w:r>
          </w:p>
        </w:tc>
        <w:tc>
          <w:tcPr>
            <w:tcW w:w="1918" w:type="dxa"/>
            <w:vAlign w:val="top"/>
          </w:tcPr>
          <w:p w14:paraId="090256E7">
            <w:pPr>
              <w:pStyle w:val="7"/>
              <w:spacing w:before="129" w:line="231" w:lineRule="auto"/>
              <w:ind w:left="535"/>
            </w:pPr>
            <w:r>
              <w:rPr>
                <w:spacing w:val="-3"/>
              </w:rPr>
              <w:t>3.0~8.0</w:t>
            </w:r>
          </w:p>
        </w:tc>
        <w:tc>
          <w:tcPr>
            <w:tcW w:w="2632" w:type="dxa"/>
            <w:vAlign w:val="top"/>
          </w:tcPr>
          <w:p w14:paraId="223DBE36">
            <w:pPr>
              <w:pStyle w:val="7"/>
              <w:spacing w:before="112" w:line="224" w:lineRule="auto"/>
              <w:ind w:left="97"/>
            </w:pPr>
            <w:r>
              <w:rPr>
                <w:spacing w:val="-1"/>
              </w:rPr>
              <w:t>GB/T.265</w:t>
            </w:r>
          </w:p>
        </w:tc>
      </w:tr>
      <w:tr w14:paraId="502DDA2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0" w:hRule="atLeast"/>
        </w:trPr>
        <w:tc>
          <w:tcPr>
            <w:tcW w:w="894" w:type="dxa"/>
            <w:vAlign w:val="top"/>
          </w:tcPr>
          <w:p w14:paraId="62623EF8">
            <w:pPr>
              <w:pStyle w:val="7"/>
              <w:spacing w:before="139" w:line="239" w:lineRule="auto"/>
              <w:ind w:left="315"/>
            </w:pPr>
            <w:r>
              <w:rPr>
                <w:spacing w:val="-7"/>
              </w:rPr>
              <w:t>13</w:t>
            </w:r>
          </w:p>
        </w:tc>
        <w:tc>
          <w:tcPr>
            <w:tcW w:w="3876" w:type="dxa"/>
            <w:vAlign w:val="top"/>
          </w:tcPr>
          <w:p w14:paraId="52DD16E1">
            <w:pPr>
              <w:pStyle w:val="7"/>
              <w:spacing w:before="117" w:line="221" w:lineRule="auto"/>
              <w:ind w:left="101"/>
            </w:pPr>
            <w:r>
              <w:rPr>
                <w:spacing w:val="8"/>
              </w:rPr>
              <w:t>凝点/℃</w:t>
            </w:r>
          </w:p>
        </w:tc>
        <w:tc>
          <w:tcPr>
            <w:tcW w:w="1918" w:type="dxa"/>
            <w:vAlign w:val="top"/>
          </w:tcPr>
          <w:p w14:paraId="6EF49472">
            <w:pPr>
              <w:pStyle w:val="7"/>
              <w:spacing w:before="116" w:line="219" w:lineRule="auto"/>
              <w:ind w:left="535"/>
            </w:pPr>
            <w:r>
              <w:rPr>
                <w:spacing w:val="3"/>
              </w:rPr>
              <w:t>不高于0</w:t>
            </w:r>
          </w:p>
        </w:tc>
        <w:tc>
          <w:tcPr>
            <w:tcW w:w="2632" w:type="dxa"/>
            <w:vAlign w:val="top"/>
          </w:tcPr>
          <w:p w14:paraId="2A2E19AC">
            <w:pPr>
              <w:pStyle w:val="7"/>
              <w:spacing w:before="122" w:line="224" w:lineRule="auto"/>
              <w:ind w:left="97"/>
            </w:pPr>
            <w:r>
              <w:rPr>
                <w:spacing w:val="-1"/>
              </w:rPr>
              <w:t>GB/T.510</w:t>
            </w:r>
          </w:p>
        </w:tc>
      </w:tr>
      <w:tr w14:paraId="6D73F25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0" w:hRule="atLeast"/>
        </w:trPr>
        <w:tc>
          <w:tcPr>
            <w:tcW w:w="894" w:type="dxa"/>
            <w:vAlign w:val="top"/>
          </w:tcPr>
          <w:p w14:paraId="38E8E305">
            <w:pPr>
              <w:pStyle w:val="7"/>
              <w:spacing w:before="139" w:line="239" w:lineRule="auto"/>
              <w:ind w:left="315"/>
            </w:pPr>
            <w:r>
              <w:rPr>
                <w:spacing w:val="-7"/>
              </w:rPr>
              <w:t>14</w:t>
            </w:r>
          </w:p>
        </w:tc>
        <w:tc>
          <w:tcPr>
            <w:tcW w:w="3876" w:type="dxa"/>
            <w:vAlign w:val="top"/>
          </w:tcPr>
          <w:p w14:paraId="3486272F">
            <w:pPr>
              <w:pStyle w:val="7"/>
              <w:spacing w:before="119" w:line="221" w:lineRule="auto"/>
              <w:ind w:left="101"/>
            </w:pPr>
            <w:r>
              <w:rPr>
                <w:spacing w:val="6"/>
              </w:rPr>
              <w:t>冷滤点/℃</w:t>
            </w:r>
          </w:p>
        </w:tc>
        <w:tc>
          <w:tcPr>
            <w:tcW w:w="1918" w:type="dxa"/>
            <w:vAlign w:val="top"/>
          </w:tcPr>
          <w:p w14:paraId="160843FC">
            <w:pPr>
              <w:pStyle w:val="7"/>
              <w:spacing w:before="116" w:line="219" w:lineRule="auto"/>
              <w:ind w:left="535"/>
            </w:pPr>
            <w:r>
              <w:rPr>
                <w:spacing w:val="2"/>
              </w:rPr>
              <w:t>不高于4</w:t>
            </w:r>
          </w:p>
        </w:tc>
        <w:tc>
          <w:tcPr>
            <w:tcW w:w="2632" w:type="dxa"/>
            <w:vAlign w:val="top"/>
          </w:tcPr>
          <w:p w14:paraId="7D7DAE41">
            <w:pPr>
              <w:pStyle w:val="7"/>
              <w:spacing w:before="122" w:line="224" w:lineRule="auto"/>
              <w:ind w:left="97"/>
            </w:pPr>
            <w:r>
              <w:rPr>
                <w:spacing w:val="-2"/>
              </w:rPr>
              <w:t>SH/T.0248</w:t>
            </w:r>
          </w:p>
        </w:tc>
      </w:tr>
      <w:tr w14:paraId="6D30C3F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9" w:hRule="atLeast"/>
        </w:trPr>
        <w:tc>
          <w:tcPr>
            <w:tcW w:w="894" w:type="dxa"/>
            <w:vAlign w:val="top"/>
          </w:tcPr>
          <w:p w14:paraId="0DE72B8B">
            <w:pPr>
              <w:pStyle w:val="7"/>
              <w:spacing w:before="130" w:line="230" w:lineRule="auto"/>
              <w:ind w:left="315"/>
            </w:pPr>
            <w:r>
              <w:rPr>
                <w:spacing w:val="-7"/>
              </w:rPr>
              <w:t>15</w:t>
            </w:r>
          </w:p>
        </w:tc>
        <w:tc>
          <w:tcPr>
            <w:tcW w:w="3876" w:type="dxa"/>
            <w:vAlign w:val="top"/>
          </w:tcPr>
          <w:p w14:paraId="4D657181">
            <w:pPr>
              <w:pStyle w:val="7"/>
              <w:spacing w:before="106" w:line="220" w:lineRule="auto"/>
              <w:ind w:left="101"/>
            </w:pPr>
            <w:r>
              <w:rPr>
                <w:spacing w:val="4"/>
              </w:rPr>
              <w:t>闪点(闭口)/℃</w:t>
            </w:r>
          </w:p>
        </w:tc>
        <w:tc>
          <w:tcPr>
            <w:tcW w:w="1918" w:type="dxa"/>
            <w:vAlign w:val="top"/>
          </w:tcPr>
          <w:p w14:paraId="3FA713AE">
            <w:pPr>
              <w:pStyle w:val="7"/>
              <w:spacing w:before="107" w:line="221" w:lineRule="auto"/>
              <w:ind w:left="475"/>
            </w:pPr>
            <w:r>
              <w:rPr>
                <w:spacing w:val="2"/>
              </w:rPr>
              <w:t>不低于60</w:t>
            </w:r>
          </w:p>
        </w:tc>
        <w:tc>
          <w:tcPr>
            <w:tcW w:w="2632" w:type="dxa"/>
            <w:vAlign w:val="top"/>
          </w:tcPr>
          <w:p w14:paraId="799D006D">
            <w:pPr>
              <w:pStyle w:val="7"/>
              <w:spacing w:before="112" w:line="224" w:lineRule="auto"/>
              <w:ind w:left="97"/>
            </w:pPr>
            <w:r>
              <w:rPr>
                <w:spacing w:val="-1"/>
              </w:rPr>
              <w:t>GB/T.261</w:t>
            </w:r>
          </w:p>
        </w:tc>
      </w:tr>
      <w:tr w14:paraId="03A0AEF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9" w:hRule="atLeast"/>
        </w:trPr>
        <w:tc>
          <w:tcPr>
            <w:tcW w:w="894" w:type="dxa"/>
            <w:vAlign w:val="top"/>
          </w:tcPr>
          <w:p w14:paraId="2C0AFE06">
            <w:pPr>
              <w:pStyle w:val="7"/>
              <w:spacing w:before="150" w:line="237" w:lineRule="auto"/>
              <w:ind w:left="315"/>
            </w:pPr>
            <w:r>
              <w:rPr>
                <w:spacing w:val="-7"/>
              </w:rPr>
              <w:t>16</w:t>
            </w:r>
          </w:p>
        </w:tc>
        <w:tc>
          <w:tcPr>
            <w:tcW w:w="3876" w:type="dxa"/>
            <w:vAlign w:val="top"/>
          </w:tcPr>
          <w:p w14:paraId="3A351519">
            <w:pPr>
              <w:pStyle w:val="7"/>
              <w:spacing w:before="127" w:line="219" w:lineRule="auto"/>
              <w:ind w:left="101"/>
            </w:pPr>
            <w:r>
              <w:rPr>
                <w:spacing w:val="-2"/>
              </w:rPr>
              <w:t>十六烷值</w:t>
            </w:r>
          </w:p>
        </w:tc>
        <w:tc>
          <w:tcPr>
            <w:tcW w:w="1918" w:type="dxa"/>
            <w:vAlign w:val="top"/>
          </w:tcPr>
          <w:p w14:paraId="3BF38964">
            <w:pPr>
              <w:pStyle w:val="7"/>
              <w:spacing w:before="130" w:line="221" w:lineRule="auto"/>
              <w:ind w:left="475"/>
            </w:pPr>
            <w:r>
              <w:rPr>
                <w:spacing w:val="4"/>
              </w:rPr>
              <w:t>不小于51</w:t>
            </w:r>
          </w:p>
        </w:tc>
        <w:tc>
          <w:tcPr>
            <w:tcW w:w="2632" w:type="dxa"/>
            <w:vAlign w:val="top"/>
          </w:tcPr>
          <w:p w14:paraId="5F78F68B">
            <w:pPr>
              <w:pStyle w:val="7"/>
              <w:spacing w:before="133" w:line="224" w:lineRule="auto"/>
              <w:ind w:left="97"/>
            </w:pPr>
            <w:r>
              <w:rPr>
                <w:spacing w:val="-3"/>
              </w:rPr>
              <w:t>GB/T</w:t>
            </w:r>
            <w:r>
              <w:rPr>
                <w:spacing w:val="18"/>
              </w:rPr>
              <w:t xml:space="preserve"> </w:t>
            </w:r>
            <w:r>
              <w:rPr>
                <w:spacing w:val="-3"/>
              </w:rPr>
              <w:t>386</w:t>
            </w:r>
          </w:p>
        </w:tc>
      </w:tr>
      <w:tr w14:paraId="05EC06C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0" w:hRule="atLeast"/>
        </w:trPr>
        <w:tc>
          <w:tcPr>
            <w:tcW w:w="894" w:type="dxa"/>
            <w:vAlign w:val="top"/>
          </w:tcPr>
          <w:p w14:paraId="76D1CEF7">
            <w:pPr>
              <w:pStyle w:val="7"/>
              <w:spacing w:before="141" w:line="237" w:lineRule="auto"/>
              <w:ind w:left="315"/>
            </w:pPr>
            <w:r>
              <w:rPr>
                <w:spacing w:val="-7"/>
              </w:rPr>
              <w:t>17</w:t>
            </w:r>
          </w:p>
        </w:tc>
        <w:tc>
          <w:tcPr>
            <w:tcW w:w="3876" w:type="dxa"/>
            <w:vAlign w:val="top"/>
          </w:tcPr>
          <w:p w14:paraId="74AEE949">
            <w:pPr>
              <w:pStyle w:val="7"/>
              <w:spacing w:before="118" w:line="219" w:lineRule="auto"/>
              <w:ind w:left="101"/>
            </w:pPr>
            <w:r>
              <w:rPr>
                <w:spacing w:val="2"/>
              </w:rPr>
              <w:t>十六烷指数</w:t>
            </w:r>
          </w:p>
        </w:tc>
        <w:tc>
          <w:tcPr>
            <w:tcW w:w="1918" w:type="dxa"/>
            <w:vAlign w:val="top"/>
          </w:tcPr>
          <w:p w14:paraId="07B8972B">
            <w:pPr>
              <w:pStyle w:val="7"/>
              <w:spacing w:before="121" w:line="221" w:lineRule="auto"/>
              <w:ind w:left="475"/>
            </w:pPr>
            <w:r>
              <w:rPr>
                <w:spacing w:val="2"/>
              </w:rPr>
              <w:t>不小于46</w:t>
            </w:r>
          </w:p>
        </w:tc>
        <w:tc>
          <w:tcPr>
            <w:tcW w:w="2632" w:type="dxa"/>
            <w:vAlign w:val="top"/>
          </w:tcPr>
          <w:p w14:paraId="5BDCDD66">
            <w:pPr>
              <w:pStyle w:val="7"/>
              <w:spacing w:before="124" w:line="224" w:lineRule="auto"/>
              <w:ind w:left="97"/>
            </w:pPr>
            <w:r>
              <w:rPr>
                <w:spacing w:val="-2"/>
              </w:rPr>
              <w:t>SH/T.0694</w:t>
            </w:r>
          </w:p>
        </w:tc>
      </w:tr>
      <w:tr w14:paraId="7545415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0" w:hRule="atLeast"/>
        </w:trPr>
        <w:tc>
          <w:tcPr>
            <w:tcW w:w="894" w:type="dxa"/>
            <w:vAlign w:val="top"/>
          </w:tcPr>
          <w:p w14:paraId="640DD06C">
            <w:pPr>
              <w:pStyle w:val="7"/>
              <w:spacing w:before="151" w:line="237" w:lineRule="auto"/>
              <w:ind w:left="315"/>
            </w:pPr>
            <w:r>
              <w:rPr>
                <w:spacing w:val="-7"/>
              </w:rPr>
              <w:t>18</w:t>
            </w:r>
          </w:p>
        </w:tc>
        <w:tc>
          <w:tcPr>
            <w:tcW w:w="3876" w:type="dxa"/>
            <w:vAlign w:val="top"/>
          </w:tcPr>
          <w:p w14:paraId="7E87C44D">
            <w:pPr>
              <w:pStyle w:val="7"/>
              <w:spacing w:before="128" w:line="219" w:lineRule="auto"/>
              <w:ind w:left="101"/>
            </w:pPr>
            <w:r>
              <w:rPr>
                <w:spacing w:val="3"/>
              </w:rPr>
              <w:t>50%回收温度/℃</w:t>
            </w:r>
          </w:p>
        </w:tc>
        <w:tc>
          <w:tcPr>
            <w:tcW w:w="1918" w:type="dxa"/>
            <w:vAlign w:val="top"/>
          </w:tcPr>
          <w:p w14:paraId="786233A1">
            <w:pPr>
              <w:pStyle w:val="7"/>
              <w:spacing w:before="128" w:line="219" w:lineRule="auto"/>
              <w:ind w:left="415"/>
            </w:pPr>
            <w:r>
              <w:rPr>
                <w:spacing w:val="2"/>
              </w:rPr>
              <w:t>不高于300</w:t>
            </w:r>
          </w:p>
        </w:tc>
        <w:tc>
          <w:tcPr>
            <w:tcW w:w="2632" w:type="dxa"/>
            <w:vAlign w:val="top"/>
          </w:tcPr>
          <w:p w14:paraId="3BD012D5">
            <w:pPr>
              <w:pStyle w:val="7"/>
              <w:spacing w:before="134" w:line="224" w:lineRule="auto"/>
              <w:ind w:left="97"/>
            </w:pPr>
            <w:r>
              <w:rPr>
                <w:spacing w:val="-2"/>
              </w:rPr>
              <w:t>GB/T</w:t>
            </w:r>
            <w:r>
              <w:rPr>
                <w:spacing w:val="11"/>
              </w:rPr>
              <w:t xml:space="preserve"> </w:t>
            </w:r>
            <w:r>
              <w:rPr>
                <w:spacing w:val="-2"/>
              </w:rPr>
              <w:t>6536</w:t>
            </w:r>
          </w:p>
        </w:tc>
      </w:tr>
      <w:tr w14:paraId="524C2C8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0" w:hRule="atLeast"/>
        </w:trPr>
        <w:tc>
          <w:tcPr>
            <w:tcW w:w="894" w:type="dxa"/>
            <w:vAlign w:val="top"/>
          </w:tcPr>
          <w:p w14:paraId="0901EB50">
            <w:pPr>
              <w:pStyle w:val="7"/>
              <w:spacing w:before="132" w:line="229" w:lineRule="auto"/>
              <w:ind w:left="315"/>
            </w:pPr>
            <w:r>
              <w:rPr>
                <w:spacing w:val="-7"/>
              </w:rPr>
              <w:t>19</w:t>
            </w:r>
          </w:p>
        </w:tc>
        <w:tc>
          <w:tcPr>
            <w:tcW w:w="3876" w:type="dxa"/>
            <w:vAlign w:val="top"/>
          </w:tcPr>
          <w:p w14:paraId="2B426C38">
            <w:pPr>
              <w:pStyle w:val="7"/>
              <w:spacing w:before="108" w:line="219" w:lineRule="auto"/>
              <w:ind w:left="101"/>
            </w:pPr>
            <w:r>
              <w:rPr>
                <w:spacing w:val="3"/>
              </w:rPr>
              <w:t>90%回收温度/℃</w:t>
            </w:r>
          </w:p>
        </w:tc>
        <w:tc>
          <w:tcPr>
            <w:tcW w:w="1918" w:type="dxa"/>
            <w:vAlign w:val="top"/>
          </w:tcPr>
          <w:p w14:paraId="555AB75E">
            <w:pPr>
              <w:pStyle w:val="7"/>
              <w:spacing w:before="108" w:line="219" w:lineRule="auto"/>
              <w:ind w:left="415"/>
            </w:pPr>
            <w:r>
              <w:rPr>
                <w:spacing w:val="2"/>
              </w:rPr>
              <w:t>不高于355</w:t>
            </w:r>
          </w:p>
        </w:tc>
        <w:tc>
          <w:tcPr>
            <w:tcW w:w="2632" w:type="dxa"/>
            <w:vAlign w:val="top"/>
          </w:tcPr>
          <w:p w14:paraId="476D0B78">
            <w:pPr>
              <w:pStyle w:val="7"/>
              <w:spacing w:before="114" w:line="224" w:lineRule="auto"/>
              <w:ind w:left="97"/>
            </w:pPr>
            <w:r>
              <w:rPr>
                <w:spacing w:val="-2"/>
              </w:rPr>
              <w:t>GB/T</w:t>
            </w:r>
            <w:r>
              <w:rPr>
                <w:spacing w:val="11"/>
              </w:rPr>
              <w:t xml:space="preserve"> </w:t>
            </w:r>
            <w:r>
              <w:rPr>
                <w:spacing w:val="-2"/>
              </w:rPr>
              <w:t>6536</w:t>
            </w:r>
          </w:p>
        </w:tc>
      </w:tr>
      <w:tr w14:paraId="71C0CC3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0" w:hRule="atLeast"/>
        </w:trPr>
        <w:tc>
          <w:tcPr>
            <w:tcW w:w="894" w:type="dxa"/>
            <w:vAlign w:val="top"/>
          </w:tcPr>
          <w:p w14:paraId="6270F495">
            <w:pPr>
              <w:pStyle w:val="7"/>
              <w:spacing w:before="141" w:line="237" w:lineRule="auto"/>
              <w:ind w:left="315"/>
            </w:pPr>
            <w:r>
              <w:rPr>
                <w:spacing w:val="-4"/>
              </w:rPr>
              <w:t>20</w:t>
            </w:r>
          </w:p>
        </w:tc>
        <w:tc>
          <w:tcPr>
            <w:tcW w:w="3876" w:type="dxa"/>
            <w:vAlign w:val="top"/>
          </w:tcPr>
          <w:p w14:paraId="67BF8C42">
            <w:pPr>
              <w:pStyle w:val="7"/>
              <w:spacing w:before="118" w:line="219" w:lineRule="auto"/>
              <w:ind w:left="101"/>
            </w:pPr>
            <w:r>
              <w:rPr>
                <w:spacing w:val="3"/>
              </w:rPr>
              <w:t>95%回收温度/℃</w:t>
            </w:r>
          </w:p>
        </w:tc>
        <w:tc>
          <w:tcPr>
            <w:tcW w:w="1918" w:type="dxa"/>
            <w:vAlign w:val="top"/>
          </w:tcPr>
          <w:p w14:paraId="72BD8E42">
            <w:pPr>
              <w:pStyle w:val="7"/>
              <w:spacing w:before="118" w:line="219" w:lineRule="auto"/>
              <w:ind w:left="415"/>
            </w:pPr>
            <w:r>
              <w:rPr>
                <w:spacing w:val="2"/>
              </w:rPr>
              <w:t>不高于365</w:t>
            </w:r>
          </w:p>
        </w:tc>
        <w:tc>
          <w:tcPr>
            <w:tcW w:w="2632" w:type="dxa"/>
            <w:vAlign w:val="top"/>
          </w:tcPr>
          <w:p w14:paraId="06183167">
            <w:pPr>
              <w:pStyle w:val="7"/>
              <w:spacing w:before="124" w:line="224" w:lineRule="auto"/>
              <w:ind w:left="97"/>
            </w:pPr>
            <w:r>
              <w:rPr>
                <w:spacing w:val="-1"/>
              </w:rPr>
              <w:t>GB/T.6536</w:t>
            </w:r>
          </w:p>
        </w:tc>
      </w:tr>
      <w:tr w14:paraId="19933B5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9" w:hRule="atLeast"/>
        </w:trPr>
        <w:tc>
          <w:tcPr>
            <w:tcW w:w="894" w:type="dxa"/>
            <w:vAlign w:val="top"/>
          </w:tcPr>
          <w:p w14:paraId="37018755">
            <w:pPr>
              <w:pStyle w:val="7"/>
              <w:spacing w:before="131" w:line="229" w:lineRule="auto"/>
              <w:ind w:left="315"/>
            </w:pPr>
            <w:r>
              <w:rPr>
                <w:spacing w:val="-4"/>
              </w:rPr>
              <w:t>21</w:t>
            </w:r>
          </w:p>
        </w:tc>
        <w:tc>
          <w:tcPr>
            <w:tcW w:w="3876" w:type="dxa"/>
            <w:vAlign w:val="top"/>
          </w:tcPr>
          <w:p w14:paraId="25D2CD83">
            <w:pPr>
              <w:pStyle w:val="7"/>
              <w:spacing w:before="99" w:line="214" w:lineRule="auto"/>
              <w:ind w:left="101"/>
            </w:pPr>
            <w:r>
              <w:rPr>
                <w:spacing w:val="4"/>
              </w:rPr>
              <w:t>密度(20℃)/(</w:t>
            </w:r>
            <w:r>
              <w:t>kg</w:t>
            </w:r>
            <w:r>
              <w:rPr>
                <w:spacing w:val="4"/>
              </w:rPr>
              <w:t>/m3)</w:t>
            </w:r>
          </w:p>
        </w:tc>
        <w:tc>
          <w:tcPr>
            <w:tcW w:w="1918" w:type="dxa"/>
            <w:vAlign w:val="top"/>
          </w:tcPr>
          <w:p w14:paraId="49B4EDEF">
            <w:pPr>
              <w:pStyle w:val="7"/>
              <w:spacing w:before="131" w:line="229" w:lineRule="auto"/>
              <w:ind w:left="535"/>
            </w:pPr>
            <w:r>
              <w:rPr>
                <w:spacing w:val="-2"/>
              </w:rPr>
              <w:t>810~845</w:t>
            </w:r>
          </w:p>
        </w:tc>
        <w:tc>
          <w:tcPr>
            <w:tcW w:w="2632" w:type="dxa"/>
            <w:vAlign w:val="top"/>
          </w:tcPr>
          <w:p w14:paraId="37949C57">
            <w:pPr>
              <w:pStyle w:val="7"/>
              <w:spacing w:before="114" w:line="224" w:lineRule="auto"/>
              <w:ind w:left="97"/>
            </w:pPr>
            <w:r>
              <w:rPr>
                <w:spacing w:val="-3"/>
              </w:rPr>
              <w:t>SH/T</w:t>
            </w:r>
            <w:r>
              <w:rPr>
                <w:spacing w:val="15"/>
              </w:rPr>
              <w:t xml:space="preserve"> </w:t>
            </w:r>
            <w:r>
              <w:rPr>
                <w:spacing w:val="-3"/>
              </w:rPr>
              <w:t>0604</w:t>
            </w:r>
          </w:p>
        </w:tc>
      </w:tr>
      <w:tr w14:paraId="6BB8E55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9" w:hRule="atLeast"/>
        </w:trPr>
        <w:tc>
          <w:tcPr>
            <w:tcW w:w="894" w:type="dxa"/>
            <w:vAlign w:val="top"/>
          </w:tcPr>
          <w:p w14:paraId="7FCFBF47">
            <w:pPr>
              <w:spacing w:line="293" w:lineRule="auto"/>
              <w:rPr>
                <w:rFonts w:ascii="Arial"/>
                <w:sz w:val="21"/>
              </w:rPr>
            </w:pPr>
          </w:p>
          <w:p w14:paraId="319AAE19">
            <w:pPr>
              <w:pStyle w:val="7"/>
              <w:spacing w:before="78" w:line="241" w:lineRule="auto"/>
              <w:ind w:left="315"/>
            </w:pPr>
            <w:r>
              <w:rPr>
                <w:spacing w:val="-4"/>
              </w:rPr>
              <w:t>22</w:t>
            </w:r>
          </w:p>
        </w:tc>
        <w:tc>
          <w:tcPr>
            <w:tcW w:w="3876" w:type="dxa"/>
            <w:vAlign w:val="top"/>
          </w:tcPr>
          <w:p w14:paraId="66CFD67A">
            <w:pPr>
              <w:pStyle w:val="7"/>
              <w:spacing w:before="207" w:line="266" w:lineRule="auto"/>
              <w:ind w:left="101" w:right="755"/>
            </w:pPr>
            <w:r>
              <w:t>脂肪酸甲酯含量(体积分数)/</w:t>
            </w:r>
            <w:r>
              <w:rPr>
                <w:spacing w:val="8"/>
              </w:rPr>
              <w:t xml:space="preserve"> </w:t>
            </w:r>
            <w:r>
              <w:t>%</w:t>
            </w:r>
          </w:p>
        </w:tc>
        <w:tc>
          <w:tcPr>
            <w:tcW w:w="1918" w:type="dxa"/>
            <w:vAlign w:val="top"/>
          </w:tcPr>
          <w:p w14:paraId="20583794">
            <w:pPr>
              <w:spacing w:line="269" w:lineRule="auto"/>
              <w:rPr>
                <w:rFonts w:ascii="Arial"/>
                <w:sz w:val="21"/>
              </w:rPr>
            </w:pPr>
          </w:p>
          <w:p w14:paraId="79F9AAFF">
            <w:pPr>
              <w:pStyle w:val="7"/>
              <w:spacing w:before="78" w:line="220" w:lineRule="auto"/>
              <w:ind w:left="415"/>
            </w:pPr>
            <w:r>
              <w:rPr>
                <w:spacing w:val="2"/>
              </w:rPr>
              <w:t>不大于1.0</w:t>
            </w:r>
          </w:p>
        </w:tc>
        <w:tc>
          <w:tcPr>
            <w:tcW w:w="2632" w:type="dxa"/>
            <w:vAlign w:val="top"/>
          </w:tcPr>
          <w:p w14:paraId="1A1566C7">
            <w:pPr>
              <w:spacing w:line="276" w:lineRule="auto"/>
              <w:rPr>
                <w:rFonts w:ascii="Arial"/>
                <w:sz w:val="21"/>
              </w:rPr>
            </w:pPr>
          </w:p>
          <w:p w14:paraId="58920441">
            <w:pPr>
              <w:pStyle w:val="7"/>
              <w:spacing w:before="78" w:line="224" w:lineRule="auto"/>
              <w:ind w:left="97"/>
            </w:pPr>
            <w:r>
              <w:rPr>
                <w:spacing w:val="-1"/>
              </w:rPr>
              <w:t>GB/T.23801</w:t>
            </w:r>
          </w:p>
        </w:tc>
      </w:tr>
      <w:tr w14:paraId="3DA1EB0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5" w:hRule="atLeast"/>
        </w:trPr>
        <w:tc>
          <w:tcPr>
            <w:tcW w:w="894" w:type="dxa"/>
            <w:vAlign w:val="top"/>
          </w:tcPr>
          <w:p w14:paraId="3CF24FD9">
            <w:pPr>
              <w:pStyle w:val="7"/>
              <w:spacing w:before="144" w:line="239" w:lineRule="auto"/>
              <w:ind w:left="315"/>
            </w:pPr>
            <w:r>
              <w:rPr>
                <w:spacing w:val="-4"/>
              </w:rPr>
              <w:t>23</w:t>
            </w:r>
          </w:p>
        </w:tc>
        <w:tc>
          <w:tcPr>
            <w:tcW w:w="3876" w:type="dxa"/>
            <w:vAlign w:val="top"/>
          </w:tcPr>
          <w:p w14:paraId="3C537660">
            <w:pPr>
              <w:pStyle w:val="7"/>
              <w:spacing w:before="126" w:line="224" w:lineRule="auto"/>
              <w:ind w:left="97"/>
              <w:rPr>
                <w:spacing w:val="-1"/>
              </w:rPr>
            </w:pPr>
            <w:r>
              <w:rPr>
                <w:spacing w:val="-1"/>
              </w:rPr>
              <w:t>电导率(20℃)/(pS/m)</w:t>
            </w:r>
          </w:p>
        </w:tc>
        <w:tc>
          <w:tcPr>
            <w:tcW w:w="1918" w:type="dxa"/>
            <w:vAlign w:val="top"/>
          </w:tcPr>
          <w:p w14:paraId="2B65E1B6">
            <w:pPr>
              <w:pStyle w:val="7"/>
              <w:spacing w:before="126" w:line="224" w:lineRule="auto"/>
              <w:ind w:left="97"/>
              <w:jc w:val="center"/>
              <w:rPr>
                <w:rFonts w:hint="default" w:eastAsia="宋体"/>
                <w:spacing w:val="-1"/>
                <w:lang w:val="en-US" w:eastAsia="zh-CN"/>
              </w:rPr>
            </w:pPr>
            <w:r>
              <w:rPr>
                <w:rFonts w:hint="eastAsia"/>
                <w:spacing w:val="-1"/>
                <w:lang w:val="en-US" w:eastAsia="zh-CN"/>
              </w:rPr>
              <w:t>不小于50</w:t>
            </w:r>
          </w:p>
        </w:tc>
        <w:tc>
          <w:tcPr>
            <w:tcW w:w="2632" w:type="dxa"/>
            <w:vAlign w:val="top"/>
          </w:tcPr>
          <w:p w14:paraId="09D16D8F">
            <w:pPr>
              <w:pStyle w:val="7"/>
              <w:spacing w:before="126" w:line="224" w:lineRule="auto"/>
              <w:ind w:left="97"/>
            </w:pPr>
            <w:r>
              <w:rPr>
                <w:spacing w:val="-1"/>
              </w:rPr>
              <w:t>GB/T.6539</w:t>
            </w:r>
          </w:p>
        </w:tc>
      </w:tr>
    </w:tbl>
    <w:p w14:paraId="5586BAF5">
      <w:pPr>
        <w:rPr>
          <w:rFonts w:hint="eastAsia" w:eastAsia="宋体"/>
          <w:b/>
          <w:bCs/>
          <w:spacing w:val="-4"/>
          <w:lang w:eastAsia="zh-CN"/>
        </w:rPr>
        <w:sectPr>
          <w:footerReference r:id="rId5" w:type="default"/>
          <w:pgSz w:w="11910" w:h="16840"/>
          <w:pgMar w:top="1440" w:right="1080" w:bottom="1440" w:left="1080" w:header="0" w:footer="1009" w:gutter="0"/>
          <w:pgNumType w:fmt="decimal"/>
          <w:cols w:space="720" w:num="1"/>
        </w:sectPr>
      </w:pPr>
    </w:p>
    <w:p w14:paraId="537B9C48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A06C99E">
    <w:pPr>
      <w:spacing w:line="174" w:lineRule="auto"/>
      <w:ind w:left="5064"/>
      <w:rPr>
        <w:rFonts w:ascii="Times New Roman" w:hAnsi="Times New Roman" w:eastAsia="Times New Roman" w:cs="Times New Roman"/>
        <w:sz w:val="15"/>
        <w:szCs w:val="15"/>
      </w:rPr>
    </w:pPr>
    <w:r>
      <w:rPr>
        <w:sz w:val="15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29" name="文本框 12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62F6526">
                          <w:pPr>
                            <w:pStyle w:val="4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62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62F6526">
                    <w:pPr>
                      <w:pStyle w:val="4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62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676774B"/>
    <w:rsid w:val="067677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paragraph" w:styleId="2">
    <w:name w:val="heading 2"/>
    <w:basedOn w:val="1"/>
    <w:next w:val="1"/>
    <w:unhideWhenUsed/>
    <w:qFormat/>
    <w:uiPriority w:val="0"/>
    <w:pPr>
      <w:keepNext/>
      <w:keepLines/>
      <w:spacing w:before="260" w:after="260" w:line="416" w:lineRule="auto"/>
      <w:outlineLvl w:val="1"/>
    </w:pPr>
    <w:rPr>
      <w:rFonts w:asciiTheme="majorHAnsi" w:hAnsiTheme="majorHAnsi" w:eastAsiaTheme="majorEastAsia" w:cstheme="majorBidi"/>
      <w:b/>
      <w:bCs/>
      <w:sz w:val="32"/>
      <w:szCs w:val="32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customStyle="1" w:styleId="7">
    <w:name w:val="Table Text"/>
    <w:basedOn w:val="1"/>
    <w:semiHidden/>
    <w:qFormat/>
    <w:uiPriority w:val="0"/>
    <w:rPr>
      <w:rFonts w:ascii="宋体" w:hAnsi="宋体" w:eastAsia="宋体" w:cs="宋体"/>
      <w:sz w:val="24"/>
      <w:szCs w:val="24"/>
      <w:lang w:val="en-US" w:eastAsia="en-US" w:bidi="ar-SA"/>
    </w:rPr>
  </w:style>
  <w:style w:type="table" w:customStyle="1" w:styleId="8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2026-06-17T02:36:00Z</dcterms:created>
  <dc:creator>新苗幼儿园</dc:creator>
  <cp:lastModifiedBy>新苗幼儿园</cp:lastModifiedBy>
  <dcterms:modified xsi:type="dcterms:W3CDTF">2026-06-17T02:37:53Z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4FBC0D42029F4B4EBB96A5533E0DAE47_11</vt:lpwstr>
  </property>
  <property fmtid="{D5CDD505-2E9C-101B-9397-08002B2CF9AE}" pid="4" name="KSOTemplateDocerSaveRecord">
    <vt:lpwstr>eyJoZGlkIjoiMzU0MjU2NWZhZmEzZjM0MTE0ZTU3MDkxNzAxN2UwYjYiLCJ1c2VySWQiOiI2OTA0MDY1MzkifQ==</vt:lpwstr>
  </property>
</Properties>
</file>