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9EF2A9">
      <w:pPr>
        <w:pageBreakBefore w:val="0"/>
        <w:widowControl w:val="0"/>
        <w:wordWrap/>
        <w:overflowPunct/>
        <w:topLinePunct w:val="0"/>
        <w:bidi w:val="0"/>
        <w:spacing w:line="242" w:lineRule="auto"/>
        <w:rPr>
          <w:rFonts w:hint="eastAsia" w:eastAsiaTheme="minorEastAsia"/>
          <w:color w:val="auto"/>
          <w:spacing w:val="0"/>
          <w:position w:val="0"/>
          <w:lang w:eastAsia="zh-CN"/>
        </w:rPr>
      </w:pPr>
    </w:p>
    <w:p w14:paraId="551FB056">
      <w:pPr>
        <w:pageBreakBefore w:val="0"/>
        <w:widowControl w:val="0"/>
        <w:wordWrap/>
        <w:overflowPunct/>
        <w:topLinePunct w:val="0"/>
        <w:bidi w:val="0"/>
        <w:spacing w:line="258" w:lineRule="auto"/>
        <w:rPr>
          <w:color w:val="auto"/>
          <w:spacing w:val="0"/>
          <w:position w:val="0"/>
        </w:rPr>
      </w:pPr>
    </w:p>
    <w:p w14:paraId="31E2C5C3">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 xml:space="preserve">（一） </w:t>
      </w: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需求</w:t>
      </w:r>
    </w:p>
    <w:p w14:paraId="400FA9B4">
      <w:pPr>
        <w:pageBreakBefore w:val="0"/>
        <w:widowControl w:val="0"/>
        <w:wordWrap/>
        <w:overflowPunct/>
        <w:topLinePunct w:val="0"/>
        <w:bidi w:val="0"/>
        <w:spacing w:line="242" w:lineRule="auto"/>
        <w:rPr>
          <w:color w:val="auto"/>
          <w:spacing w:val="0"/>
          <w:position w:val="0"/>
        </w:rPr>
      </w:pPr>
    </w:p>
    <w:p w14:paraId="7C95F6C5">
      <w:pPr>
        <w:pStyle w:val="3"/>
        <w:numPr>
          <w:ilvl w:val="0"/>
          <w:numId w:val="0"/>
        </w:numPr>
        <w:shd w:val="clear" w:color="auto" w:fill="auto"/>
        <w:spacing w:before="156" w:beforeLines="50" w:after="156" w:afterLines="50" w:line="360" w:lineRule="auto"/>
        <w:jc w:val="left"/>
        <w:rPr>
          <w:rFonts w:hint="eastAsia" w:ascii="宋体" w:hAnsi="宋体" w:cs="宋体"/>
          <w:color w:val="auto"/>
          <w:sz w:val="32"/>
          <w:szCs w:val="32"/>
          <w:highlight w:val="none"/>
        </w:rPr>
      </w:pPr>
      <w:bookmarkStart w:id="0" w:name="_Toc18390"/>
      <w:r>
        <w:rPr>
          <w:rFonts w:hint="eastAsia" w:ascii="宋体" w:hAnsi="宋体" w:cs="宋体"/>
          <w:color w:val="auto"/>
          <w:sz w:val="32"/>
          <w:szCs w:val="32"/>
          <w:highlight w:val="none"/>
          <w:lang w:val="en-US" w:eastAsia="zh-CN"/>
        </w:rPr>
        <w:t>1.</w:t>
      </w:r>
      <w:r>
        <w:rPr>
          <w:rFonts w:hint="eastAsia" w:ascii="宋体" w:hAnsi="宋体" w:cs="宋体"/>
          <w:color w:val="auto"/>
          <w:sz w:val="32"/>
          <w:szCs w:val="32"/>
          <w:highlight w:val="none"/>
        </w:rPr>
        <w:t>项目概述</w:t>
      </w:r>
      <w:bookmarkEnd w:id="0"/>
    </w:p>
    <w:p w14:paraId="028A6D2C">
      <w:pPr>
        <w:pStyle w:val="3"/>
        <w:numPr>
          <w:ilvl w:val="0"/>
          <w:numId w:val="0"/>
        </w:numPr>
        <w:shd w:val="clear" w:color="auto" w:fill="auto"/>
        <w:spacing w:before="156" w:beforeLines="50" w:after="156" w:afterLines="50" w:line="360" w:lineRule="auto"/>
        <w:ind w:firstLine="420"/>
        <w:jc w:val="left"/>
        <w:rPr>
          <w:rFonts w:hint="eastAsia" w:ascii="宋体" w:hAnsi="宋体" w:cs="宋体"/>
          <w:color w:val="auto"/>
          <w:sz w:val="32"/>
          <w:szCs w:val="32"/>
          <w:highlight w:val="none"/>
        </w:rPr>
      </w:pPr>
      <w:bookmarkStart w:id="1" w:name="_Toc23838"/>
      <w:r>
        <w:rPr>
          <w:rFonts w:hint="eastAsia" w:ascii="宋体" w:hAnsi="宋体" w:cs="宋体"/>
          <w:color w:val="auto"/>
          <w:sz w:val="32"/>
          <w:szCs w:val="32"/>
          <w:highlight w:val="none"/>
        </w:rPr>
        <w:t>1.1项目背景：</w:t>
      </w:r>
      <w:bookmarkEnd w:id="1"/>
    </w:p>
    <w:p w14:paraId="37ED200A">
      <w:pPr>
        <w:pStyle w:val="35"/>
        <w:shd w:val="clear" w:color="auto" w:fill="auto"/>
        <w:spacing w:line="360" w:lineRule="auto"/>
        <w:ind w:firstLineChars="0"/>
        <w:jc w:val="left"/>
        <w:rPr>
          <w:color w:val="auto"/>
          <w:highlight w:val="none"/>
        </w:rPr>
      </w:pPr>
      <w:r>
        <w:rPr>
          <w:rFonts w:hint="eastAsia"/>
          <w:color w:val="auto"/>
          <w:highlight w:val="none"/>
        </w:rPr>
        <w:t>在当今数字化迅猛发展的时代，医疗行业对信息化建设的需求日益迫切。中日友好医院江西医院作为区域内集医疗服务、教学与科研于一体的重要机构，在提升医</w:t>
      </w:r>
      <w:r>
        <w:rPr>
          <w:rFonts w:hint="eastAsia"/>
          <w:color w:val="auto"/>
          <w:highlight w:val="none"/>
          <w:lang w:val="en-US" w:eastAsia="zh-CN"/>
        </w:rPr>
        <w:t>学教育水平</w:t>
      </w:r>
      <w:r>
        <w:rPr>
          <w:rFonts w:hint="eastAsia"/>
          <w:color w:val="auto"/>
          <w:highlight w:val="none"/>
        </w:rPr>
        <w:t>、</w:t>
      </w:r>
      <w:r>
        <w:rPr>
          <w:rFonts w:hint="eastAsia"/>
          <w:color w:val="auto"/>
          <w:highlight w:val="none"/>
          <w:lang w:eastAsia="zh-CN"/>
        </w:rPr>
        <w:t>提高</w:t>
      </w:r>
      <w:r>
        <w:rPr>
          <w:rFonts w:hint="eastAsia"/>
          <w:color w:val="auto"/>
          <w:highlight w:val="none"/>
        </w:rPr>
        <w:t>学术交流效率等方面，面临着新的挑战与机遇。医院致力于促进知识传播与创新、提升医疗质量与安全、培养高水平医学人才、优化资源配置与协作效率。</w:t>
      </w:r>
    </w:p>
    <w:p w14:paraId="2F29FEEE">
      <w:pPr>
        <w:pStyle w:val="3"/>
        <w:numPr>
          <w:ilvl w:val="0"/>
          <w:numId w:val="0"/>
        </w:numPr>
        <w:shd w:val="clear" w:color="auto" w:fill="auto"/>
        <w:spacing w:before="156" w:beforeLines="50" w:after="156" w:afterLines="50" w:line="360" w:lineRule="auto"/>
        <w:ind w:firstLine="420"/>
        <w:jc w:val="left"/>
        <w:rPr>
          <w:rFonts w:hint="eastAsia" w:ascii="宋体" w:hAnsi="宋体" w:cs="宋体"/>
          <w:color w:val="auto"/>
          <w:sz w:val="32"/>
          <w:szCs w:val="32"/>
          <w:highlight w:val="none"/>
        </w:rPr>
      </w:pPr>
      <w:bookmarkStart w:id="2" w:name="_Toc18957"/>
      <w:r>
        <w:rPr>
          <w:rFonts w:hint="eastAsia" w:ascii="宋体" w:hAnsi="宋体" w:cs="宋体"/>
          <w:color w:val="auto"/>
          <w:sz w:val="32"/>
          <w:szCs w:val="32"/>
          <w:highlight w:val="none"/>
        </w:rPr>
        <w:t>1.2项目总体</w:t>
      </w:r>
      <w:bookmarkStart w:id="3" w:name="_Toc137961756"/>
      <w:bookmarkStart w:id="4" w:name="_Toc234859245"/>
      <w:bookmarkStart w:id="5" w:name="_Toc142632499"/>
      <w:bookmarkStart w:id="6" w:name="_Toc146534264"/>
      <w:r>
        <w:rPr>
          <w:rFonts w:hint="eastAsia" w:ascii="宋体" w:hAnsi="宋体" w:cs="宋体"/>
          <w:color w:val="auto"/>
          <w:sz w:val="32"/>
          <w:szCs w:val="32"/>
          <w:highlight w:val="none"/>
        </w:rPr>
        <w:t>要求</w:t>
      </w:r>
      <w:bookmarkEnd w:id="2"/>
    </w:p>
    <w:p w14:paraId="28E398CD">
      <w:pPr>
        <w:pStyle w:val="35"/>
        <w:shd w:val="clear" w:color="auto" w:fill="auto"/>
        <w:spacing w:line="360" w:lineRule="auto"/>
        <w:ind w:firstLineChars="0"/>
        <w:jc w:val="left"/>
        <w:rPr>
          <w:rFonts w:hint="eastAsia"/>
          <w:color w:val="auto"/>
          <w:highlight w:val="none"/>
        </w:rPr>
      </w:pPr>
      <w:r>
        <w:rPr>
          <w:rFonts w:hint="eastAsia"/>
          <w:color w:val="auto"/>
          <w:highlight w:val="none"/>
        </w:rPr>
        <w:t>本系统整合LED显示控制、智慧综合服务、多学科协作、视频回溯分析、智能集中管控等核心功能模块，构建一套全流程、多维度、高可靠的多媒体信息综合管理平台。系统采用分布式架构设计，支持多模态数据融合处理，通过标准化接口实现各子系统无缝对接，满足指挥调度、会议协作、安全监控等多元化场景需求。</w:t>
      </w:r>
    </w:p>
    <w:bookmarkEnd w:id="3"/>
    <w:bookmarkEnd w:id="4"/>
    <w:bookmarkEnd w:id="5"/>
    <w:bookmarkEnd w:id="6"/>
    <w:p w14:paraId="02D80F17">
      <w:pPr>
        <w:pStyle w:val="3"/>
        <w:numPr>
          <w:ilvl w:val="0"/>
          <w:numId w:val="0"/>
        </w:numPr>
        <w:shd w:val="clear" w:color="auto" w:fill="auto"/>
        <w:spacing w:before="156" w:beforeLines="50" w:after="156" w:line="360" w:lineRule="auto"/>
        <w:ind w:firstLine="420"/>
        <w:jc w:val="left"/>
        <w:rPr>
          <w:rFonts w:hint="eastAsia"/>
        </w:rPr>
      </w:pPr>
      <w:bookmarkStart w:id="7" w:name="_Toc26135"/>
      <w:r>
        <w:rPr>
          <w:rFonts w:hint="eastAsia" w:ascii="宋体" w:hAnsi="宋体" w:cs="宋体"/>
          <w:color w:val="auto"/>
          <w:sz w:val="32"/>
          <w:szCs w:val="32"/>
          <w:highlight w:val="none"/>
        </w:rPr>
        <w:t>1.</w:t>
      </w:r>
      <w:r>
        <w:rPr>
          <w:rFonts w:ascii="宋体" w:hAnsi="宋体" w:cs="宋体"/>
          <w:color w:val="auto"/>
          <w:sz w:val="32"/>
          <w:szCs w:val="32"/>
          <w:highlight w:val="none"/>
        </w:rPr>
        <w:t>3</w:t>
      </w:r>
      <w:r>
        <w:rPr>
          <w:rFonts w:hint="eastAsia" w:ascii="宋体" w:hAnsi="宋体" w:cs="宋体"/>
          <w:color w:val="auto"/>
          <w:sz w:val="32"/>
          <w:szCs w:val="32"/>
          <w:highlight w:val="none"/>
        </w:rPr>
        <w:t>项目目的与意义</w:t>
      </w:r>
      <w:bookmarkEnd w:id="7"/>
    </w:p>
    <w:p w14:paraId="468DC0FA">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bookmarkStart w:id="8" w:name="_Toc28133"/>
      <w:r>
        <w:rPr>
          <w:rFonts w:hint="eastAsia" w:ascii="宋体" w:hAnsi="宋体" w:cs="宋体"/>
          <w:color w:val="auto"/>
          <w:sz w:val="32"/>
          <w:szCs w:val="32"/>
          <w:highlight w:val="none"/>
        </w:rPr>
        <w:t>1.3.1项目目的</w:t>
      </w:r>
      <w:bookmarkEnd w:id="8"/>
    </w:p>
    <w:p w14:paraId="222A5BBF">
      <w:pPr>
        <w:pStyle w:val="35"/>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1</w:t>
      </w:r>
      <w:r>
        <w:rPr>
          <w:rFonts w:hint="eastAsia" w:eastAsia="宋体"/>
          <w:color w:val="auto"/>
          <w:highlight w:val="none"/>
          <w:lang w:eastAsia="zh-CN"/>
        </w:rPr>
        <w:t>）</w:t>
      </w:r>
      <w:r>
        <w:rPr>
          <w:color w:val="auto"/>
          <w:highlight w:val="none"/>
        </w:rPr>
        <w:t>提升学术交流质量：打造先进的学术</w:t>
      </w:r>
      <w:r>
        <w:rPr>
          <w:rFonts w:hint="eastAsia"/>
          <w:color w:val="auto"/>
          <w:highlight w:val="none"/>
          <w:lang w:val="en-US" w:eastAsia="zh-CN"/>
        </w:rPr>
        <w:t>综合</w:t>
      </w:r>
      <w:r>
        <w:rPr>
          <w:rFonts w:hint="default"/>
          <w:color w:val="auto"/>
          <w:highlight w:val="none"/>
          <w:lang w:val="en-US"/>
        </w:rPr>
        <w:t>会议室</w:t>
      </w:r>
      <w:r>
        <w:rPr>
          <w:color w:val="auto"/>
          <w:highlight w:val="none"/>
        </w:rPr>
        <w:t>信息化环境，配备高清视频直播、录播</w:t>
      </w:r>
      <w:r>
        <w:rPr>
          <w:rFonts w:hint="eastAsia" w:eastAsia="宋体"/>
          <w:color w:val="auto"/>
          <w:highlight w:val="none"/>
          <w:lang w:val="en-US" w:eastAsia="zh-CN"/>
        </w:rPr>
        <w:t>软件</w:t>
      </w:r>
      <w:r>
        <w:rPr>
          <w:color w:val="auto"/>
          <w:highlight w:val="none"/>
        </w:rPr>
        <w:t>，实现学术讲座的远程实时分享与存档，</w:t>
      </w:r>
      <w:r>
        <w:rPr>
          <w:rFonts w:hint="eastAsia"/>
          <w:color w:val="auto"/>
          <w:highlight w:val="none"/>
        </w:rPr>
        <w:t>为</w:t>
      </w:r>
      <w:r>
        <w:rPr>
          <w:color w:val="auto"/>
          <w:highlight w:val="none"/>
        </w:rPr>
        <w:t>更多医护人员</w:t>
      </w:r>
      <w:r>
        <w:rPr>
          <w:rFonts w:hint="eastAsia"/>
          <w:color w:val="auto"/>
          <w:highlight w:val="none"/>
        </w:rPr>
        <w:t>提供</w:t>
      </w:r>
      <w:r>
        <w:rPr>
          <w:color w:val="auto"/>
          <w:highlight w:val="none"/>
        </w:rPr>
        <w:t>学习交流</w:t>
      </w:r>
      <w:r>
        <w:rPr>
          <w:rFonts w:hint="eastAsia"/>
          <w:color w:val="auto"/>
          <w:highlight w:val="none"/>
        </w:rPr>
        <w:t>的便利</w:t>
      </w:r>
      <w:r>
        <w:rPr>
          <w:color w:val="auto"/>
          <w:highlight w:val="none"/>
        </w:rPr>
        <w:t>。</w:t>
      </w:r>
      <w:r>
        <w:rPr>
          <w:rFonts w:hint="eastAsia" w:eastAsia="宋体"/>
          <w:color w:val="auto"/>
          <w:highlight w:val="none"/>
          <w:lang w:val="en-US" w:eastAsia="zh-CN"/>
        </w:rPr>
        <w:t>支持</w:t>
      </w:r>
      <w:r>
        <w:rPr>
          <w:color w:val="auto"/>
          <w:highlight w:val="none"/>
        </w:rPr>
        <w:t>高质量的多媒体展示，支持4K超高清视频播放等功能，满足各类学术报告对信息展示的</w:t>
      </w:r>
      <w:r>
        <w:rPr>
          <w:rFonts w:hint="eastAsia"/>
          <w:color w:val="auto"/>
          <w:highlight w:val="none"/>
        </w:rPr>
        <w:t>高标准</w:t>
      </w:r>
      <w:r>
        <w:rPr>
          <w:color w:val="auto"/>
          <w:highlight w:val="none"/>
        </w:rPr>
        <w:t>要求，促进学术思想的高效传播，提升医院在区域内的学术影响力。</w:t>
      </w:r>
    </w:p>
    <w:p w14:paraId="1E3324CC">
      <w:pPr>
        <w:pStyle w:val="35"/>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2</w:t>
      </w:r>
      <w:r>
        <w:rPr>
          <w:rFonts w:hint="eastAsia" w:eastAsia="宋体"/>
          <w:color w:val="auto"/>
          <w:highlight w:val="none"/>
          <w:lang w:eastAsia="zh-CN"/>
        </w:rPr>
        <w:t>）</w:t>
      </w:r>
      <w:r>
        <w:rPr>
          <w:color w:val="auto"/>
          <w:highlight w:val="none"/>
        </w:rPr>
        <w:t>提高会议效率：通过实现会议预约、签到、资料共享等功能的信息化管理，</w:t>
      </w:r>
      <w:r>
        <w:rPr>
          <w:rFonts w:hint="eastAsia"/>
          <w:color w:val="auto"/>
          <w:highlight w:val="none"/>
        </w:rPr>
        <w:t>基于大模型引擎，</w:t>
      </w:r>
      <w:r>
        <w:rPr>
          <w:color w:val="auto"/>
          <w:highlight w:val="none"/>
        </w:rPr>
        <w:t>减少人工操作流程，提高会议组织效率。采用高清视频会议</w:t>
      </w:r>
      <w:r>
        <w:rPr>
          <w:rFonts w:hint="eastAsia" w:eastAsia="宋体"/>
          <w:color w:val="auto"/>
          <w:highlight w:val="none"/>
          <w:lang w:val="en-US" w:eastAsia="zh-CN"/>
        </w:rPr>
        <w:t>系统</w:t>
      </w:r>
      <w:r>
        <w:rPr>
          <w:color w:val="auto"/>
          <w:highlight w:val="none"/>
        </w:rPr>
        <w:t>，打破地域限制，</w:t>
      </w:r>
      <w:r>
        <w:rPr>
          <w:rFonts w:hint="eastAsia"/>
          <w:color w:val="auto"/>
          <w:highlight w:val="none"/>
        </w:rPr>
        <w:t>便于</w:t>
      </w:r>
      <w:r>
        <w:rPr>
          <w:color w:val="auto"/>
          <w:highlight w:val="none"/>
        </w:rPr>
        <w:t>与上级医院、合作机构进行远程会议沟通，加快决策速度，提升医院行政管理效能。</w:t>
      </w:r>
    </w:p>
    <w:p w14:paraId="74F036B0">
      <w:pPr>
        <w:pStyle w:val="35"/>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3</w:t>
      </w:r>
      <w:r>
        <w:rPr>
          <w:rFonts w:hint="eastAsia" w:eastAsia="宋体"/>
          <w:color w:val="auto"/>
          <w:highlight w:val="none"/>
          <w:lang w:eastAsia="zh-CN"/>
        </w:rPr>
        <w:t>）</w:t>
      </w:r>
      <w:r>
        <w:rPr>
          <w:color w:val="auto"/>
          <w:highlight w:val="none"/>
        </w:rPr>
        <w:t>优化教学培训效果：在教培室构建信息化教学，支持互动教学、仿真教学等新型教学模式。方便教师进行教学内容推送、实时反馈与评估</w:t>
      </w:r>
      <w:r>
        <w:rPr>
          <w:rFonts w:hint="eastAsia"/>
          <w:color w:val="auto"/>
          <w:highlight w:val="none"/>
        </w:rPr>
        <w:t>学生学习情况</w:t>
      </w:r>
      <w:r>
        <w:rPr>
          <w:color w:val="auto"/>
          <w:highlight w:val="none"/>
        </w:rPr>
        <w:t>，实现个性化教学，提高医护人员培训质量，为医院培养高素质的专业人才。</w:t>
      </w:r>
    </w:p>
    <w:p w14:paraId="79CBECF4">
      <w:pPr>
        <w:rPr>
          <w:rFonts w:hint="eastAsia"/>
        </w:rPr>
      </w:pPr>
    </w:p>
    <w:p w14:paraId="38941DF5">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bookmarkStart w:id="9" w:name="_Toc30053"/>
      <w:r>
        <w:rPr>
          <w:rFonts w:hint="eastAsia" w:ascii="宋体" w:hAnsi="宋体" w:cs="宋体"/>
          <w:color w:val="auto"/>
          <w:sz w:val="32"/>
          <w:szCs w:val="32"/>
          <w:highlight w:val="none"/>
        </w:rPr>
        <w:t>1.3.2项目意义</w:t>
      </w:r>
      <w:bookmarkEnd w:id="9"/>
    </w:p>
    <w:p w14:paraId="23EF031C">
      <w:pPr>
        <w:pStyle w:val="35"/>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1</w:t>
      </w:r>
      <w:r>
        <w:rPr>
          <w:rFonts w:hint="eastAsia" w:eastAsia="宋体"/>
          <w:color w:val="auto"/>
          <w:highlight w:val="none"/>
          <w:lang w:eastAsia="zh-CN"/>
        </w:rPr>
        <w:t>）</w:t>
      </w:r>
      <w:r>
        <w:rPr>
          <w:color w:val="auto"/>
          <w:highlight w:val="none"/>
        </w:rPr>
        <w:t>对医院自身发展：信息化建设将全面提升医院的整体形象与竞争力，使其在区域医疗市场中</w:t>
      </w:r>
      <w:r>
        <w:rPr>
          <w:rFonts w:hint="eastAsia"/>
          <w:color w:val="auto"/>
          <w:highlight w:val="none"/>
        </w:rPr>
        <w:t>崭露头角</w:t>
      </w:r>
      <w:r>
        <w:rPr>
          <w:color w:val="auto"/>
          <w:highlight w:val="none"/>
        </w:rPr>
        <w:t>。有助于吸引更多优秀的医疗人才与科研项目，推动医院医疗技术与学术水平的</w:t>
      </w:r>
      <w:r>
        <w:rPr>
          <w:rFonts w:hint="eastAsia"/>
          <w:color w:val="auto"/>
          <w:highlight w:val="none"/>
        </w:rPr>
        <w:t>提高</w:t>
      </w:r>
      <w:r>
        <w:rPr>
          <w:color w:val="auto"/>
          <w:highlight w:val="none"/>
        </w:rPr>
        <w:t>，为医院的可持续发展奠定坚实基础。同时，提高医院各部门之间的沟通协作效率，优化内部管理流程，降低运营成本。</w:t>
      </w:r>
    </w:p>
    <w:p w14:paraId="7DD949D7">
      <w:pPr>
        <w:pStyle w:val="35"/>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2</w:t>
      </w:r>
      <w:r>
        <w:rPr>
          <w:rFonts w:hint="eastAsia" w:eastAsia="宋体"/>
          <w:color w:val="auto"/>
          <w:highlight w:val="none"/>
          <w:lang w:eastAsia="zh-CN"/>
        </w:rPr>
        <w:t>）</w:t>
      </w:r>
      <w:r>
        <w:rPr>
          <w:color w:val="auto"/>
          <w:highlight w:val="none"/>
        </w:rPr>
        <w:t>对医疗行业：该项目的成功实施可为其他医院在</w:t>
      </w:r>
      <w:r>
        <w:rPr>
          <w:rFonts w:hint="eastAsia"/>
          <w:color w:val="auto"/>
          <w:highlight w:val="none"/>
        </w:rPr>
        <w:t>学术综合</w:t>
      </w:r>
      <w:r>
        <w:rPr>
          <w:color w:val="auto"/>
          <w:highlight w:val="none"/>
        </w:rPr>
        <w:t>会议室与教培室信息化建设方面提供借鉴与示范，推动整个医疗行业在信息化建设方面的发展。促进区域内医疗学术资源的共享与交流，提升区域医疗整体水平，推动医疗行业的协同发展。</w:t>
      </w:r>
    </w:p>
    <w:p w14:paraId="637B3872">
      <w:pPr>
        <w:pStyle w:val="35"/>
        <w:shd w:val="clear" w:color="auto" w:fill="auto"/>
        <w:spacing w:line="360" w:lineRule="auto"/>
        <w:ind w:firstLineChars="0"/>
        <w:jc w:val="left"/>
        <w:rPr>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3</w:t>
      </w:r>
      <w:r>
        <w:rPr>
          <w:rFonts w:hint="eastAsia" w:eastAsia="宋体"/>
          <w:color w:val="auto"/>
          <w:highlight w:val="none"/>
          <w:lang w:eastAsia="zh-CN"/>
        </w:rPr>
        <w:t>）</w:t>
      </w:r>
      <w:r>
        <w:rPr>
          <w:rFonts w:hint="eastAsia"/>
          <w:color w:val="auto"/>
          <w:highlight w:val="none"/>
        </w:rPr>
        <w:t xml:space="preserve">对社会：提升医院的医疗服务能力与教学水平，最终使广大患者受益。通过培养更多高素质的医护人员，提供更优质的医疗服务，能够更好地满足人民群众日益增长的健康需求，为保障社会公众的身体健康作出积极贡献。 </w:t>
      </w:r>
    </w:p>
    <w:p w14:paraId="1B8E9954">
      <w:pPr>
        <w:rPr>
          <w:rFonts w:hint="eastAsia"/>
        </w:rPr>
      </w:pPr>
    </w:p>
    <w:p w14:paraId="1955B8C7">
      <w:pPr>
        <w:pStyle w:val="3"/>
        <w:numPr>
          <w:ilvl w:val="0"/>
          <w:numId w:val="0"/>
        </w:numPr>
        <w:shd w:val="clear" w:color="auto" w:fill="auto"/>
        <w:spacing w:before="156" w:beforeLines="50" w:after="156" w:afterLines="50" w:line="360" w:lineRule="auto"/>
        <w:jc w:val="left"/>
        <w:rPr>
          <w:rFonts w:hint="eastAsia" w:ascii="宋体" w:hAnsi="宋体" w:cs="宋体"/>
          <w:color w:val="auto"/>
          <w:sz w:val="32"/>
          <w:szCs w:val="32"/>
          <w:highlight w:val="none"/>
        </w:rPr>
      </w:pPr>
      <w:bookmarkStart w:id="10" w:name="_Toc10778"/>
      <w:r>
        <w:rPr>
          <w:rFonts w:hint="eastAsia" w:ascii="宋体" w:hAnsi="宋体" w:cs="宋体"/>
          <w:color w:val="auto"/>
          <w:sz w:val="32"/>
          <w:szCs w:val="32"/>
          <w:highlight w:val="none"/>
          <w:lang w:val="en-US" w:eastAsia="zh-CN"/>
        </w:rPr>
        <w:t>2</w:t>
      </w:r>
      <w:r>
        <w:rPr>
          <w:rFonts w:hint="eastAsia" w:ascii="宋体" w:hAnsi="宋体" w:cs="宋体"/>
          <w:color w:val="auto"/>
          <w:sz w:val="32"/>
          <w:szCs w:val="32"/>
          <w:highlight w:val="none"/>
        </w:rPr>
        <w:t>、项目情况</w:t>
      </w:r>
      <w:bookmarkEnd w:id="10"/>
    </w:p>
    <w:p w14:paraId="094B0857">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r>
        <w:rPr>
          <w:rFonts w:hint="eastAsia" w:ascii="宋体" w:hAnsi="宋体" w:cs="宋体"/>
          <w:color w:val="auto"/>
          <w:sz w:val="32"/>
          <w:szCs w:val="32"/>
          <w:highlight w:val="none"/>
        </w:rPr>
        <w:t>2.1项目需求</w:t>
      </w:r>
    </w:p>
    <w:p w14:paraId="701BFE75">
      <w:pPr>
        <w:pStyle w:val="35"/>
        <w:shd w:val="clear" w:color="auto" w:fill="auto"/>
        <w:spacing w:line="360" w:lineRule="auto"/>
        <w:ind w:firstLineChars="0"/>
        <w:jc w:val="left"/>
        <w:rPr>
          <w:rFonts w:hint="eastAsia"/>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1</w:t>
      </w:r>
      <w:r>
        <w:rPr>
          <w:rFonts w:hint="eastAsia" w:eastAsia="宋体"/>
          <w:color w:val="auto"/>
          <w:highlight w:val="none"/>
          <w:lang w:eastAsia="zh-CN"/>
        </w:rPr>
        <w:t>）</w:t>
      </w:r>
      <w:r>
        <w:rPr>
          <w:rFonts w:hint="eastAsia"/>
          <w:color w:val="auto"/>
          <w:highlight w:val="none"/>
        </w:rPr>
        <w:t>显示控制系统</w:t>
      </w:r>
    </w:p>
    <w:p w14:paraId="3F8C22B3">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LED系统软件：具备强大功能，有力支持多屏拼接、色彩校正以及亮度自适应调节等工作，</w:t>
      </w:r>
      <w:r>
        <w:rPr>
          <w:rFonts w:hint="eastAsia" w:eastAsia="宋体"/>
          <w:lang w:eastAsia="zh-CN"/>
        </w:rPr>
        <w:t>确保显示效果精准高效。</w:t>
      </w:r>
    </w:p>
    <w:p w14:paraId="1E087A01">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大屏幕管理软件：可有效实现多信号源开窗漫游和预案管理等重要功能，积极支持4K/8K超高清信号的实时处理，为大屏幕显示提供坚实保障。</w:t>
      </w:r>
    </w:p>
    <w:p w14:paraId="3722EDC2">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多模态混合矩阵管理软件：能够提供16×16至256×256规模的矩阵切换服务，大力支持HDMI/SDI/IP等多种信号格式转换，提升信号处理的兼容性和灵活性。</w:t>
      </w:r>
    </w:p>
    <w:p w14:paraId="2855715D">
      <w:pPr>
        <w:pStyle w:val="35"/>
        <w:shd w:val="clear" w:color="auto" w:fill="auto"/>
        <w:spacing w:line="360" w:lineRule="auto"/>
        <w:ind w:firstLineChars="0"/>
        <w:jc w:val="left"/>
        <w:rPr>
          <w:rFonts w:hint="eastAsia"/>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2</w:t>
      </w:r>
      <w:r>
        <w:rPr>
          <w:rFonts w:hint="eastAsia" w:eastAsia="宋体"/>
          <w:color w:val="auto"/>
          <w:highlight w:val="none"/>
          <w:lang w:eastAsia="zh-CN"/>
        </w:rPr>
        <w:t>）</w:t>
      </w:r>
      <w:r>
        <w:rPr>
          <w:rFonts w:hint="eastAsia"/>
          <w:color w:val="auto"/>
          <w:highlight w:val="none"/>
        </w:rPr>
        <w:t>会议协作系统</w:t>
      </w:r>
    </w:p>
    <w:p w14:paraId="064F7D16">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无纸化移动会议软件：拥有会议签到、文件分发、电子表决、同屏标注等实用功能，良好兼容iOS/Android系统，推动会议协作的高效化和便捷化。</w:t>
      </w:r>
    </w:p>
    <w:p w14:paraId="2F647FFC">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虚拟演播室软件：集成虚拟场景构建、色键抠像、多机位切换等关键功能，积极支持实时字幕叠加与特效处理，助力演播室工作高质量开展。</w:t>
      </w:r>
    </w:p>
    <w:p w14:paraId="402C6E87">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多媒体编辑软件：提供音视频剪辑、特效合成、格式转换等专业工具，全力支持4K/8K素材的非线性编辑，满足多媒体编辑的多样化需求。</w:t>
      </w:r>
    </w:p>
    <w:p w14:paraId="2191FB15">
      <w:pPr>
        <w:pStyle w:val="35"/>
        <w:shd w:val="clear" w:color="auto" w:fill="auto"/>
        <w:spacing w:line="360" w:lineRule="auto"/>
        <w:ind w:firstLineChars="0"/>
        <w:jc w:val="left"/>
        <w:rPr>
          <w:rFonts w:hint="eastAsia"/>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3</w:t>
      </w:r>
      <w:r>
        <w:rPr>
          <w:rFonts w:hint="eastAsia" w:eastAsia="宋体"/>
          <w:color w:val="auto"/>
          <w:highlight w:val="none"/>
          <w:lang w:eastAsia="zh-CN"/>
        </w:rPr>
        <w:t>）</w:t>
      </w:r>
      <w:r>
        <w:rPr>
          <w:rFonts w:hint="eastAsia"/>
          <w:color w:val="auto"/>
          <w:highlight w:val="none"/>
        </w:rPr>
        <w:t>智能管控系统</w:t>
      </w:r>
    </w:p>
    <w:p w14:paraId="29DEFCBD">
      <w:pPr>
        <w:pStyle w:val="35"/>
        <w:shd w:val="clear" w:color="auto" w:fill="auto"/>
        <w:spacing w:line="360" w:lineRule="auto"/>
        <w:ind w:firstLineChars="0"/>
        <w:jc w:val="left"/>
        <w:rPr>
          <w:rFonts w:hint="eastAsia" w:eastAsia="宋体"/>
          <w:color w:val="auto"/>
          <w:highlight w:val="none"/>
          <w:lang w:eastAsia="zh-CN"/>
        </w:rPr>
      </w:pPr>
      <w:r>
        <w:rPr>
          <w:rFonts w:hint="eastAsia"/>
          <w:color w:val="auto"/>
          <w:highlight w:val="none"/>
        </w:rPr>
        <w:t>视频回溯软件：支持30天历史视频检索</w:t>
      </w:r>
      <w:r>
        <w:rPr>
          <w:rFonts w:hint="eastAsia"/>
          <w:color w:val="auto"/>
          <w:highlight w:val="none"/>
          <w:lang w:eastAsia="zh-CN"/>
        </w:rPr>
        <w:t>工作</w:t>
      </w:r>
      <w:r>
        <w:rPr>
          <w:rFonts w:hint="eastAsia"/>
          <w:color w:val="auto"/>
          <w:highlight w:val="none"/>
        </w:rPr>
        <w:t>，</w:t>
      </w:r>
      <w:r>
        <w:rPr>
          <w:rFonts w:hint="eastAsia"/>
          <w:color w:val="auto"/>
          <w:highlight w:val="none"/>
          <w:lang w:eastAsia="zh-CN"/>
        </w:rPr>
        <w:t>具备</w:t>
      </w:r>
      <w:r>
        <w:rPr>
          <w:rFonts w:hint="eastAsia"/>
          <w:color w:val="auto"/>
          <w:highlight w:val="none"/>
        </w:rPr>
        <w:t>智能行为分析（人数统计/异常行为检测）</w:t>
      </w:r>
      <w:r>
        <w:rPr>
          <w:rFonts w:hint="eastAsia"/>
          <w:color w:val="auto"/>
          <w:highlight w:val="none"/>
          <w:lang w:eastAsia="zh-CN"/>
        </w:rPr>
        <w:t>等实用功能，增强视频监控的有效性和安全性。</w:t>
      </w:r>
    </w:p>
    <w:p w14:paraId="4DAE14F3">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智能集控管理软件：采用先进的B/S架构设计，切实支持设备状态实时监控、故障预警以及远程控制等重要工作，提升设备管控的智能化水平。</w:t>
      </w:r>
    </w:p>
    <w:p w14:paraId="36955F5A">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智能管理软件：</w:t>
      </w:r>
      <w:r>
        <w:rPr>
          <w:rFonts w:hint="eastAsia"/>
          <w:color w:val="auto"/>
          <w:highlight w:val="none"/>
          <w:lang w:val="en-US" w:eastAsia="zh-CN"/>
        </w:rPr>
        <w:t>支持</w:t>
      </w:r>
      <w:r>
        <w:rPr>
          <w:rFonts w:hint="eastAsia"/>
          <w:color w:val="auto"/>
          <w:highlight w:val="none"/>
          <w:lang w:eastAsia="zh-CN"/>
        </w:rPr>
        <w:t>设备能耗分析、维护周期预测、实时监控、故障预警等</w:t>
      </w:r>
      <w:r>
        <w:rPr>
          <w:rFonts w:hint="eastAsia"/>
          <w:color w:val="auto"/>
          <w:highlight w:val="none"/>
          <w:lang w:val="en-US" w:eastAsia="zh-CN"/>
        </w:rPr>
        <w:t>功能</w:t>
      </w:r>
      <w:r>
        <w:rPr>
          <w:rFonts w:hint="eastAsia"/>
          <w:color w:val="auto"/>
          <w:highlight w:val="none"/>
          <w:lang w:eastAsia="zh-CN"/>
        </w:rPr>
        <w:t>，提供可视化运维报表，为设备管理提供精准决策依据。</w:t>
      </w:r>
    </w:p>
    <w:p w14:paraId="1A05D9F7">
      <w:pPr>
        <w:pStyle w:val="35"/>
        <w:shd w:val="clear" w:color="auto" w:fill="auto"/>
        <w:spacing w:line="360" w:lineRule="auto"/>
        <w:ind w:firstLineChars="0"/>
        <w:jc w:val="left"/>
        <w:rPr>
          <w:rFonts w:hint="eastAsia" w:eastAsia="宋体"/>
          <w:lang w:eastAsia="zh-CN"/>
        </w:rPr>
      </w:pPr>
      <w:r>
        <w:rPr>
          <w:rFonts w:hint="eastAsia" w:ascii="宋体" w:hAnsi="宋体" w:cs="宋体"/>
          <w:color w:val="auto"/>
          <w:kern w:val="0"/>
          <w:highlight w:val="none"/>
          <w:lang w:eastAsia="zh-CN" w:bidi="ar"/>
        </w:rPr>
        <w:t>广播</w:t>
      </w:r>
      <w:r>
        <w:rPr>
          <w:rFonts w:hint="eastAsia"/>
          <w:color w:val="auto"/>
          <w:highlight w:val="none"/>
          <w:lang w:eastAsia="zh-CN"/>
        </w:rPr>
        <w:t>系统服务管理软件：能够实现故障自动转移与资源动态调度，保障广播系统稳定运行。</w:t>
      </w:r>
    </w:p>
    <w:p w14:paraId="50CE519E">
      <w:pPr>
        <w:pStyle w:val="35"/>
        <w:shd w:val="clear" w:color="auto" w:fill="auto"/>
        <w:spacing w:line="360" w:lineRule="auto"/>
        <w:ind w:firstLineChars="0"/>
        <w:jc w:val="left"/>
        <w:rPr>
          <w:rFonts w:hint="eastAsia"/>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4</w:t>
      </w:r>
      <w:r>
        <w:rPr>
          <w:rFonts w:hint="eastAsia" w:eastAsia="宋体"/>
          <w:color w:val="auto"/>
          <w:highlight w:val="none"/>
          <w:lang w:eastAsia="zh-CN"/>
        </w:rPr>
        <w:t>）</w:t>
      </w:r>
      <w:r>
        <w:rPr>
          <w:rFonts w:hint="eastAsia"/>
          <w:color w:val="auto"/>
          <w:highlight w:val="none"/>
        </w:rPr>
        <w:t>安全保障子系统</w:t>
      </w:r>
    </w:p>
    <w:p w14:paraId="72006108">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安全虚拟化软件：精心构建隔离运行环境，具备</w:t>
      </w:r>
      <w:r>
        <w:rPr>
          <w:rFonts w:hint="eastAsia" w:ascii="宋体" w:hAnsi="宋体" w:eastAsia="宋体" w:cs="宋体"/>
          <w:i w:val="0"/>
          <w:iCs w:val="0"/>
          <w:color w:val="000000"/>
          <w:kern w:val="0"/>
          <w:sz w:val="20"/>
          <w:szCs w:val="20"/>
          <w:u w:val="none"/>
          <w:lang w:val="en-US" w:eastAsia="zh-CN" w:bidi="ar"/>
        </w:rPr>
        <w:t>病毒实时防护、勒索防护、漏洞发现和修复、虚拟补丁漏洞防护、七层网络检测与防御、应用识别、微隔离策略推荐等全面安全能力，筑牢安全防护屏障。</w:t>
      </w:r>
    </w:p>
    <w:p w14:paraId="69C3ABF6">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数据保护软件：</w:t>
      </w:r>
      <w:r>
        <w:rPr>
          <w:rFonts w:hint="eastAsia" w:ascii="宋体" w:hAnsi="宋体" w:eastAsia="宋体" w:cs="宋体"/>
          <w:i w:val="0"/>
          <w:iCs w:val="0"/>
          <w:color w:val="000000"/>
          <w:kern w:val="0"/>
          <w:sz w:val="20"/>
          <w:szCs w:val="20"/>
          <w:u w:val="none"/>
          <w:lang w:val="en-US" w:eastAsia="zh-CN" w:bidi="ar"/>
        </w:rPr>
        <w:t>对虚拟机进行持续数据保护，且CDP不会影响保护虚拟机的性能，确保数据安全可靠。</w:t>
      </w:r>
    </w:p>
    <w:p w14:paraId="438B126F">
      <w:pPr>
        <w:pStyle w:val="35"/>
        <w:shd w:val="clear" w:color="auto" w:fill="auto"/>
        <w:spacing w:line="360" w:lineRule="auto"/>
        <w:ind w:firstLineChars="0"/>
        <w:jc w:val="left"/>
        <w:rPr>
          <w:rFonts w:hint="eastAsia"/>
          <w:color w:val="auto"/>
          <w:highlight w:val="none"/>
        </w:rPr>
      </w:pPr>
      <w:r>
        <w:rPr>
          <w:rFonts w:hint="eastAsia" w:eastAsia="宋体"/>
          <w:color w:val="auto"/>
          <w:highlight w:val="none"/>
          <w:lang w:eastAsia="zh-CN"/>
        </w:rPr>
        <w:t>（</w:t>
      </w:r>
      <w:r>
        <w:rPr>
          <w:rFonts w:hint="eastAsia" w:eastAsia="宋体"/>
          <w:color w:val="auto"/>
          <w:highlight w:val="none"/>
          <w:lang w:val="en-US" w:eastAsia="zh-CN"/>
        </w:rPr>
        <w:t>5</w:t>
      </w:r>
      <w:r>
        <w:rPr>
          <w:rFonts w:hint="eastAsia" w:eastAsia="宋体"/>
          <w:color w:val="auto"/>
          <w:highlight w:val="none"/>
          <w:lang w:eastAsia="zh-CN"/>
        </w:rPr>
        <w:t>）</w:t>
      </w:r>
      <w:r>
        <w:rPr>
          <w:rFonts w:hint="eastAsia"/>
          <w:color w:val="auto"/>
          <w:highlight w:val="none"/>
        </w:rPr>
        <w:t>综合服务平台</w:t>
      </w:r>
    </w:p>
    <w:p w14:paraId="03378EE9">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智慧综合服务平台：积极构建统一门户，集成信息发布、设备管理、数据分析等功能模块，打造高效便捷的综合服务体系。</w:t>
      </w:r>
    </w:p>
    <w:p w14:paraId="0DF9F721">
      <w:pPr>
        <w:pStyle w:val="35"/>
        <w:shd w:val="clear" w:color="auto" w:fill="auto"/>
        <w:spacing w:line="360" w:lineRule="auto"/>
        <w:ind w:firstLineChars="0"/>
        <w:jc w:val="left"/>
        <w:rPr>
          <w:rFonts w:hint="eastAsia" w:eastAsia="宋体"/>
          <w:lang w:eastAsia="zh-CN"/>
        </w:rPr>
      </w:pPr>
      <w:r>
        <w:rPr>
          <w:rFonts w:hint="eastAsia"/>
          <w:color w:val="auto"/>
          <w:highlight w:val="none"/>
          <w:lang w:eastAsia="zh-CN"/>
        </w:rPr>
        <w:t>多学科协作软件：提供文档协同编辑、视频会议、任务管理等实用工具，有力支持跨终端实时同步，促进多学科协作的高效开展。</w:t>
      </w:r>
    </w:p>
    <w:p w14:paraId="5E44F98A">
      <w:pPr>
        <w:pStyle w:val="35"/>
        <w:shd w:val="clear" w:color="auto" w:fill="auto"/>
        <w:spacing w:line="360" w:lineRule="auto"/>
        <w:ind w:firstLineChars="0"/>
        <w:jc w:val="left"/>
        <w:rPr>
          <w:rFonts w:hint="eastAsia"/>
          <w:color w:val="auto"/>
          <w:highlight w:val="none"/>
          <w:lang w:eastAsia="zh-CN"/>
        </w:rPr>
      </w:pPr>
      <w:r>
        <w:rPr>
          <w:rFonts w:hint="eastAsia"/>
          <w:color w:val="auto"/>
          <w:highlight w:val="none"/>
          <w:lang w:eastAsia="zh-CN"/>
        </w:rPr>
        <w:t xml:space="preserve">多媒体云节点软件：实现分布式媒体资源管理，大力支持异地内容快速分发与共享，提升多媒体资源的利用效率。 </w:t>
      </w:r>
    </w:p>
    <w:p w14:paraId="769C2404">
      <w:pPr>
        <w:pStyle w:val="35"/>
        <w:shd w:val="clear" w:color="auto" w:fill="auto"/>
        <w:spacing w:line="360" w:lineRule="auto"/>
        <w:ind w:firstLineChars="0"/>
        <w:jc w:val="left"/>
        <w:rPr>
          <w:rFonts w:hint="eastAsia"/>
          <w:color w:val="auto"/>
          <w:highlight w:val="none"/>
          <w:lang w:eastAsia="zh-CN"/>
        </w:rPr>
      </w:pPr>
      <w:r>
        <w:rPr>
          <w:rFonts w:hint="eastAsia"/>
          <w:color w:val="auto"/>
          <w:highlight w:val="none"/>
          <w:lang w:eastAsia="zh-CN"/>
        </w:rPr>
        <w:t>（</w:t>
      </w:r>
      <w:r>
        <w:rPr>
          <w:rFonts w:hint="eastAsia"/>
          <w:color w:val="auto"/>
          <w:highlight w:val="none"/>
          <w:lang w:val="en-US" w:eastAsia="zh-CN"/>
        </w:rPr>
        <w:t>6</w:t>
      </w:r>
      <w:r>
        <w:rPr>
          <w:rFonts w:hint="eastAsia"/>
          <w:color w:val="auto"/>
          <w:highlight w:val="none"/>
          <w:lang w:eastAsia="zh-CN"/>
        </w:rPr>
        <w:t>）融媒体平台</w:t>
      </w:r>
    </w:p>
    <w:p w14:paraId="4AD3B3D6">
      <w:pPr>
        <w:pStyle w:val="35"/>
        <w:shd w:val="clear" w:color="auto" w:fill="auto"/>
        <w:spacing w:line="360" w:lineRule="auto"/>
        <w:ind w:firstLineChars="0"/>
        <w:jc w:val="left"/>
        <w:rPr>
          <w:rFonts w:hint="eastAsia"/>
          <w:color w:val="auto"/>
          <w:highlight w:val="none"/>
          <w:lang w:eastAsia="zh-CN"/>
        </w:rPr>
      </w:pPr>
      <w:r>
        <w:rPr>
          <w:rFonts w:hint="eastAsia"/>
          <w:color w:val="auto"/>
          <w:highlight w:val="none"/>
          <w:lang w:val="en-US" w:eastAsia="zh-CN"/>
        </w:rPr>
        <w:t>媒体管理模块：</w:t>
      </w:r>
      <w:r>
        <w:rPr>
          <w:rFonts w:hint="eastAsia"/>
          <w:color w:val="auto"/>
          <w:highlight w:val="none"/>
          <w:lang w:eastAsia="zh-CN"/>
        </w:rPr>
        <w:t>提供便捷的内容上传、编辑和审核功能，支持视频、音频、图片、文档等多种媒体格式，以便于医院工作人员将各类医疗知识、直播预告等内容及时发布到平台上。</w:t>
      </w:r>
    </w:p>
    <w:p w14:paraId="46868623">
      <w:pPr>
        <w:pStyle w:val="35"/>
        <w:shd w:val="clear" w:color="auto" w:fill="auto"/>
        <w:spacing w:line="360" w:lineRule="auto"/>
        <w:ind w:firstLineChars="0"/>
        <w:jc w:val="left"/>
        <w:rPr>
          <w:rFonts w:hint="eastAsia"/>
          <w:color w:val="auto"/>
          <w:highlight w:val="none"/>
          <w:lang w:eastAsia="zh-CN"/>
        </w:rPr>
      </w:pPr>
      <w:r>
        <w:rPr>
          <w:rFonts w:hint="eastAsia"/>
          <w:color w:val="auto"/>
          <w:highlight w:val="none"/>
          <w:lang w:val="en-US" w:eastAsia="zh-CN"/>
        </w:rPr>
        <w:t>媒体监管模块：支持</w:t>
      </w:r>
      <w:r>
        <w:rPr>
          <w:rFonts w:hint="eastAsia"/>
          <w:color w:val="auto"/>
          <w:highlight w:val="none"/>
          <w:lang w:eastAsia="zh-CN"/>
        </w:rPr>
        <w:t>内容分类和检索功能，可根据不同的医疗科室、疾病类型等对内容进行分类整理，方便观众快速查找所需信息。</w:t>
      </w:r>
    </w:p>
    <w:p w14:paraId="342EDA43">
      <w:pPr>
        <w:pStyle w:val="35"/>
        <w:shd w:val="clear" w:color="auto" w:fill="auto"/>
        <w:spacing w:line="360" w:lineRule="auto"/>
        <w:ind w:firstLineChars="0"/>
        <w:jc w:val="left"/>
        <w:rPr>
          <w:rFonts w:hint="eastAsia"/>
          <w:color w:val="auto"/>
          <w:highlight w:val="none"/>
          <w:lang w:eastAsia="zh-CN"/>
        </w:rPr>
      </w:pPr>
      <w:r>
        <w:rPr>
          <w:rFonts w:hint="eastAsia"/>
          <w:color w:val="auto"/>
          <w:highlight w:val="none"/>
          <w:lang w:eastAsia="zh-CN"/>
        </w:rPr>
        <w:t>直播</w:t>
      </w:r>
      <w:r>
        <w:rPr>
          <w:rFonts w:hint="eastAsia"/>
          <w:color w:val="auto"/>
          <w:highlight w:val="none"/>
          <w:lang w:val="en-US" w:eastAsia="zh-CN"/>
        </w:rPr>
        <w:t>点播模块：</w:t>
      </w:r>
      <w:r>
        <w:rPr>
          <w:rFonts w:hint="eastAsia"/>
          <w:color w:val="auto"/>
          <w:highlight w:val="none"/>
          <w:lang w:eastAsia="zh-CN"/>
        </w:rPr>
        <w:t>支持多平台直播推流，能够同时将直播信号推送到微信公众号、微博、抖音等多个主流社交媒体平台，有效扩大直播的覆盖范围，吸引更多观众参与。</w:t>
      </w:r>
    </w:p>
    <w:p w14:paraId="64FE281F">
      <w:pPr>
        <w:pStyle w:val="35"/>
        <w:shd w:val="clear" w:color="auto" w:fill="auto"/>
        <w:spacing w:line="360" w:lineRule="auto"/>
        <w:ind w:firstLineChars="0"/>
        <w:jc w:val="left"/>
        <w:rPr>
          <w:rFonts w:hint="eastAsia"/>
          <w:color w:val="auto"/>
          <w:highlight w:val="none"/>
          <w:lang w:eastAsia="zh-CN"/>
        </w:rPr>
      </w:pPr>
      <w:r>
        <w:rPr>
          <w:rFonts w:hint="eastAsia"/>
          <w:color w:val="auto"/>
          <w:highlight w:val="none"/>
          <w:lang w:val="en-US" w:eastAsia="zh-CN"/>
        </w:rPr>
        <w:t>报表管理模块：</w:t>
      </w:r>
      <w:r>
        <w:rPr>
          <w:rFonts w:hint="eastAsia"/>
          <w:color w:val="auto"/>
          <w:highlight w:val="none"/>
          <w:lang w:eastAsia="zh-CN"/>
        </w:rPr>
        <w:t>提供数据可视化展示功能，以图表、报表等形式直观呈现分析结果，便于医院管理人员快速掌握关键数据信息，做出科学合理的决策。</w:t>
      </w:r>
    </w:p>
    <w:p w14:paraId="43E13671">
      <w:pPr>
        <w:pStyle w:val="3"/>
        <w:numPr>
          <w:ilvl w:val="0"/>
          <w:numId w:val="0"/>
        </w:numPr>
        <w:spacing w:before="156" w:beforeLines="50" w:after="156" w:line="360" w:lineRule="auto"/>
        <w:ind w:firstLine="420"/>
        <w:jc w:val="left"/>
        <w:rPr>
          <w:rFonts w:hint="default" w:ascii="宋体" w:hAnsi="宋体" w:eastAsia="宋体" w:cs="宋体"/>
          <w:b/>
          <w:bCs/>
          <w:color w:val="auto"/>
          <w:sz w:val="32"/>
          <w:szCs w:val="32"/>
          <w:highlight w:val="none"/>
          <w:lang w:val="en-US" w:eastAsia="zh-CN"/>
        </w:rPr>
      </w:pPr>
      <w:r>
        <w:rPr>
          <w:rFonts w:hint="eastAsia" w:ascii="宋体" w:hAnsi="宋体" w:eastAsia="宋体" w:cs="宋体"/>
          <w:color w:val="auto"/>
          <w:sz w:val="32"/>
          <w:szCs w:val="32"/>
          <w:highlight w:val="none"/>
          <w:lang w:val="en-US" w:eastAsia="zh-CN"/>
        </w:rPr>
        <w:t>2.2安全与合规性</w:t>
      </w:r>
      <w:r>
        <w:rPr>
          <w:rFonts w:hint="eastAsia" w:ascii="宋体" w:hAnsi="宋体" w:cs="宋体"/>
          <w:color w:val="auto"/>
          <w:sz w:val="32"/>
          <w:szCs w:val="32"/>
          <w:highlight w:val="none"/>
          <w:lang w:val="en-US" w:eastAsia="zh-CN"/>
        </w:rPr>
        <w:t>要求</w:t>
      </w:r>
    </w:p>
    <w:p w14:paraId="3F7FDC1B">
      <w:pPr>
        <w:pStyle w:val="35"/>
        <w:spacing w:line="360" w:lineRule="auto"/>
        <w:jc w:val="left"/>
        <w:rPr>
          <w:rFonts w:hint="eastAsia" w:ascii="Arial" w:hAnsi="Arial" w:eastAsia="宋体" w:cs="Times New Roman"/>
          <w:color w:val="auto"/>
          <w:sz w:val="21"/>
          <w:szCs w:val="22"/>
          <w:highlight w:val="none"/>
          <w:lang w:eastAsia="zh-CN"/>
        </w:rPr>
      </w:pPr>
      <w:r>
        <w:rPr>
          <w:rFonts w:hint="eastAsia" w:eastAsia="宋体" w:cs="Times New Roman"/>
          <w:color w:val="auto"/>
          <w:sz w:val="21"/>
          <w:szCs w:val="22"/>
          <w:highlight w:val="none"/>
          <w:lang w:val="en-US" w:eastAsia="zh-CN"/>
        </w:rPr>
        <w:t>（1）</w:t>
      </w:r>
      <w:r>
        <w:rPr>
          <w:rFonts w:hint="eastAsia" w:ascii="Arial" w:hAnsi="Arial" w:eastAsia="宋体" w:cs="Times New Roman"/>
          <w:color w:val="auto"/>
          <w:sz w:val="21"/>
          <w:szCs w:val="22"/>
          <w:highlight w:val="none"/>
          <w:lang w:eastAsia="zh-CN"/>
        </w:rPr>
        <w:t>网络安全等级保护</w:t>
      </w:r>
    </w:p>
    <w:p w14:paraId="72F404B3">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eastAsia="宋体" w:cs="Times New Roman"/>
          <w:color w:val="auto"/>
          <w:sz w:val="21"/>
          <w:szCs w:val="22"/>
          <w:highlight w:val="none"/>
          <w:lang w:val="en-US" w:eastAsia="zh-CN"/>
        </w:rPr>
        <w:t>软件</w:t>
      </w:r>
      <w:r>
        <w:rPr>
          <w:rFonts w:hint="eastAsia" w:ascii="Arial" w:hAnsi="Arial" w:eastAsia="宋体" w:cs="Times New Roman"/>
          <w:color w:val="auto"/>
          <w:sz w:val="21"/>
          <w:szCs w:val="22"/>
          <w:highlight w:val="none"/>
          <w:lang w:eastAsia="zh-CN"/>
        </w:rPr>
        <w:t>应按照国家《网络安全等级保护基本要求》（GB/T 22239-2019）第三级标准进行设计、建设与运维，并通过等保三级测评。</w:t>
      </w:r>
    </w:p>
    <w:p w14:paraId="5E50CE8A">
      <w:pPr>
        <w:pStyle w:val="35"/>
        <w:spacing w:line="360" w:lineRule="auto"/>
        <w:jc w:val="left"/>
        <w:rPr>
          <w:rFonts w:hint="eastAsia" w:ascii="Arial" w:hAnsi="Arial" w:eastAsia="宋体" w:cs="Times New Roman"/>
          <w:color w:val="auto"/>
          <w:sz w:val="21"/>
          <w:szCs w:val="22"/>
          <w:highlight w:val="none"/>
          <w:lang w:eastAsia="zh-CN"/>
        </w:rPr>
      </w:pPr>
      <w:r>
        <w:rPr>
          <w:rFonts w:hint="eastAsia" w:eastAsia="宋体" w:cs="Times New Roman"/>
          <w:color w:val="auto"/>
          <w:sz w:val="21"/>
          <w:szCs w:val="22"/>
          <w:highlight w:val="none"/>
          <w:lang w:eastAsia="zh-CN"/>
        </w:rPr>
        <w:t>（</w:t>
      </w:r>
      <w:r>
        <w:rPr>
          <w:rFonts w:hint="eastAsia" w:eastAsia="宋体" w:cs="Times New Roman"/>
          <w:color w:val="auto"/>
          <w:sz w:val="21"/>
          <w:szCs w:val="22"/>
          <w:highlight w:val="none"/>
          <w:lang w:val="en-US" w:eastAsia="zh-CN"/>
        </w:rPr>
        <w:t>2</w:t>
      </w:r>
      <w:r>
        <w:rPr>
          <w:rFonts w:hint="eastAsia" w:eastAsia="宋体" w:cs="Times New Roman"/>
          <w:color w:val="auto"/>
          <w:sz w:val="21"/>
          <w:szCs w:val="22"/>
          <w:highlight w:val="none"/>
          <w:lang w:eastAsia="zh-CN"/>
        </w:rPr>
        <w:t>）</w:t>
      </w:r>
      <w:r>
        <w:rPr>
          <w:rFonts w:hint="eastAsia" w:ascii="Arial" w:hAnsi="Arial" w:eastAsia="宋体" w:cs="Times New Roman"/>
          <w:color w:val="auto"/>
          <w:sz w:val="21"/>
          <w:szCs w:val="22"/>
          <w:highlight w:val="none"/>
          <w:lang w:eastAsia="zh-CN"/>
        </w:rPr>
        <w:t>数据安全与隐私保护</w:t>
      </w:r>
    </w:p>
    <w:p w14:paraId="7BB40BB9">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eastAsia="宋体" w:cs="Times New Roman"/>
          <w:color w:val="auto"/>
          <w:sz w:val="21"/>
          <w:szCs w:val="22"/>
          <w:highlight w:val="none"/>
          <w:lang w:val="en-US" w:eastAsia="zh-CN"/>
        </w:rPr>
        <w:t>软件</w:t>
      </w:r>
      <w:r>
        <w:rPr>
          <w:rFonts w:hint="eastAsia" w:ascii="Arial" w:hAnsi="Arial" w:eastAsia="宋体" w:cs="Times New Roman"/>
          <w:color w:val="auto"/>
          <w:sz w:val="21"/>
          <w:szCs w:val="22"/>
          <w:highlight w:val="none"/>
          <w:lang w:eastAsia="zh-CN"/>
        </w:rPr>
        <w:t>统应具备数据分类分级、访问控制、加密传输与存储、操作审计、日志留存等功能，符合《个人信息保护法》《医疗卫生机构数据安全管理规范》等相关法规要求。</w:t>
      </w:r>
    </w:p>
    <w:p w14:paraId="392188A8">
      <w:pPr>
        <w:pStyle w:val="35"/>
        <w:spacing w:line="360" w:lineRule="auto"/>
        <w:jc w:val="left"/>
        <w:rPr>
          <w:rFonts w:hint="default" w:ascii="Arial" w:hAnsi="Arial" w:eastAsia="宋体" w:cs="Times New Roman"/>
          <w:color w:val="auto"/>
          <w:sz w:val="21"/>
          <w:szCs w:val="22"/>
          <w:highlight w:val="none"/>
          <w:lang w:val="en-US" w:eastAsia="zh-CN"/>
        </w:rPr>
      </w:pPr>
      <w:r>
        <w:rPr>
          <w:rFonts w:hint="eastAsia" w:eastAsia="宋体" w:cs="Times New Roman"/>
          <w:color w:val="auto"/>
          <w:sz w:val="21"/>
          <w:szCs w:val="22"/>
          <w:highlight w:val="none"/>
          <w:lang w:eastAsia="zh-CN"/>
        </w:rPr>
        <w:t>（</w:t>
      </w:r>
      <w:r>
        <w:rPr>
          <w:rFonts w:hint="eastAsia" w:eastAsia="宋体" w:cs="Times New Roman"/>
          <w:color w:val="auto"/>
          <w:sz w:val="21"/>
          <w:szCs w:val="22"/>
          <w:highlight w:val="none"/>
          <w:lang w:val="en-US" w:eastAsia="zh-CN"/>
        </w:rPr>
        <w:t>3</w:t>
      </w:r>
      <w:r>
        <w:rPr>
          <w:rFonts w:hint="eastAsia" w:eastAsia="宋体" w:cs="Times New Roman"/>
          <w:color w:val="auto"/>
          <w:sz w:val="21"/>
          <w:szCs w:val="22"/>
          <w:highlight w:val="none"/>
          <w:lang w:eastAsia="zh-CN"/>
        </w:rPr>
        <w:t>）</w:t>
      </w:r>
      <w:r>
        <w:rPr>
          <w:rFonts w:hint="eastAsia" w:eastAsia="宋体" w:cs="Times New Roman"/>
          <w:color w:val="auto"/>
          <w:sz w:val="21"/>
          <w:szCs w:val="22"/>
          <w:highlight w:val="none"/>
          <w:lang w:val="en-US" w:eastAsia="zh-CN"/>
        </w:rPr>
        <w:t>密码安全与口令管理</w:t>
      </w:r>
    </w:p>
    <w:p w14:paraId="30C2E642">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ascii="Arial" w:hAnsi="Arial" w:eastAsia="宋体" w:cs="Times New Roman"/>
          <w:color w:val="auto"/>
          <w:sz w:val="21"/>
          <w:szCs w:val="22"/>
          <w:highlight w:val="none"/>
          <w:lang w:eastAsia="zh-CN"/>
        </w:rPr>
        <w:t>在项目上线前需按医院要求实现强口令管理，并满足一下要求：</w:t>
      </w:r>
    </w:p>
    <w:p w14:paraId="2FCB1DE2">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ascii="Arial" w:hAnsi="Arial" w:eastAsia="宋体" w:cs="Times New Roman"/>
          <w:color w:val="auto"/>
          <w:sz w:val="21"/>
          <w:szCs w:val="22"/>
          <w:highlight w:val="none"/>
          <w:lang w:eastAsia="zh-CN"/>
        </w:rPr>
        <w:t>1)</w:t>
      </w:r>
      <w:r>
        <w:rPr>
          <w:rFonts w:hint="eastAsia" w:eastAsia="宋体" w:cs="Times New Roman"/>
          <w:color w:val="auto"/>
          <w:sz w:val="21"/>
          <w:szCs w:val="22"/>
          <w:highlight w:val="none"/>
          <w:lang w:val="en-US" w:eastAsia="zh-CN"/>
        </w:rPr>
        <w:t>软件</w:t>
      </w:r>
      <w:r>
        <w:rPr>
          <w:rFonts w:hint="eastAsia" w:ascii="Arial" w:hAnsi="Arial" w:eastAsia="宋体" w:cs="Times New Roman"/>
          <w:color w:val="auto"/>
          <w:sz w:val="21"/>
          <w:szCs w:val="22"/>
          <w:highlight w:val="none"/>
          <w:lang w:eastAsia="zh-CN"/>
        </w:rPr>
        <w:t>口令采用加密传输、存储，不得在任何地方出现明文。</w:t>
      </w:r>
    </w:p>
    <w:p w14:paraId="3C40B841">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ascii="Arial" w:hAnsi="Arial" w:eastAsia="宋体" w:cs="Times New Roman"/>
          <w:color w:val="auto"/>
          <w:sz w:val="21"/>
          <w:szCs w:val="22"/>
          <w:highlight w:val="none"/>
          <w:lang w:eastAsia="zh-CN"/>
        </w:rPr>
        <w:t>2)需提供口令配置功能，满足医院强口令规则要求：包含大写字母、小写字母、数字、特殊字符（不得使用转义符）四类字符，字符长度不低于8位。</w:t>
      </w:r>
    </w:p>
    <w:p w14:paraId="61CAE228">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ascii="Arial" w:hAnsi="Arial" w:eastAsia="宋体" w:cs="Times New Roman"/>
          <w:color w:val="auto"/>
          <w:sz w:val="21"/>
          <w:szCs w:val="22"/>
          <w:highlight w:val="none"/>
          <w:lang w:eastAsia="zh-CN"/>
        </w:rPr>
        <w:t>3)根据医院对密码的管理要求做出口令规则更新。</w:t>
      </w:r>
    </w:p>
    <w:p w14:paraId="7DAF5D28">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ascii="Arial" w:hAnsi="Arial" w:eastAsia="宋体" w:cs="Times New Roman"/>
          <w:color w:val="auto"/>
          <w:sz w:val="21"/>
          <w:szCs w:val="22"/>
          <w:highlight w:val="none"/>
          <w:lang w:eastAsia="zh-CN"/>
        </w:rPr>
        <w:t>需符合《商用密码管理条例》相关要求。如密评等工作中发现有关问题，需免费配合医院完成相应的密改工作，响应文件中须提供承诺函。</w:t>
      </w:r>
    </w:p>
    <w:p w14:paraId="0927DB15">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eastAsia="宋体" w:cs="Times New Roman"/>
          <w:color w:val="auto"/>
          <w:sz w:val="21"/>
          <w:szCs w:val="22"/>
          <w:highlight w:val="none"/>
          <w:lang w:eastAsia="zh-CN"/>
        </w:rPr>
        <w:t>（</w:t>
      </w:r>
      <w:r>
        <w:rPr>
          <w:rFonts w:hint="eastAsia" w:eastAsia="宋体" w:cs="Times New Roman"/>
          <w:color w:val="auto"/>
          <w:sz w:val="21"/>
          <w:szCs w:val="22"/>
          <w:highlight w:val="none"/>
          <w:lang w:val="en-US" w:eastAsia="zh-CN"/>
        </w:rPr>
        <w:t>4</w:t>
      </w:r>
      <w:r>
        <w:rPr>
          <w:rFonts w:hint="eastAsia" w:eastAsia="宋体" w:cs="Times New Roman"/>
          <w:color w:val="auto"/>
          <w:sz w:val="21"/>
          <w:szCs w:val="22"/>
          <w:highlight w:val="none"/>
          <w:lang w:eastAsia="zh-CN"/>
        </w:rPr>
        <w:t>）</w:t>
      </w:r>
      <w:r>
        <w:rPr>
          <w:rFonts w:hint="eastAsia" w:ascii="Arial" w:hAnsi="Arial" w:eastAsia="宋体" w:cs="Times New Roman"/>
          <w:color w:val="auto"/>
          <w:sz w:val="21"/>
          <w:szCs w:val="22"/>
          <w:highlight w:val="none"/>
          <w:lang w:eastAsia="zh-CN"/>
        </w:rPr>
        <w:t>版权及使用权</w:t>
      </w:r>
    </w:p>
    <w:p w14:paraId="60D827F5">
      <w:pPr>
        <w:pStyle w:val="35"/>
        <w:spacing w:line="360" w:lineRule="auto"/>
        <w:rPr>
          <w:rFonts w:hint="eastAsia" w:ascii="Arial" w:hAnsi="Arial" w:eastAsia="宋体" w:cs="Times New Roman"/>
          <w:color w:val="auto"/>
          <w:sz w:val="21"/>
          <w:szCs w:val="22"/>
          <w:highlight w:val="none"/>
          <w:lang w:eastAsia="zh-CN"/>
        </w:rPr>
      </w:pPr>
      <w:r>
        <w:rPr>
          <w:rFonts w:hint="eastAsia" w:ascii="Arial" w:hAnsi="Arial" w:eastAsia="宋体" w:cs="Times New Roman"/>
          <w:color w:val="auto"/>
          <w:sz w:val="21"/>
          <w:szCs w:val="22"/>
          <w:highlight w:val="none"/>
          <w:lang w:eastAsia="zh-CN"/>
        </w:rPr>
        <w:t>提供的所有软件必须为正版软件且不得有任何版权争议，若中标人提供盗版软件或投标产品存在版权争议，需承担相应法律责任并对采购人损失进行赔偿。</w:t>
      </w:r>
    </w:p>
    <w:p w14:paraId="7D48A5C7">
      <w:pPr>
        <w:pStyle w:val="35"/>
        <w:shd w:val="clear" w:color="auto" w:fill="auto"/>
        <w:spacing w:line="360" w:lineRule="auto"/>
        <w:ind w:firstLineChars="200"/>
        <w:jc w:val="left"/>
        <w:rPr>
          <w:rFonts w:hint="eastAsia" w:ascii="Arial" w:hAnsi="Arial" w:eastAsia="宋体" w:cs="Times New Roman"/>
          <w:color w:val="auto"/>
          <w:sz w:val="21"/>
          <w:szCs w:val="22"/>
          <w:highlight w:val="none"/>
          <w:lang w:eastAsia="zh-CN"/>
        </w:rPr>
      </w:pPr>
      <w:r>
        <w:rPr>
          <w:rFonts w:hint="eastAsia" w:ascii="Arial" w:hAnsi="Arial" w:eastAsia="宋体" w:cs="Times New Roman"/>
          <w:color w:val="auto"/>
          <w:sz w:val="21"/>
          <w:szCs w:val="22"/>
          <w:highlight w:val="none"/>
          <w:lang w:eastAsia="zh-CN"/>
        </w:rPr>
        <w:t>系统全部正式运行后，中标人对系统不得设置任何使用限制，包括但不限于使用期限、阶段性授权码等任何方式方法侵害医院对该项目内容的使用权。</w:t>
      </w:r>
    </w:p>
    <w:p w14:paraId="3AB942FA">
      <w:pPr>
        <w:pStyle w:val="35"/>
        <w:shd w:val="clear" w:color="auto" w:fill="auto"/>
        <w:spacing w:line="360" w:lineRule="auto"/>
        <w:ind w:firstLineChars="200"/>
        <w:jc w:val="left"/>
        <w:rPr>
          <w:rFonts w:hint="default" w:cs="Times New Roman"/>
          <w:color w:val="auto"/>
          <w:highlight w:val="none"/>
          <w:lang w:val="en-US" w:eastAsia="zh-CN"/>
        </w:rPr>
      </w:pPr>
      <w:r>
        <w:rPr>
          <w:rFonts w:hint="eastAsia" w:eastAsia="宋体" w:cs="Times New Roman"/>
          <w:color w:val="auto"/>
          <w:sz w:val="21"/>
          <w:szCs w:val="22"/>
          <w:highlight w:val="none"/>
          <w:lang w:eastAsia="zh-CN"/>
        </w:rPr>
        <w:t>（</w:t>
      </w:r>
      <w:r>
        <w:rPr>
          <w:rFonts w:hint="eastAsia" w:eastAsia="宋体" w:cs="Times New Roman"/>
          <w:color w:val="auto"/>
          <w:sz w:val="21"/>
          <w:szCs w:val="22"/>
          <w:highlight w:val="none"/>
          <w:lang w:val="en-US" w:eastAsia="zh-CN"/>
        </w:rPr>
        <w:t>5</w:t>
      </w:r>
      <w:r>
        <w:rPr>
          <w:rFonts w:hint="eastAsia" w:eastAsia="宋体" w:cs="Times New Roman"/>
          <w:color w:val="auto"/>
          <w:sz w:val="21"/>
          <w:szCs w:val="22"/>
          <w:highlight w:val="none"/>
          <w:lang w:eastAsia="zh-CN"/>
        </w:rPr>
        <w:t>）</w:t>
      </w:r>
      <w:r>
        <w:rPr>
          <w:rFonts w:hint="eastAsia" w:eastAsia="宋体" w:cs="Times New Roman"/>
          <w:color w:val="auto"/>
          <w:sz w:val="21"/>
          <w:szCs w:val="22"/>
          <w:highlight w:val="none"/>
          <w:lang w:val="en-US" w:eastAsia="zh-CN"/>
        </w:rPr>
        <w:t>硬件及</w:t>
      </w:r>
      <w:r>
        <w:rPr>
          <w:rFonts w:hint="eastAsia" w:cs="Times New Roman"/>
          <w:color w:val="auto"/>
          <w:highlight w:val="none"/>
          <w:lang w:val="en-US" w:eastAsia="zh-CN"/>
        </w:rPr>
        <w:t>国产化兼容性</w:t>
      </w:r>
    </w:p>
    <w:p w14:paraId="40099946">
      <w:pPr>
        <w:pStyle w:val="35"/>
        <w:shd w:val="clear" w:color="auto" w:fill="auto"/>
        <w:spacing w:line="360" w:lineRule="auto"/>
        <w:ind w:firstLineChars="200"/>
        <w:jc w:val="left"/>
        <w:rPr>
          <w:rFonts w:hint="default" w:cs="Times New Roman"/>
          <w:color w:val="auto"/>
          <w:highlight w:val="none"/>
          <w:lang w:val="en-US" w:eastAsia="zh-CN"/>
        </w:rPr>
      </w:pPr>
      <w:r>
        <w:rPr>
          <w:rFonts w:hint="eastAsia" w:cs="Times New Roman"/>
          <w:color w:val="auto"/>
          <w:highlight w:val="none"/>
          <w:lang w:val="en-US" w:eastAsia="zh-CN"/>
        </w:rPr>
        <w:t>提供的所有软件必须适配医院学术综合会议室及教培室现有硬件设备使用。关键软件（如操作系统、数据库、中间件等）应优先支持国产化环境，具备与主流国产芯片、操作系统的兼容性认证。</w:t>
      </w:r>
    </w:p>
    <w:p w14:paraId="639DB65A">
      <w:pPr>
        <w:pStyle w:val="3"/>
        <w:numPr>
          <w:ilvl w:val="0"/>
          <w:numId w:val="0"/>
        </w:numPr>
        <w:shd w:val="clear" w:color="auto" w:fill="auto"/>
        <w:spacing w:before="156" w:beforeLines="50" w:after="156" w:line="360" w:lineRule="auto"/>
        <w:ind w:firstLine="420"/>
        <w:jc w:val="left"/>
        <w:rPr>
          <w:rFonts w:hint="eastAsia" w:ascii="宋体" w:hAnsi="宋体" w:cs="宋体"/>
          <w:color w:val="auto"/>
          <w:sz w:val="32"/>
          <w:szCs w:val="32"/>
          <w:highlight w:val="none"/>
        </w:rPr>
      </w:pPr>
      <w:r>
        <w:rPr>
          <w:rFonts w:hint="eastAsia" w:ascii="宋体" w:hAnsi="宋体" w:cs="宋体"/>
          <w:color w:val="auto"/>
          <w:sz w:val="32"/>
          <w:szCs w:val="32"/>
          <w:highlight w:val="none"/>
        </w:rPr>
        <w:t>2.</w:t>
      </w:r>
      <w:r>
        <w:rPr>
          <w:rFonts w:hint="eastAsia" w:ascii="宋体" w:hAnsi="宋体" w:cs="宋体"/>
          <w:color w:val="auto"/>
          <w:sz w:val="32"/>
          <w:szCs w:val="32"/>
          <w:highlight w:val="none"/>
          <w:lang w:val="en-US" w:eastAsia="zh-CN"/>
        </w:rPr>
        <w:t>3</w:t>
      </w:r>
      <w:r>
        <w:rPr>
          <w:rFonts w:hint="eastAsia" w:ascii="宋体" w:hAnsi="宋体" w:cs="宋体"/>
          <w:color w:val="auto"/>
          <w:sz w:val="32"/>
          <w:szCs w:val="32"/>
          <w:highlight w:val="none"/>
        </w:rPr>
        <w:t>需求清单如下</w:t>
      </w:r>
    </w:p>
    <w:tbl>
      <w:tblPr>
        <w:tblStyle w:val="15"/>
        <w:tblW w:w="92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00"/>
        <w:gridCol w:w="1968"/>
        <w:gridCol w:w="771"/>
        <w:gridCol w:w="681"/>
        <w:gridCol w:w="5160"/>
      </w:tblGrid>
      <w:tr w14:paraId="2DBE2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top"/>
          </w:tcPr>
          <w:p w14:paraId="49AFB257">
            <w:pPr>
              <w:keepNext w:val="0"/>
              <w:keepLines w:val="0"/>
              <w:widowControl/>
              <w:suppressLineNumbers w:val="0"/>
              <w:jc w:val="center"/>
              <w:textAlignment w:val="top"/>
              <w:rPr>
                <w:rFonts w:hint="default"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序号</w:t>
            </w:r>
          </w:p>
        </w:tc>
        <w:tc>
          <w:tcPr>
            <w:tcW w:w="1968" w:type="dxa"/>
            <w:tcBorders>
              <w:top w:val="single" w:color="000000" w:sz="4" w:space="0"/>
              <w:left w:val="single" w:color="000000" w:sz="4" w:space="0"/>
              <w:bottom w:val="single" w:color="000000" w:sz="4" w:space="0"/>
              <w:right w:val="single" w:color="000000" w:sz="4" w:space="0"/>
            </w:tcBorders>
            <w:noWrap w:val="0"/>
            <w:vAlign w:val="top"/>
          </w:tcPr>
          <w:p w14:paraId="5DA19A07">
            <w:pPr>
              <w:keepNext w:val="0"/>
              <w:keepLines w:val="0"/>
              <w:widowControl/>
              <w:suppressLineNumbers w:val="0"/>
              <w:jc w:val="center"/>
              <w:textAlignment w:val="top"/>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名称</w:t>
            </w:r>
          </w:p>
        </w:tc>
        <w:tc>
          <w:tcPr>
            <w:tcW w:w="771" w:type="dxa"/>
            <w:tcBorders>
              <w:top w:val="single" w:color="000000" w:sz="4" w:space="0"/>
              <w:left w:val="single" w:color="000000" w:sz="4" w:space="0"/>
              <w:bottom w:val="single" w:color="000000" w:sz="4" w:space="0"/>
              <w:right w:val="single" w:color="000000" w:sz="4" w:space="0"/>
            </w:tcBorders>
            <w:noWrap w:val="0"/>
            <w:vAlign w:val="top"/>
          </w:tcPr>
          <w:p w14:paraId="344A4F58">
            <w:pPr>
              <w:keepNext w:val="0"/>
              <w:keepLines w:val="0"/>
              <w:widowControl/>
              <w:suppressLineNumbers w:val="0"/>
              <w:jc w:val="center"/>
              <w:textAlignment w:val="top"/>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681" w:type="dxa"/>
            <w:tcBorders>
              <w:top w:val="single" w:color="000000" w:sz="4" w:space="0"/>
              <w:left w:val="single" w:color="000000" w:sz="4" w:space="0"/>
              <w:bottom w:val="single" w:color="000000" w:sz="4" w:space="0"/>
              <w:right w:val="single" w:color="000000" w:sz="4" w:space="0"/>
            </w:tcBorders>
            <w:noWrap w:val="0"/>
            <w:vAlign w:val="top"/>
          </w:tcPr>
          <w:p w14:paraId="055187F2">
            <w:pPr>
              <w:keepNext w:val="0"/>
              <w:keepLines w:val="0"/>
              <w:widowControl/>
              <w:suppressLineNumbers w:val="0"/>
              <w:jc w:val="center"/>
              <w:textAlignment w:val="top"/>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5160" w:type="dxa"/>
            <w:tcBorders>
              <w:top w:val="single" w:color="000000" w:sz="4" w:space="0"/>
              <w:left w:val="single" w:color="000000" w:sz="4" w:space="0"/>
              <w:bottom w:val="single" w:color="000000" w:sz="4" w:space="0"/>
              <w:right w:val="single" w:color="000000" w:sz="4" w:space="0"/>
            </w:tcBorders>
            <w:noWrap w:val="0"/>
            <w:vAlign w:val="top"/>
          </w:tcPr>
          <w:p w14:paraId="09BB09BB">
            <w:pPr>
              <w:keepNext w:val="0"/>
              <w:keepLines w:val="0"/>
              <w:widowControl/>
              <w:suppressLineNumbers w:val="0"/>
              <w:jc w:val="center"/>
              <w:textAlignment w:val="top"/>
              <w:rPr>
                <w:rFonts w:hint="default"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备注</w:t>
            </w:r>
          </w:p>
        </w:tc>
      </w:tr>
      <w:tr w14:paraId="50AD8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3E72176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6DA14D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LED系统软件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0C093A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78761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14C0D7C7">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学术报告厅1套、学术交流会议室2套、学术直播室2套、教培室2套</w:t>
            </w:r>
          </w:p>
        </w:tc>
      </w:tr>
      <w:tr w14:paraId="17BE2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3F43A9E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32D611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智慧综合服务平台</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5149E9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1E3FE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2384D39C">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w:t>
            </w:r>
          </w:p>
        </w:tc>
      </w:tr>
      <w:tr w14:paraId="51685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4891865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24DE26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多学科协作软件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39C05A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点</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009047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56000BA3">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学术报告厅1套、学术交流会议室1套、智慧党政会议室2套、标准化开标/评标室2套、教培室22套</w:t>
            </w:r>
          </w:p>
        </w:tc>
      </w:tr>
      <w:tr w14:paraId="5E953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7DE537E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412FCB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视频回溯软件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66883E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0C43CC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2168BB35">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学术报告厅1套、学术交流会议室1套、智慧党政会议室2套、教培室19套</w:t>
            </w:r>
          </w:p>
        </w:tc>
      </w:tr>
      <w:tr w14:paraId="73FCD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2C07B1B4">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5</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082131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智能集控管理软件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59CCD6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20DDD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29029B2C">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学术报告厅1套、学术交流会议室1套、智慧党政会议室2套</w:t>
            </w:r>
          </w:p>
        </w:tc>
      </w:tr>
      <w:tr w14:paraId="0B80C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48FF5A4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638039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多媒体云节点软件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2143B6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34093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4C84E450">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学术报告厅1套、学术交流会议室1套、智慧党政会议室2套、教培室1套</w:t>
            </w:r>
          </w:p>
        </w:tc>
      </w:tr>
      <w:tr w14:paraId="2DC21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259668AF">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7</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0F4DC6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多媒体编辑软件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24B56C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52E48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23E758BD">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学术报告厅6套</w:t>
            </w:r>
          </w:p>
        </w:tc>
      </w:tr>
      <w:tr w14:paraId="13FB9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647D8A7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8</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2931DB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多媒体控制软件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6777E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6428E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4F66EAEB">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w:t>
            </w:r>
          </w:p>
        </w:tc>
      </w:tr>
      <w:tr w14:paraId="18B0A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57DA41A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9</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7E9145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多模态混合矩阵管理软件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358B1C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41526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52E37FEA">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学术报告厅1套、学术交流会议室1套、智慧党政会议室2套、教培室1套</w:t>
            </w:r>
          </w:p>
        </w:tc>
      </w:tr>
      <w:tr w14:paraId="5EE83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0820E11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10</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556496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无纸化移动会议软件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67B32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6BA287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132ED181">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智慧党政会议室15套</w:t>
            </w:r>
          </w:p>
        </w:tc>
      </w:tr>
      <w:tr w14:paraId="38CF0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3DA01BBE">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6F3099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虚拟演播室软件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4E54A8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004308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39558E2B">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学术直播室1套</w:t>
            </w:r>
          </w:p>
        </w:tc>
      </w:tr>
      <w:tr w14:paraId="2BD20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605B7A85">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56574E12">
            <w:pPr>
              <w:widowControl/>
              <w:shd w:val="clear" w:color="auto" w:fill="auto"/>
              <w:jc w:val="left"/>
              <w:textAlignment w:val="center"/>
              <w:rPr>
                <w:rFonts w:hint="eastAsia" w:ascii="宋体" w:hAnsi="宋体" w:eastAsia="Arial" w:cs="宋体"/>
                <w:snapToGrid w:val="0"/>
                <w:color w:val="auto"/>
                <w:kern w:val="0"/>
                <w:sz w:val="21"/>
                <w:szCs w:val="21"/>
                <w:highlight w:val="none"/>
                <w:lang w:val="en-US" w:eastAsia="zh-CN" w:bidi="ar"/>
              </w:rPr>
            </w:pPr>
            <w:r>
              <w:rPr>
                <w:rFonts w:hint="eastAsia" w:ascii="宋体" w:hAnsi="宋体" w:cs="宋体"/>
                <w:color w:val="auto"/>
                <w:kern w:val="0"/>
                <w:highlight w:val="none"/>
                <w:lang w:bidi="ar"/>
              </w:rPr>
              <w:t>融媒体平台</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62BE6219">
            <w:pPr>
              <w:widowControl/>
              <w:shd w:val="clear" w:color="auto" w:fill="auto"/>
              <w:jc w:val="center"/>
              <w:textAlignment w:val="center"/>
              <w:rPr>
                <w:rFonts w:hint="eastAsia" w:ascii="宋体" w:hAnsi="宋体" w:eastAsia="Arial" w:cs="宋体"/>
                <w:snapToGrid w:val="0"/>
                <w:color w:val="auto"/>
                <w:kern w:val="0"/>
                <w:sz w:val="21"/>
                <w:szCs w:val="21"/>
                <w:highlight w:val="none"/>
                <w:lang w:val="en-US" w:eastAsia="zh-CN" w:bidi="ar"/>
              </w:rPr>
            </w:pPr>
            <w:r>
              <w:rPr>
                <w:rFonts w:hint="eastAsia" w:ascii="宋体" w:hAnsi="宋体" w:cs="宋体"/>
                <w:color w:val="auto"/>
                <w:kern w:val="0"/>
                <w:highlight w:val="none"/>
                <w:lang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371A3E78">
            <w:pPr>
              <w:widowControl/>
              <w:shd w:val="clear" w:color="auto" w:fill="auto"/>
              <w:jc w:val="center"/>
              <w:textAlignment w:val="center"/>
              <w:rPr>
                <w:rFonts w:hint="eastAsia" w:ascii="宋体" w:hAnsi="宋体" w:eastAsia="Arial" w:cs="宋体"/>
                <w:snapToGrid w:val="0"/>
                <w:color w:val="auto"/>
                <w:kern w:val="0"/>
                <w:sz w:val="21"/>
                <w:szCs w:val="21"/>
                <w:highlight w:val="none"/>
                <w:lang w:val="en-US" w:eastAsia="zh-CN" w:bidi="ar"/>
              </w:rPr>
            </w:pPr>
            <w:r>
              <w:rPr>
                <w:rFonts w:hint="eastAsia" w:ascii="宋体" w:hAnsi="宋体" w:cs="宋体"/>
                <w:color w:val="auto"/>
                <w:kern w:val="0"/>
                <w:highlight w:val="none"/>
                <w:lang w:bidi="ar"/>
              </w:rPr>
              <w:t>1</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68400AFD">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智能融媒体中心1套</w:t>
            </w:r>
          </w:p>
        </w:tc>
      </w:tr>
      <w:tr w14:paraId="15EF6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051DA63A">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13</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1EC75B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智能管理软件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07418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688838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65558ABD">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教培室10套</w:t>
            </w:r>
          </w:p>
        </w:tc>
      </w:tr>
      <w:tr w14:paraId="269F6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7CED270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7D9FFC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多模态矩阵管理软件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412C41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7E4349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214C4656">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教培室9套</w:t>
            </w:r>
          </w:p>
        </w:tc>
      </w:tr>
      <w:tr w14:paraId="75D82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5F34D03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090010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大屏幕管理软件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12A15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132BE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2723BCA0">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教培室1套</w:t>
            </w:r>
          </w:p>
        </w:tc>
      </w:tr>
      <w:tr w14:paraId="2B80D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68AB254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16</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27FE98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安全虚拟化软件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685394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5EFE30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7007CBFF">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教培室12套</w:t>
            </w:r>
          </w:p>
        </w:tc>
      </w:tr>
      <w:tr w14:paraId="55BB1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7FE6BF14">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17</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3C0759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数据保护软件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6EF908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5C8DB9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1180B555">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教培室1套</w:t>
            </w:r>
          </w:p>
        </w:tc>
      </w:tr>
      <w:tr w14:paraId="44F40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12526CF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18</w:t>
            </w:r>
          </w:p>
        </w:tc>
        <w:tc>
          <w:tcPr>
            <w:tcW w:w="1968" w:type="dxa"/>
            <w:tcBorders>
              <w:top w:val="single" w:color="000000" w:sz="4" w:space="0"/>
              <w:left w:val="single" w:color="000000" w:sz="4" w:space="0"/>
              <w:bottom w:val="single" w:color="000000" w:sz="4" w:space="0"/>
              <w:right w:val="single" w:color="000000" w:sz="4" w:space="0"/>
            </w:tcBorders>
            <w:noWrap w:val="0"/>
            <w:vAlign w:val="center"/>
          </w:tcPr>
          <w:p w14:paraId="0BAEAD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cs="宋体"/>
                <w:color w:val="auto"/>
                <w:kern w:val="0"/>
                <w:highlight w:val="none"/>
                <w:lang w:bidi="ar"/>
              </w:rPr>
              <w:t>广播</w:t>
            </w:r>
            <w:r>
              <w:rPr>
                <w:rFonts w:hint="eastAsia" w:ascii="宋体" w:hAnsi="宋体" w:eastAsia="宋体" w:cs="宋体"/>
                <w:i w:val="0"/>
                <w:iCs w:val="0"/>
                <w:color w:val="000000"/>
                <w:kern w:val="0"/>
                <w:sz w:val="20"/>
                <w:szCs w:val="20"/>
                <w:u w:val="none"/>
                <w:lang w:val="en-US" w:eastAsia="zh-CN" w:bidi="ar"/>
              </w:rPr>
              <w:t>系统服务管理软件</w:t>
            </w:r>
          </w:p>
        </w:tc>
        <w:tc>
          <w:tcPr>
            <w:tcW w:w="771" w:type="dxa"/>
            <w:tcBorders>
              <w:top w:val="single" w:color="000000" w:sz="4" w:space="0"/>
              <w:left w:val="single" w:color="000000" w:sz="4" w:space="0"/>
              <w:bottom w:val="single" w:color="000000" w:sz="4" w:space="0"/>
              <w:right w:val="single" w:color="000000" w:sz="4" w:space="0"/>
            </w:tcBorders>
            <w:noWrap w:val="0"/>
            <w:vAlign w:val="center"/>
          </w:tcPr>
          <w:p w14:paraId="230B69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81" w:type="dxa"/>
            <w:tcBorders>
              <w:top w:val="single" w:color="000000" w:sz="4" w:space="0"/>
              <w:left w:val="single" w:color="000000" w:sz="4" w:space="0"/>
              <w:bottom w:val="single" w:color="000000" w:sz="4" w:space="0"/>
              <w:right w:val="single" w:color="000000" w:sz="4" w:space="0"/>
            </w:tcBorders>
            <w:noWrap w:val="0"/>
            <w:vAlign w:val="center"/>
          </w:tcPr>
          <w:p w14:paraId="6F27A5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160" w:type="dxa"/>
            <w:tcBorders>
              <w:top w:val="single" w:color="000000" w:sz="4" w:space="0"/>
              <w:left w:val="single" w:color="000000" w:sz="4" w:space="0"/>
              <w:bottom w:val="single" w:color="000000" w:sz="4" w:space="0"/>
              <w:right w:val="single" w:color="000000" w:sz="4" w:space="0"/>
            </w:tcBorders>
            <w:noWrap w:val="0"/>
            <w:vAlign w:val="center"/>
          </w:tcPr>
          <w:p w14:paraId="044927CE">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教培室1套</w:t>
            </w:r>
          </w:p>
        </w:tc>
      </w:tr>
    </w:tbl>
    <w:p w14:paraId="791D769E">
      <w:pPr>
        <w:rPr>
          <w:rFonts w:hint="eastAsia"/>
        </w:rPr>
      </w:pPr>
    </w:p>
    <w:p w14:paraId="2DD41F3B">
      <w:pPr>
        <w:pStyle w:val="3"/>
        <w:numPr>
          <w:ilvl w:val="0"/>
          <w:numId w:val="0"/>
        </w:numPr>
        <w:shd w:val="clear" w:color="auto" w:fill="auto"/>
        <w:spacing w:before="156" w:beforeLines="50" w:after="156" w:afterLines="50" w:line="360" w:lineRule="auto"/>
        <w:jc w:val="left"/>
        <w:rPr>
          <w:rFonts w:hint="eastAsia" w:ascii="宋体" w:hAnsi="宋体" w:cs="宋体"/>
          <w:color w:val="auto"/>
          <w:sz w:val="32"/>
          <w:szCs w:val="32"/>
          <w:highlight w:val="none"/>
        </w:rPr>
      </w:pPr>
      <w:bookmarkStart w:id="11" w:name="_Toc25911"/>
      <w:r>
        <w:rPr>
          <w:rFonts w:hint="eastAsia" w:ascii="宋体" w:hAnsi="宋体" w:cs="宋体"/>
          <w:color w:val="auto"/>
          <w:sz w:val="32"/>
          <w:szCs w:val="32"/>
          <w:highlight w:val="none"/>
          <w:lang w:val="en-US" w:eastAsia="zh-CN"/>
        </w:rPr>
        <w:t>3</w:t>
      </w:r>
      <w:r>
        <w:rPr>
          <w:rFonts w:hint="eastAsia" w:ascii="宋体" w:hAnsi="宋体" w:cs="宋体"/>
          <w:color w:val="auto"/>
          <w:sz w:val="32"/>
          <w:szCs w:val="32"/>
          <w:highlight w:val="none"/>
        </w:rPr>
        <w:t>、项目详细参数</w:t>
      </w:r>
      <w:bookmarkEnd w:id="11"/>
    </w:p>
    <w:p w14:paraId="585F4DBC">
      <w:pPr>
        <w:rPr>
          <w:rFonts w:hint="eastAsia"/>
        </w:rPr>
      </w:pPr>
    </w:p>
    <w:tbl>
      <w:tblPr>
        <w:tblStyle w:val="15"/>
        <w:tblW w:w="915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87"/>
        <w:gridCol w:w="1406"/>
        <w:gridCol w:w="6181"/>
        <w:gridCol w:w="783"/>
      </w:tblGrid>
      <w:tr w14:paraId="52B86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top"/>
          </w:tcPr>
          <w:p w14:paraId="39C9AC97">
            <w:pPr>
              <w:keepNext w:val="0"/>
              <w:keepLines w:val="0"/>
              <w:widowControl/>
              <w:suppressLineNumbers w:val="0"/>
              <w:jc w:val="center"/>
              <w:textAlignment w:val="top"/>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noWrap w:val="0"/>
            <w:vAlign w:val="top"/>
          </w:tcPr>
          <w:p w14:paraId="53CC7415">
            <w:pPr>
              <w:keepNext w:val="0"/>
              <w:keepLines w:val="0"/>
              <w:widowControl/>
              <w:suppressLineNumbers w:val="0"/>
              <w:jc w:val="center"/>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名称</w:t>
            </w:r>
          </w:p>
        </w:tc>
        <w:tc>
          <w:tcPr>
            <w:tcW w:w="6181" w:type="dxa"/>
            <w:tcBorders>
              <w:top w:val="single" w:color="000000" w:sz="4" w:space="0"/>
              <w:left w:val="single" w:color="000000" w:sz="4" w:space="0"/>
              <w:bottom w:val="single" w:color="000000" w:sz="4" w:space="0"/>
              <w:right w:val="single" w:color="000000" w:sz="4" w:space="0"/>
            </w:tcBorders>
            <w:noWrap w:val="0"/>
            <w:vAlign w:val="top"/>
          </w:tcPr>
          <w:p w14:paraId="1E520E43">
            <w:pPr>
              <w:keepNext w:val="0"/>
              <w:keepLines w:val="0"/>
              <w:widowControl/>
              <w:suppressLineNumbers w:val="0"/>
              <w:jc w:val="center"/>
              <w:textAlignment w:val="top"/>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主要参数</w:t>
            </w:r>
          </w:p>
        </w:tc>
        <w:tc>
          <w:tcPr>
            <w:tcW w:w="783" w:type="dxa"/>
            <w:tcBorders>
              <w:top w:val="single" w:color="000000" w:sz="4" w:space="0"/>
              <w:left w:val="single" w:color="000000" w:sz="4" w:space="0"/>
              <w:bottom w:val="single" w:color="000000" w:sz="4" w:space="0"/>
              <w:right w:val="single" w:color="000000" w:sz="4" w:space="0"/>
            </w:tcBorders>
            <w:noWrap w:val="0"/>
            <w:vAlign w:val="top"/>
          </w:tcPr>
          <w:p w14:paraId="2C0616F7">
            <w:pPr>
              <w:keepNext w:val="0"/>
              <w:keepLines w:val="0"/>
              <w:widowControl/>
              <w:suppressLineNumbers w:val="0"/>
              <w:jc w:val="center"/>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30E92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051257C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5D745D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LED系统软件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3A25A36B">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1、支持节目播放纯后台运行；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2、支持外接外部视频窗口（AV、CVBS），播放电视节目；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3、支持播放摄像机现场直播、网站视频直播节目功能，实现各种节目的现场以及网站直播；</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4、支持播放MP4、AVI、MOV、MPG、DAT、VOB、RM、RMVB、FMPG、MPV、MPA、VCD、SWF、RA、RMJ、ASF等多达30种视频格式文件；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5、支持查看视频播放时长，能够指定裁剪播放时长、自动计算播放时长；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6、软件自带视频解码器，支持手动选择视频解码类型；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7、支持设置视频不旋转、垂直翻转、旋转180°、向左旋转90°、向右旋转90°等5种效果；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8、支持设置视频播放次数与选择播放区域；可以裁剪播放区域和播放时间，在视频上截取部分画面和部分时间段的内容进行播放；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9、支持自由调节视频文件透明度。0%时视频为全透明，不能显示；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10、视频源等比例自适应窗口播放；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11、亮度、色温、gamma值可以通过软件任意调节，适应各种场合。</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43BE23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41509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105D28E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40E529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智慧综合服务平台</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1C63E947">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1、支持以可视化方式（GIS、位置示意图、区域表格），显示LED屏设备分布情况。支持现场图片、摄像头、拼接器三种形式屏幕回显；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2、显示大屏挂载设备连接示意图，设备接入系统后，系统根据设备实际连接状态自动生成拓扑图；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3、支持 PLC 在线监测：温湿度、亮度、烟感、电压、电流、线路温度、功率实时监控，超出阈值会进行报警；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4、可实现手动、自动模式检测，自动模式下可通过软件控制开关、手动模式下只能操作配电柜硬件，增加系统安全性；可接入普通开关、状态开关、智能开关三种不同类型开关；</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5、电压、电流、功率、漏电，使用时长、通电时长、电量数据、屏幕工作时长、屏幕开关次数等数据统计；可对显示屏设置检修模式，减少检修本身影响设备运行时造成的系统故障误报；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6、智能网关和配套断路器可支持电力检修模式，当设备处于电力检修模式时，断路器一直处于分闸状态以保障用电安全；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7、系统支持采集策略的制定，支持按照日期、时间规则进行采集策略的制定，灵活高效；</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可实现手动、自动模式检测，自动模式下可通过软件控制开关、手动模式下只能操作配电柜硬件，增加系统安全性，开关控制可根据时间、日期进行排程；可接入普通开关、状态开关、智能开关三种不同类型开关，中配及高配空开可返回空开状态，并在系统中显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9、对设备进行调制与控制，可实时监控 LED 显示屏的各种运行状态:包括每个显示模块的运行状态；每个显示模组的运行状态；每个发送盒(发送卡)的运行状态等，能够通过计算机的显示界面实时监测当前LED 显示屏的主要运行参数，支持模组级数据的存储与回读；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10、支持对多个显示屏，多类拼接处理器、发送卡、PLC 配电柜、工作站等设备一体化监控。根据现场设备种类，提供箱体连接状态、环境温度、湿度、亮度，系统拓扑图与设备状态等；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11、系统支持多窗口预览大屏，可整体或单独控制开关，支持 4、8、16 分屏显示方式，便于灵活监控管理；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12、系统会根据采集到的信息，按月统计最高温度、最低温度、平均温度、最高电压、最低电压、平均电压系统在月初会自动生成所有载体的健康报告，也可手动重新生成健康报告可下载健康报告内容；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13、无互联网环境时，也可以发出告警、异常信息，可私有化部署；</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14、支持 PLC 定时开关，支持按星期模式开启和关闭电源；支持 PLC 逻辑分组功能，支持分组控制；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15、支持数据可视化展示，可根据需求自定义数据展示配置设置，并以加密链接的形式分享给他人，支持对接第三方数据；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16、系统集成了三大功能，采用统一的登录界面，只需使用一个账号即可访问所有功能，实现便捷高效的操作体验；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17、可支持微信扫码报修，无缝对接报修系统，可自动发起工单和 OA 系统打通；</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18、权限划分、未审核不能插播，引用节目库列表时看不到未审核节目，已审核的节目不允许编辑；</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19、以矩阵视图与列表形式展示素材，可自由切换两种展示方式。矩阵视图展示素材缩略图，名称，大小、审核状态（未通过审核的素材会有标识），列表展示素材名称、素材类型、大小、时长、上传、上传时间、审核状态、下载按钮和操作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20、对于一些紧急的临时的消息，可以在数据大盘页面进行插播，临时消息以文字的形式在正在播放的节目上方滚动显示。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21、拖拽节目支持制作播放列表形式，同时支持按照时间轴编排方式进行策略的编辑；时间轴可按日、按周、按自定义时间进行设置。</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21B47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3786B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4CF3D85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1607E0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多学科协作软件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3242A721">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1、支持1080P高清视频传输，确保远程会诊或MDT会诊中的每个患者与专家都能享受到清晰流畅的视觉体验；                                                                                      2、采用宽频语音技术，提供更宽广的音频频响范围，使得语音传输更加清晰自然，增强会诊沟通效果；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3、支持SVC多流会议，自定义会诊画面显示模式，画廊视图、画中画视图、会诊专家视图灵活切换，选看任意场景；                                                                                   4、满足Windows、KylinOS、UOS操作系统接入会议，满足随时随地进行音视频会诊沟通的需求；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5、具备丰富的视音频接口互联功能，便于远程会诊或MDT会诊的快速集成和部署，适应不同的会诊环境和需求。</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41040A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1E89D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5C10286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6450E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视频回溯软件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7B4AB42C">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1、系统软件须安装于终端主机内，支持本地导播、远程导播，导播画面响应快，延时低；</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2、系统软件集视频实时预览，视频导播切换、云台控制，录制/直播控制，字幕、LOGO、片头片尾、直播监视、视频点播等多功能于一体；</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3、系统支持多种控制方式，可对终端设备进行录制、直播、导播等控制，控制方式包括：web后台、本地导播、安卓APP、PC客户端；</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4、系统支持可选择任意画面通道进行录制，可支持同时录制所有视频通道，支持生成MP4格式标准视频文件；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5、系统支持异常视频资源修复功能，支持对设备异常断电、宕机造成的异常损坏视频文件进行修复；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6、系统支持录制时长设定， 录制时长到达后自动停止录制；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7、系统支持开机录制功能、设备开启自动录制，支持定时录制功能、可设置不少于8组定时录制任务，支持录制倒计时功能，可自定义倒计时时间；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8、系统支持循环录制，当存储容量快满时，系统会自动删除时间靠前的视频，来存储新录制的视频，避免造成存储不足导致无法录制的现象；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9、所录制的视频文件既可存储在本地硬盘，也支持通过FTP上传至平台、FTP上传具备定时、实时、闲暇等上传模式，同时支持随时通过录播主机点播回放视频，并可使用移动磁盘或硬盘拷贝下载；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10、系统支持U盘等外部存储接入主机后，实现本机与U盘同步录制保存的功能。主机正常录制的同时，另存为一份文件保存到U盘中；</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11、系统支持可选择任意画面通道进行直播，可支持同时直播所有视频通道，以适应不同场景直播需求。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12、系统内置流媒体广播功能，在无需部署任何平台服务器的前提下，可通过网络将直播画面实时推送到指定分组的观看端。观看端无需进行任何操作即可直接观看高清直播，最大可支持并发50个点；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13、系统支持相机控制，可以对相机进行放大缩小变焦调节、上下左右控制、云台转动灵敏度等控制，同时支持为每路相机设置/调用≥8个预置位，满足导播过程中快速调用的需求；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14、系统支持多种画面布局模式，包括单画面、画中画、双分屏、三分屏、四分屏等布局，并支持自定义布局画面，满足个性化需求；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15、系统支持≥9种转场切换特效，包括淡入淡出、格栅、上切、下切、左切、右切等主流转场切换特效，使画面切换柔和自然；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16、系统支持对视频文件进行点播回放，拖拽播放进度条播放，视频文件下载；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17、系统支持网络检测功能，可对当前终端所接入网络的状态进行检测，包括：网络稳定性、上下行速度等信息。</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107F0C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37620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55E7FBE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5</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36F51F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智能集控管理软件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6D2767D2">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1、软件支持撤销操作，编辑过程中可以对误操作进行撤销；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2、具有定时功能模块，可以创建定时动作，循环条件可选为每天、每周、每月、每年、指定日期、时间段和时间轴，时间轴具备多线程事件编辑功能；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3、具有自定义宏功能模块，可以创建自定义宏，支持编辑宏、导入宏或导出宏等操作；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4、具有存储调用组功能模块，可以创建存储调用组，对变量数据进行保存，实现按钮状态，拖动条状态，文本状态等数据掉电重启的恢复功能；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5、具有智能语音功能模块，可以配置语音关键词，当主机接收到关键词时可以执行对应动作，实现语音控制功能；                                                                                         6、软件编程可根据现场需求开发及设计界面。</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2A99A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3BA23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214663B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294543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多媒体云节点软件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424EFAB7">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1、配合云节点使用；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2、支持低延时模式设置；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3、支持网络休眠和唤醒；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4、支持配置网络访问地址；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5、支持 KVM 控制；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6、支持 IR 红外控制设置；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7、支持权限限制。</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343F94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28A30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1FD7007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7</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314A82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多媒体编辑软件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2522AB69">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1、超高清输出：单机（单显卡）最高支持8K×4K输出带载，单机（双显卡）最高支持8K×8K输出带载。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2、创意拼接显示：支持图像的任意分割重组、几何变形与旋转，完成不同形状、角度的拼接显示。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3、联机同步：同时多机同步技术可以保证输出画面严格同步无撕裂。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4、素材加密：播控助手中自带的加密格式可对播放素材进行加密，为视频的版权提供安全保护。</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中控控制：中控分为输出和输入控制，输出控制支持输出TCP、UDP命令、网络继电器、、MTC和LTC时间码等控制其他设备。输入控制支持、LTC时间码、MIDI时间码和传感器输入等可由计算机、中控及灯光控台进行操控，实现软件与周边设备的联动，整体控制等需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6、移动控制端：软件配备强大的移动控制端，支持自定义按钮、界面布局、自定义场景等功能，可以实现对展厅设备的集中管控，快捷操作。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7、切片功能：支持对输出或者虚拟屏幕进行切片处理，可以切割为任意多边形并且支持顶点变换，实现各种异形创意显示需求。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8、媒体遮罩：可添加遮罩模板，使画面呈现特殊形状例如圆形、星形，同时支持自定义遮罩模板。在自定义遮罩中，可以编辑顶点的坐标位置。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9、支持特定抠像：调整R、G、B值，能够实时对画面特定颜色抠像进行效果输出，可调整门限值和平滑度，自定义抠像的区域。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10、一主一备备份模式：主备模式同时输出，保障画面输出过程的完整性：如遇到突发情况，备端自动切换使用，防止出现信号中断情况并保证输出和主端同步。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11、PPT播放：支持PPT动画和图片两种播放模式。可编辑PPT的分辨率，播放模式以及效果，可使用PPT翻页器、方向键控制其播放。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12、设备状态监控：设备管理中显示服务器所连接的显示设备信息，包括：服务器的CPU、内存使用率，渲染帧率和屏幕使用状态等，支持自动记录服务器工作日志。</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646BD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5DBB9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0D18A4B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8</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1D531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多媒体控制软件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6F7CB8A0">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支持自定义按钮、界面布局、自定义场景等功能，可以实现对现场设备的集中管控，快捷操作。</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6A581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2113B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6A94A73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9</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524F58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多模态混合矩阵管理软件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3EF04794">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1、支持Windows操作系统；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2、支持全中文的操作界面；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3、支持8系、16系、24系、32系、40系、72系、144系等多系列矩阵切换系统；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4、支持设备管理功能，增加、减少、连接功能；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5、支持端口场景设置功能，增加、保存、删除功能；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6、支持设备信息设置功能，名称、ID、类型、连接方式等；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7、支持输入输出信号任意切换，支持某路信号一键输出到所有输出等切换方式；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8、支持设置输入端口属性；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9、支持读取矩阵端口状态，并在状态窗口显示矩阵端口当前的状态；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10、支持串口/网口控制方式。</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1EC1C1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07EE8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4C34F9FC">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10</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4E484C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无纸化移动会议软件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28C22CD6">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1、系统采用纯网络组网（免VGA、AV、DVI、HDMI布线）,无纸化终端播放的音频通过以太网经由编解码器解码后输出到会议音频处理设备。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2、具备文件与议题同名时点击议题可直接打开文件，减少二次操作；打开会议文件后，无需退出阅文界面就可以查看所有的会议资料，在各个议题与文件中直接切换打开。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持WiFi平板实时接入有线组网的无纸化会议系统，平板画面须保持跟主讲席及大屏幕同一画面（包括word源文件、动态ppt等文件格式）,同时支持平板上的任何格式会议文件画面同步到其它会议终端与大屏幕实时显示（包括word源文件、动态ppt等文件格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4、终端在不运行无纸化会议系统软件前提下，实现任何终端屏幕画面同步广播、异步浏览、跟踪主讲、原文批注等功能，实现无纸化会议资料保密安全，终端信号自由交互与互联互通功能。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具备在没有任何会议启动时，无纸化界面直接显示会议资料模块：参会人员只需带上U盘，就可以将U盘内的文件进行分享与同屏显示，无需从后台建会。电脑桌面模块：当作电脑进行操作，同时可以将自己在电脑桌面的任何操作画面同屏显示。远端画面模块：一键进行显示模式，将视频画面、笔记本画面等信号同步到座席中。</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具备会议快捷功能悬浮窗显示。软件功能具备在任何页面的快捷操作,快捷功能浮动窗口显示,需要时弹出,不需要时自动隐藏,浮动窗口内快捷按键具备：快捷批注、协同操作、屏幕广播、跟踪主讲、返回桌面、结束广播、返回系统等操作按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7、具备会议材料扫码带走,会议结束后参会人员可在无纸化终端屏幕扫描当前会议二维码带走本次会议自己能够查阅且已批注的文件。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8、信号强切：会议过程中，具备广播权限的终端可发起强制切换同屏功能，直接覆盖上个汇报者画面信号。</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9、同屏申请：支持发起同步的参会人员需得到主席机同意后才能同步画面到其他会议终端，主席机可强制结束会场任何同步画面。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10、主席机支持统一切换会标功能，不管会议终端在任何界面下，一旦启动会标功能后，所有会议终端统一进入会议标语界面，并不能退出，主席机点击退出会标后其他会议终端返回到以前操作界面。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支持分组讨论模式，任何一位参会终端可以选择把屏幕画面直接同步给会场的某一个人或多个人，会场支持多路同步画面同时存在，会议分组讨论支持同时不少于4组同步画面，参会者可以选择进入某个讨论组。</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3BDE09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73AD2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63E2BDB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7DEAD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虚拟演播室软件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7D91F789">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1、支持NDI、RTMP、RTSP、m3u8、TS over UDP/TCP等制式的流媒体信号输入，支持一键追赶流媒体延迟，支持将拉流流信号直接录制保存到本地变成视频文件。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2、3个DDR视频库，支持不限数量的各种格式视频混合载入，支持120hz 4k视频文件播放，支持视频文件入出点打点，切出时从预设点开始自动播放。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可自由定义类别的切换通道，可以任意改变输入信号、本地视频、网络信号、图文组合等类别使用的切换通道数量，适应不同制作现场的信号组合需要。支持简体中文、繁体中文、英文、俄文四种语言快速切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4、信号源或素材直接点选加入，系统自动识别输入信号格式和媒体文件格式，无需进行视频格式转换或输入参数设置。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5、可同时载入多个播出表单，表单内媒体文件数量不限。支持表单内文件循环、独播等播放规则的调整，并调整表单项目前后顺序和每段时长。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6、支持带键通道视频、序列帧，或三维动画作为切换效果。特效时长可在软件内调整。内置切换特效生成器，可以自定义切换效果的切换点、预览图、切换速度。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7、内置图文编辑器，将视频、图片、文字、输入信号、虚拟场景、实时比分，计时时钟等不同元素，保存为不少于12个图层的图文组合模板或字幕模板。        </w:t>
            </w:r>
          </w:p>
          <w:p w14:paraId="41FF26B0">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8、支持在非规则形状如圆形、弧形等图文窗口中，显示标准输入信号，组成多窗口图文模板。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9、内置美颜功能模块，可一键对输入的主持人信号进行美颜处理，可拉动调节磨皮和美白幅度。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每个图文特效文件可保存不小于4个状态，存储图文组合中各个素材层的不同位置、大小、隐藏显示等状态。在任意两个状态间，可以一键执行平滑动画效果，实现如同高级在线包装系统一般的图文层、视频窗口的移动、转换、消失、旋转等效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提供全局字幕通道，叠加图文、字幕，支持从外部字幕机导入键信号作为字幕。支持拍打唱词功能，实时控制上一条/下一条字幕拍击更替。支持一键加减分记分牌和正倒数计时器功能。支持实时更改天气预报参数表中，各城市的气温、天气，并实时更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每个切换通道有2个单独字幕层，在通道被切出或引用时跟随显示，共不少于19个独立字幕层。字幕层可导入三维物体并在字幕层中调整其三维朝向和设定纹理叠加。可将切换特效运用到字幕通道层的内容中，实现风格多变的字幕层出现方式。各字幕层有单独的音量控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13、可对输入信号或本地视频进行色差，锐度，去场调整，并调整裁剪和宽高比，使其与虚拟演播室模拟光照统一。可对输入的主持人信号进行美颜处理，可拉动调节磨皮和美白幅度。可将一路输入信号分割为6个部分画面并切换使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14、内置色键器，支持对不少于4种颜色同时一键抠像，带有可调节直径的虚拟橡皮擦，擦去不需要的背景细节，实现不受实际蓝箱尺寸限制的无限蓝箱效果；或反向保留背景同色物体，避免主持人身上背景同色物体被一同抠除。</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15、系统提供有真实空间关系的三维虚拟场景，以一个固定的真实机位，生成可360°旋转拍摄场景各个方向的不少于42个虚拟机位，机位和路径、摇移拍摄时间可实时调整。可选四种不同特色运动方式完成任意两个虚拟镜头间的摇移过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16、虚拟演播室中的物体和主持人，可以实时任意调整其位置、大小、朝向等，支持导入带动画物体以展现与主持人互动的现实增强效果。支持将竖立拍摄的横向摄像机信号，旋转后用于主持人画面。支持同场景4个不同高度平面的真实反射效果，反射强度可调。支持实时导入单独的三维物体，并可设定其两个状态间过渡动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17、可同时载入多个不同的虚拟场景，实现多虚拟场景间切换；或载入多次同一场景，实现同一主持人多角度真实机位共同使用。支持将一路摄像机拍摄的两个主持人分别分配给虚拟场景中不同位置使用。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18、内置一键美颜功能，可以在预设的多档次肤色中选择进行肤色美化，也可以单独分别调整增白和去瑕疵强度。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19、可自动检测网络带宽，根据网络拥堵状况，自动调整推流帧数，保证视频帧数平均，不出现长时间停顿或者音频跳跃。</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20、支持直接导入PPT文件作为素材使用，支持逐步播放PPT单页动画和翻页动画，保留PPT原文件特效。</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21、支持使用360度全景视频作为虚拟场景，将主持人结合进画面并旋转虚拟镜头全景拍摄。</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22、支持同时录制不带叠加层的清流信号，同时照顾实时输出录制和后期编辑使用。</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7274E4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197D5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55E0B1F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231AE76A">
            <w:pPr>
              <w:widowControl/>
              <w:shd w:val="clear" w:color="auto" w:fill="auto"/>
              <w:jc w:val="left"/>
              <w:textAlignment w:val="center"/>
              <w:rPr>
                <w:rFonts w:hint="eastAsia" w:ascii="宋体" w:hAnsi="宋体" w:eastAsia="宋体" w:cs="宋体"/>
                <w:snapToGrid w:val="0"/>
                <w:color w:val="auto"/>
                <w:kern w:val="0"/>
                <w:sz w:val="20"/>
                <w:szCs w:val="20"/>
                <w:highlight w:val="none"/>
                <w:lang w:val="en-US" w:eastAsia="zh-CN" w:bidi="ar"/>
              </w:rPr>
            </w:pPr>
            <w:r>
              <w:rPr>
                <w:rFonts w:hint="eastAsia" w:ascii="宋体" w:hAnsi="宋体" w:eastAsia="宋体" w:cs="宋体"/>
                <w:color w:val="auto"/>
                <w:kern w:val="0"/>
                <w:sz w:val="20"/>
                <w:szCs w:val="20"/>
                <w:highlight w:val="none"/>
                <w:lang w:bidi="ar"/>
              </w:rPr>
              <w:t>融媒体平台</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6A9E4656">
            <w:pPr>
              <w:widowControl/>
              <w:shd w:val="clear" w:color="auto" w:fill="auto"/>
              <w:jc w:val="left"/>
              <w:textAlignment w:val="center"/>
              <w:rPr>
                <w:rFonts w:hint="eastAsia" w:ascii="宋体" w:hAnsi="宋体" w:eastAsia="宋体" w:cs="宋体"/>
                <w:color w:val="auto"/>
                <w:kern w:val="0"/>
                <w:sz w:val="20"/>
                <w:szCs w:val="20"/>
                <w:highlight w:val="none"/>
                <w:lang w:bidi="ar"/>
              </w:rPr>
            </w:pPr>
            <w:r>
              <w:rPr>
                <w:rFonts w:hint="eastAsia" w:ascii="宋体" w:hAnsi="宋体" w:eastAsia="宋体" w:cs="宋体"/>
                <w:color w:val="auto"/>
                <w:kern w:val="0"/>
                <w:sz w:val="20"/>
                <w:szCs w:val="20"/>
                <w:highlight w:val="none"/>
                <w:lang w:bidi="ar"/>
              </w:rPr>
              <w:t>1、支持多服务器集群和负载均衡，按照每台服务器支持</w:t>
            </w:r>
            <w:r>
              <w:rPr>
                <w:rFonts w:hint="eastAsia" w:ascii="宋体" w:hAnsi="宋体" w:eastAsia="宋体" w:cs="宋体"/>
                <w:color w:val="auto"/>
                <w:kern w:val="0"/>
                <w:sz w:val="20"/>
                <w:szCs w:val="20"/>
                <w:highlight w:val="yellow"/>
                <w:lang w:val="en-US" w:eastAsia="zh-CN" w:bidi="ar"/>
              </w:rPr>
              <w:t>100个</w:t>
            </w:r>
            <w:r>
              <w:rPr>
                <w:rFonts w:hint="eastAsia" w:ascii="宋体" w:hAnsi="宋体" w:eastAsia="宋体" w:cs="宋体"/>
                <w:color w:val="auto"/>
                <w:kern w:val="0"/>
                <w:sz w:val="20"/>
                <w:szCs w:val="20"/>
                <w:highlight w:val="yellow"/>
                <w:lang w:bidi="ar"/>
              </w:rPr>
              <w:t>并发连接数提供负载均衡服务</w:t>
            </w:r>
            <w:r>
              <w:rPr>
                <w:rFonts w:hint="eastAsia" w:ascii="宋体" w:hAnsi="宋体" w:eastAsia="宋体" w:cs="宋体"/>
                <w:color w:val="auto"/>
                <w:kern w:val="0"/>
                <w:sz w:val="20"/>
                <w:szCs w:val="20"/>
                <w:highlight w:val="yellow"/>
                <w:lang w:eastAsia="zh-CN" w:bidi="ar"/>
              </w:rPr>
              <w:t>（</w:t>
            </w:r>
            <w:r>
              <w:rPr>
                <w:rFonts w:hint="eastAsia" w:ascii="宋体" w:hAnsi="宋体" w:eastAsia="宋体" w:cs="宋体"/>
                <w:color w:val="auto"/>
                <w:kern w:val="0"/>
                <w:sz w:val="20"/>
                <w:szCs w:val="20"/>
                <w:highlight w:val="yellow"/>
                <w:lang w:val="en-US" w:eastAsia="zh-CN" w:bidi="ar"/>
              </w:rPr>
              <w:t>互联网不限制并发数</w:t>
            </w:r>
            <w:r>
              <w:rPr>
                <w:rFonts w:hint="eastAsia" w:ascii="宋体" w:hAnsi="宋体" w:eastAsia="宋体" w:cs="宋体"/>
                <w:color w:val="auto"/>
                <w:kern w:val="0"/>
                <w:sz w:val="20"/>
                <w:szCs w:val="20"/>
                <w:highlight w:val="yellow"/>
                <w:lang w:eastAsia="zh-CN" w:bidi="ar"/>
              </w:rPr>
              <w:t>）</w:t>
            </w:r>
            <w:r>
              <w:rPr>
                <w:rFonts w:hint="eastAsia" w:ascii="宋体" w:hAnsi="宋体" w:eastAsia="宋体" w:cs="宋体"/>
                <w:color w:val="auto"/>
                <w:kern w:val="0"/>
                <w:sz w:val="20"/>
                <w:szCs w:val="20"/>
                <w:highlight w:val="none"/>
                <w:lang w:bidi="ar"/>
              </w:rPr>
              <w:t>支持服务器的并发连接数设置；</w:t>
            </w:r>
          </w:p>
          <w:p w14:paraId="2345E468">
            <w:pPr>
              <w:widowControl/>
              <w:shd w:val="clear" w:color="auto" w:fill="auto"/>
              <w:jc w:val="left"/>
              <w:textAlignment w:val="center"/>
              <w:rPr>
                <w:rFonts w:hint="eastAsia" w:ascii="宋体" w:hAnsi="宋体" w:eastAsia="宋体" w:cs="宋体"/>
                <w:color w:val="auto"/>
                <w:kern w:val="0"/>
                <w:sz w:val="20"/>
                <w:szCs w:val="20"/>
                <w:highlight w:val="none"/>
                <w:lang w:bidi="ar"/>
              </w:rPr>
            </w:pPr>
            <w:r>
              <w:rPr>
                <w:rFonts w:hint="eastAsia" w:ascii="宋体" w:hAnsi="宋体" w:eastAsia="宋体" w:cs="宋体"/>
                <w:color w:val="auto"/>
                <w:kern w:val="0"/>
                <w:sz w:val="20"/>
                <w:szCs w:val="20"/>
                <w:highlight w:val="none"/>
                <w:lang w:bidi="ar"/>
              </w:rPr>
              <w:t>2、支持低延时转发；</w:t>
            </w:r>
          </w:p>
          <w:p w14:paraId="604A5620">
            <w:pPr>
              <w:widowControl/>
              <w:shd w:val="clear" w:color="auto" w:fill="auto"/>
              <w:jc w:val="left"/>
              <w:textAlignment w:val="center"/>
              <w:rPr>
                <w:rFonts w:hint="eastAsia" w:ascii="宋体" w:hAnsi="宋体" w:eastAsia="宋体" w:cs="宋体"/>
                <w:color w:val="auto"/>
                <w:kern w:val="0"/>
                <w:sz w:val="20"/>
                <w:szCs w:val="20"/>
                <w:highlight w:val="none"/>
                <w:lang w:bidi="ar"/>
              </w:rPr>
            </w:pPr>
            <w:r>
              <w:rPr>
                <w:rFonts w:hint="eastAsia" w:ascii="宋体" w:hAnsi="宋体" w:eastAsia="宋体" w:cs="宋体"/>
                <w:color w:val="auto"/>
                <w:kern w:val="0"/>
                <w:sz w:val="20"/>
                <w:szCs w:val="20"/>
                <w:highlight w:val="none"/>
                <w:lang w:bidi="ar"/>
              </w:rPr>
              <w:t>3、支持多协议点播功能；</w:t>
            </w:r>
          </w:p>
          <w:p w14:paraId="63F976C2">
            <w:pPr>
              <w:widowControl/>
              <w:shd w:val="clear" w:color="auto" w:fill="auto"/>
              <w:jc w:val="left"/>
              <w:textAlignment w:val="center"/>
              <w:rPr>
                <w:rFonts w:hint="eastAsia" w:ascii="宋体" w:hAnsi="宋体" w:eastAsia="宋体" w:cs="宋体"/>
                <w:color w:val="auto"/>
                <w:kern w:val="0"/>
                <w:sz w:val="20"/>
                <w:szCs w:val="20"/>
                <w:highlight w:val="none"/>
                <w:lang w:bidi="ar"/>
              </w:rPr>
            </w:pPr>
            <w:r>
              <w:rPr>
                <w:rFonts w:hint="eastAsia" w:ascii="宋体" w:hAnsi="宋体" w:eastAsia="宋体" w:cs="宋体"/>
                <w:color w:val="auto"/>
                <w:kern w:val="0"/>
                <w:sz w:val="20"/>
                <w:szCs w:val="20"/>
                <w:highlight w:val="none"/>
                <w:lang w:bidi="ar"/>
              </w:rPr>
              <w:t>4、支持极速、快速、流畅、标准、720P、1080P、4K输出视频质量；</w:t>
            </w:r>
          </w:p>
          <w:p w14:paraId="44122E1B">
            <w:pPr>
              <w:widowControl/>
              <w:shd w:val="clear" w:color="auto" w:fill="auto"/>
              <w:jc w:val="left"/>
              <w:textAlignment w:val="center"/>
              <w:rPr>
                <w:rFonts w:hint="eastAsia" w:ascii="宋体" w:hAnsi="宋体" w:eastAsia="宋体" w:cs="宋体"/>
                <w:color w:val="auto"/>
                <w:kern w:val="0"/>
                <w:sz w:val="20"/>
                <w:szCs w:val="20"/>
                <w:highlight w:val="none"/>
                <w:lang w:bidi="ar"/>
              </w:rPr>
            </w:pPr>
            <w:r>
              <w:rPr>
                <w:rFonts w:hint="eastAsia" w:ascii="宋体" w:hAnsi="宋体" w:eastAsia="宋体" w:cs="宋体"/>
                <w:color w:val="auto"/>
                <w:kern w:val="0"/>
                <w:sz w:val="20"/>
                <w:szCs w:val="20"/>
                <w:highlight w:val="none"/>
                <w:lang w:bidi="ar"/>
              </w:rPr>
              <w:t>5、支持WMV、RM、RMVB、MP4、3GP、 MTV, DAT, WMV, AMV, DMV, MOV、M4V、AVI、MKV、FLV、VOD、TS视频输入转码；</w:t>
            </w:r>
          </w:p>
          <w:p w14:paraId="4A784662">
            <w:pPr>
              <w:widowControl/>
              <w:shd w:val="clear" w:color="auto" w:fill="auto"/>
              <w:jc w:val="left"/>
              <w:textAlignment w:val="center"/>
              <w:rPr>
                <w:rFonts w:hint="eastAsia" w:ascii="宋体" w:hAnsi="宋体" w:eastAsia="宋体" w:cs="宋体"/>
                <w:color w:val="auto"/>
                <w:kern w:val="0"/>
                <w:sz w:val="20"/>
                <w:szCs w:val="20"/>
                <w:highlight w:val="none"/>
                <w:lang w:bidi="ar"/>
              </w:rPr>
            </w:pPr>
            <w:r>
              <w:rPr>
                <w:rFonts w:hint="eastAsia" w:ascii="宋体" w:hAnsi="宋体" w:eastAsia="宋体" w:cs="宋体"/>
                <w:color w:val="auto"/>
                <w:kern w:val="0"/>
                <w:sz w:val="20"/>
                <w:szCs w:val="20"/>
                <w:highlight w:val="none"/>
                <w:lang w:bidi="ar"/>
              </w:rPr>
              <w:t>6、系统安全，采用防注入、WAF软防火墙等多种安全措施（提供截图佐证）；</w:t>
            </w:r>
          </w:p>
          <w:p w14:paraId="64952345">
            <w:pPr>
              <w:widowControl/>
              <w:shd w:val="clear" w:color="auto" w:fill="auto"/>
              <w:jc w:val="left"/>
              <w:textAlignment w:val="center"/>
              <w:rPr>
                <w:rFonts w:hint="eastAsia" w:ascii="宋体" w:hAnsi="宋体" w:eastAsia="宋体" w:cs="宋体"/>
                <w:color w:val="auto"/>
                <w:kern w:val="0"/>
                <w:sz w:val="20"/>
                <w:szCs w:val="20"/>
                <w:highlight w:val="none"/>
                <w:lang w:bidi="ar"/>
              </w:rPr>
            </w:pPr>
            <w:r>
              <w:rPr>
                <w:rFonts w:hint="eastAsia" w:ascii="宋体" w:hAnsi="宋体" w:eastAsia="宋体" w:cs="宋体"/>
                <w:color w:val="auto"/>
                <w:kern w:val="0"/>
                <w:sz w:val="20"/>
                <w:szCs w:val="20"/>
                <w:highlight w:val="none"/>
                <w:lang w:bidi="ar"/>
              </w:rPr>
              <w:t>7、支持视频、音频、图片、文档、录播等媒资的管理；</w:t>
            </w:r>
          </w:p>
          <w:p w14:paraId="1EA82413">
            <w:pPr>
              <w:widowControl/>
              <w:shd w:val="clear" w:color="auto" w:fill="auto"/>
              <w:jc w:val="left"/>
              <w:textAlignment w:val="center"/>
              <w:rPr>
                <w:rFonts w:hint="eastAsia" w:ascii="宋体" w:hAnsi="宋体" w:eastAsia="宋体" w:cs="宋体"/>
                <w:snapToGrid w:val="0"/>
                <w:color w:val="auto"/>
                <w:kern w:val="0"/>
                <w:sz w:val="20"/>
                <w:szCs w:val="20"/>
                <w:highlight w:val="none"/>
                <w:lang w:val="en-US" w:eastAsia="zh-CN" w:bidi="ar"/>
              </w:rPr>
            </w:pPr>
            <w:r>
              <w:rPr>
                <w:rFonts w:hint="eastAsia" w:ascii="宋体" w:hAnsi="宋体" w:eastAsia="宋体" w:cs="宋体"/>
                <w:color w:val="auto"/>
                <w:kern w:val="0"/>
                <w:sz w:val="20"/>
                <w:szCs w:val="20"/>
                <w:highlight w:val="none"/>
                <w:lang w:bidi="ar"/>
              </w:rPr>
              <w:t>8、支持但是不限于基础统计,包含用户总数、视频总数、媒资总数，直播总数，观看总数，评论总数，观看总时长，网站访问总次数，网站访问总时长的统计；支持媒资统计，包含媒资数量曲线图，直播数据曲线图，视频媒资曲线图，文档媒资曲线图，文件媒资曲线图，图片媒资曲线图。</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282A89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2B2D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798708E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13</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06B672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智能管理软件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1496A16F">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1、非嵌入式软件，可运行于 Windows 平台上，使用 C++语言开发，应用于智能控制领域，具有菜单栏、快捷工具栏、配置、编程界面切换、建立工程文件、编程界面、上传等主要功能；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2、可以设置显示的工具栏、是否显示状态栏、软件外观、文字语言等功能；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3、可以进行新增控件、新增定时动作、新增自定义宏等操作；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4、可以对编辑好的工程进行编译、查看编译好的工程、打开上传工具等操作；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5、可以点击快捷工具栏的图标，切换配置或编程界面；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6、可以在工程建立后，进入设备配置界面，在控制设备列表将设备添加到新建工程；</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7、可以点击添加好的设备或端口，对名称、ID等属性进行修改；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8、可以具有定时功能、自定义宏，六键面板分组，互锁按钮组，互锁组，存储调用组，矩阵模块，拖拽矩阵模块，自定义LUA模块，联动分组功能，智能语音，运维条件组，适配器，HTTP，同步数据等功能模块；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9、可以选择端口、控件、变量等进行编辑，并添加到动作脚本区；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10、可以在完成工程的编辑后并保存，可以打开上传工具搜索、连接中控，上传编译好的工程文件；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11、软件对关键功能数据进行有效性校验，当运行发生错误时，有提示并且可以恢复正常；</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12、软件具有权限限制。</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23844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16F91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60993F2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57484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多模态矩阵管理软件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02CF0818">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1、支持通过键盘指令进行控制；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2、支持选择“COM”接口进行连接；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3、支持读取矩阵端口状态，并在状态窗口显示矩阵端口当前的状态。</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0107E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2151D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364DEB4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7A605E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大屏幕管理软件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689CD91F">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1、支持windows、Android操作系统；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2、集大屏控制、环境控制、内容控制、设备管理、坐席管理、智能运维功能为一体，统一门户入口；</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3、支持统一接入管理前端IPC、显控产品、中控主机、内容播控服务器、智能网关等设备；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4、支持智能运维功能，首页可统计展示当前显控设备、信号通道、播控主机的在离线状态，一图掌全局；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5、支持对接平台，支持从平台获取设备树和操作拉流上墙；</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6、可视化上墙显示，支持信号预监和屏墙回显功能，大屏控制所见即所得；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7、支持信号源拖动上墙、手势开窗、移动、滑动删除、双击全屏、双指缩放等手势操作；</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8、支持叠加字幕，设置属性包括：宽度、高度、字体颜色、背景颜色、字体类型、字体大小、排序方式、滚动方式、滚动速度；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 支持单屏内容场景修改保存，多屏场景保存、场景组合预案切换；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10、支持自定义上传底图，支持对上墙画面进行裁剪；</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11、支持鹰眼功能，可查看高分辨率的内容的局部细节；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12、支持上墙内容的展示细节放大，反向控制操作和信息输入；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13、支持大屏开关，可设置定时开关；</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14、支持前端IPC或者视频会议摄像机的云台控制，支持方向、变倍、聚焦、光圈调节；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15、支持实时上墙模式和场景预设模式。</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5E839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2C37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4870697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16</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719AF5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安全虚拟化软件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5E608D18">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每个CPU授权可开60点主机安全防护</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提供病毒实时防护、勒索防护、漏洞发现和修复、虚拟补丁漏洞防护、七层网络检测与防御、应用识别、微隔离策略推荐等安全能力。</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60BA16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2DE48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7322CD7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17</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3A2DF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数据保护软件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29732C5C">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1、默认包含20个虚拟机CDP授权；</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2、支持无代理CDP技术，不需要在虚拟机内部安装任何代理软件，即可对虚拟机进行持续数据保护，CDP不影响保护虚拟机的性能；</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3、支持策略管理，最小提供RPO为秒级的数据保护；</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4、支持业务虚拟机的快速恢复，可以指定策略覆盖原有虚拟机或者创建新虚拟机；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5、支持CDP备份任意时间点的数据克隆，通过克隆数据恢复虚拟机进行测试与验证；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6、支持通过CDP备份数据找回文件；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7、支持提供CDP备份时间点图形化显示，并显示CDP时间点IO日志保存速率；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8、支持CDP日志丢失后的备份恢复容错能力；</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9、支持CDP功能升级扩展为异地CDP容灾能力。</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0731A6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39DE2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87" w:type="dxa"/>
            <w:tcBorders>
              <w:top w:val="single" w:color="000000" w:sz="4" w:space="0"/>
              <w:left w:val="single" w:color="000000" w:sz="4" w:space="0"/>
              <w:bottom w:val="single" w:color="000000" w:sz="4" w:space="0"/>
              <w:right w:val="single" w:color="000000" w:sz="4" w:space="0"/>
            </w:tcBorders>
            <w:noWrap w:val="0"/>
            <w:vAlign w:val="center"/>
          </w:tcPr>
          <w:p w14:paraId="433F48C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18</w:t>
            </w:r>
          </w:p>
        </w:tc>
        <w:tc>
          <w:tcPr>
            <w:tcW w:w="1406" w:type="dxa"/>
            <w:tcBorders>
              <w:top w:val="single" w:color="000000" w:sz="4" w:space="0"/>
              <w:left w:val="single" w:color="000000" w:sz="4" w:space="0"/>
              <w:bottom w:val="single" w:color="000000" w:sz="4" w:space="0"/>
              <w:right w:val="single" w:color="000000" w:sz="4" w:space="0"/>
            </w:tcBorders>
            <w:noWrap w:val="0"/>
            <w:vAlign w:val="center"/>
          </w:tcPr>
          <w:p w14:paraId="0FA4EC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color w:val="auto"/>
                <w:kern w:val="0"/>
                <w:sz w:val="20"/>
                <w:szCs w:val="20"/>
                <w:highlight w:val="none"/>
                <w:lang w:bidi="ar"/>
              </w:rPr>
              <w:t>广播</w:t>
            </w:r>
            <w:r>
              <w:rPr>
                <w:rFonts w:hint="eastAsia" w:ascii="宋体" w:hAnsi="宋体" w:eastAsia="宋体" w:cs="宋体"/>
                <w:i w:val="0"/>
                <w:iCs w:val="0"/>
                <w:color w:val="000000"/>
                <w:kern w:val="0"/>
                <w:sz w:val="20"/>
                <w:szCs w:val="20"/>
                <w:u w:val="none"/>
                <w:lang w:val="en-US" w:eastAsia="zh-CN" w:bidi="ar"/>
              </w:rPr>
              <w:t>系统服务管理软件</w:t>
            </w:r>
          </w:p>
        </w:tc>
        <w:tc>
          <w:tcPr>
            <w:tcW w:w="6181" w:type="dxa"/>
            <w:tcBorders>
              <w:top w:val="single" w:color="000000" w:sz="4" w:space="0"/>
              <w:left w:val="single" w:color="000000" w:sz="4" w:space="0"/>
              <w:bottom w:val="single" w:color="000000" w:sz="4" w:space="0"/>
              <w:right w:val="single" w:color="000000" w:sz="4" w:space="0"/>
            </w:tcBorders>
            <w:noWrap w:val="0"/>
            <w:vAlign w:val="center"/>
          </w:tcPr>
          <w:p w14:paraId="5A90A6FF">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1、系统运行核心，支持B/S架构；</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2、支持多种操作系统，linux/Windows10/Server 2003/Server 2008/Server 2012；</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3、支撑系统内所有广播、对讲终端的运行，支持终端参数配置（终端名称、音量大小、权限设置、优先级设置），可实现定时打铃任务，业务讲话广播、背景音乐、电台转播和消防报警广播等；</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4、支持对所有终端进行分区管理以及权限设置；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5、支持全天无人值守工作，支持断电保护，支持设备上下线提醒；</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6、支持显示所有广播、对讲终端的工作状态，支持远程批量调节终端音量；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7、支持离线广播，终端可按预先设置的广播方案进行离线播放；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8、支持多种情况的呼叫转移，如占线、关机、无响应、人工等情况；</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9、支持前端设备录音，录音文件可导出；</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10、支持全系列日志查看，能够及时掌握系统运行状态；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11、支持增加/删除用户账户，并设定角色赋予功能或操作权限；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12、支持集群分布式服务器架构，可实现大规模扩容；</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13、支持提供SDK二次开发包与其它系统平台集成整合，第三方软件可直接控制对讲和广播，并接收终端当前状态；与监控系统配合，可由监控系统控制通话开关， 或通话时自动切换监控画面。</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14:paraId="02DC3B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bl>
    <w:p w14:paraId="460FC672">
      <w:pPr>
        <w:rPr>
          <w:rFonts w:hint="eastAsia" w:ascii="宋体" w:hAnsi="宋体" w:eastAsia="宋体" w:cs="宋体"/>
          <w:color w:val="auto"/>
          <w:spacing w:val="0"/>
          <w:w w:val="100"/>
          <w:position w:val="0"/>
          <w:sz w:val="44"/>
          <w:szCs w:val="44"/>
          <w:lang w:eastAsia="zh-CN"/>
        </w:rPr>
      </w:pPr>
    </w:p>
    <w:p w14:paraId="28194F63">
      <w:pPr>
        <w:keepNext w:val="0"/>
        <w:keepLines w:val="0"/>
        <w:pageBreakBefore w:val="0"/>
        <w:widowControl w:val="0"/>
        <w:kinsoku w:val="0"/>
        <w:wordWrap/>
        <w:overflowPunct/>
        <w:topLinePunct w:val="0"/>
        <w:autoSpaceDE w:val="0"/>
        <w:autoSpaceDN w:val="0"/>
        <w:bidi w:val="0"/>
        <w:adjustRightInd w:val="0"/>
        <w:snapToGrid w:val="0"/>
        <w:spacing w:line="560" w:lineRule="exact"/>
        <w:rPr>
          <w:rFonts w:hint="eastAsia" w:ascii="宋体" w:hAnsi="宋体" w:eastAsia="宋体" w:cs="宋体"/>
          <w:color w:val="auto"/>
          <w:spacing w:val="0"/>
          <w:position w:val="0"/>
          <w:sz w:val="24"/>
          <w:szCs w:val="24"/>
        </w:rPr>
      </w:pPr>
    </w:p>
    <w:p w14:paraId="659E7B07">
      <w:pPr>
        <w:pageBreakBefore w:val="0"/>
        <w:widowControl w:val="0"/>
        <w:wordWrap/>
        <w:overflowPunct/>
        <w:topLinePunct w:val="0"/>
        <w:bidi w:val="0"/>
        <w:rPr>
          <w:vanish/>
          <w:color w:val="auto"/>
          <w:spacing w:val="0"/>
          <w:position w:val="0"/>
          <w:sz w:val="21"/>
          <w:lang w:eastAsia="zh-CN"/>
        </w:rPr>
      </w:pPr>
      <w:bookmarkStart w:id="12" w:name="_GoBack"/>
      <w:bookmarkEnd w:id="12"/>
    </w:p>
    <w:sectPr>
      <w:footerReference r:id="rId3" w:type="default"/>
      <w:pgSz w:w="11906" w:h="16839"/>
      <w:pgMar w:top="1009" w:right="1310" w:bottom="1043"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F21E7C1-F367-4583-A6A9-C12714992807}"/>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汉仪青云简">
    <w:panose1 w:val="00020600040101010101"/>
    <w:charset w:val="86"/>
    <w:family w:val="auto"/>
    <w:pitch w:val="default"/>
    <w:sig w:usb0="8000001F" w:usb1="1A0F781A" w:usb2="00000016" w:usb3="00000000" w:csb0="0004009F" w:csb1="DFD70000"/>
  </w:font>
  <w:font w:name="Wingdings 2">
    <w:panose1 w:val="05020102010507070707"/>
    <w:charset w:val="00"/>
    <w:family w:val="auto"/>
    <w:pitch w:val="default"/>
    <w:sig w:usb0="00000000" w:usb1="00000000" w:usb2="00000000" w:usb3="00000000" w:csb0="80000000" w:csb1="00000000"/>
  </w:font>
  <w:font w:name="方正小标宋简体">
    <w:panose1 w:val="02000000000000000000"/>
    <w:charset w:val="86"/>
    <w:family w:val="auto"/>
    <w:pitch w:val="default"/>
    <w:sig w:usb0="00000001" w:usb1="08000000" w:usb2="00000000" w:usb3="00000000" w:csb0="00040000"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9CAE2">
    <w:pPr>
      <w:pStyle w:val="11"/>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62BFDB">
                          <w:pPr>
                            <w:pStyle w:val="11"/>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U5IgxAgAAZQ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6VOSIMQIAAGUEAAAOAAAAAAAAAAEAIAAAAB8BAABkcnMvZTJvRG9jLnhtbFBLBQYA&#10;AAAABgAGAFkBAADCBQAAAAA=&#10;">
              <v:fill on="f" focussize="0,0"/>
              <v:stroke on="f" weight="0.5pt"/>
              <v:imagedata o:title=""/>
              <o:lock v:ext="edit" aspectratio="f"/>
              <v:textbox inset="0mm,0mm,0mm,0mm" style="mso-fit-shape-to-text:t;">
                <w:txbxContent>
                  <w:p w14:paraId="5962BFDB">
                    <w:pPr>
                      <w:pStyle w:val="11"/>
                    </w:pPr>
                    <w:r>
                      <w:fldChar w:fldCharType="begin"/>
                    </w:r>
                    <w:r>
                      <w:instrText xml:space="preserve"> PAGE  \* MERGEFORMAT </w:instrText>
                    </w:r>
                    <w:r>
                      <w:fldChar w:fldCharType="separate"/>
                    </w:r>
                    <w:r>
                      <w:t>57</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247343"/>
    <w:rsid w:val="006308AB"/>
    <w:rsid w:val="00847DE1"/>
    <w:rsid w:val="009A3586"/>
    <w:rsid w:val="00CD47AB"/>
    <w:rsid w:val="00D6521D"/>
    <w:rsid w:val="00E80370"/>
    <w:rsid w:val="00F72BE7"/>
    <w:rsid w:val="014546DD"/>
    <w:rsid w:val="014707D5"/>
    <w:rsid w:val="0183453D"/>
    <w:rsid w:val="01A9154F"/>
    <w:rsid w:val="01C17C92"/>
    <w:rsid w:val="01F176F8"/>
    <w:rsid w:val="02073E67"/>
    <w:rsid w:val="02D011F1"/>
    <w:rsid w:val="02E64D83"/>
    <w:rsid w:val="02F62DEB"/>
    <w:rsid w:val="032C1B81"/>
    <w:rsid w:val="0336275A"/>
    <w:rsid w:val="03A14F29"/>
    <w:rsid w:val="03C903E6"/>
    <w:rsid w:val="04352637"/>
    <w:rsid w:val="044D1E30"/>
    <w:rsid w:val="0451447E"/>
    <w:rsid w:val="04A31F0A"/>
    <w:rsid w:val="04F64D19"/>
    <w:rsid w:val="05045C3C"/>
    <w:rsid w:val="052B325D"/>
    <w:rsid w:val="05447ECE"/>
    <w:rsid w:val="054933A7"/>
    <w:rsid w:val="05AB0237"/>
    <w:rsid w:val="05B774CD"/>
    <w:rsid w:val="05CC7E39"/>
    <w:rsid w:val="05F07017"/>
    <w:rsid w:val="062D088E"/>
    <w:rsid w:val="06E94E42"/>
    <w:rsid w:val="075067E0"/>
    <w:rsid w:val="075134A1"/>
    <w:rsid w:val="07B94814"/>
    <w:rsid w:val="07EE250C"/>
    <w:rsid w:val="081F5E69"/>
    <w:rsid w:val="08585DDB"/>
    <w:rsid w:val="08D800EA"/>
    <w:rsid w:val="08F4242E"/>
    <w:rsid w:val="093D11EF"/>
    <w:rsid w:val="098C4275"/>
    <w:rsid w:val="099C3EDE"/>
    <w:rsid w:val="0A2C4173"/>
    <w:rsid w:val="0A575D9F"/>
    <w:rsid w:val="0A5F7AD5"/>
    <w:rsid w:val="0A630BD7"/>
    <w:rsid w:val="0A6779EA"/>
    <w:rsid w:val="0A800B40"/>
    <w:rsid w:val="0AAA50E9"/>
    <w:rsid w:val="0AAF351F"/>
    <w:rsid w:val="0ABB6AF5"/>
    <w:rsid w:val="0AE1087B"/>
    <w:rsid w:val="0B185698"/>
    <w:rsid w:val="0B500317"/>
    <w:rsid w:val="0B6E1EE8"/>
    <w:rsid w:val="0B9C2CEA"/>
    <w:rsid w:val="0BA5688F"/>
    <w:rsid w:val="0BB9031B"/>
    <w:rsid w:val="0BCE5A19"/>
    <w:rsid w:val="0BD25EA5"/>
    <w:rsid w:val="0C027923"/>
    <w:rsid w:val="0C832B66"/>
    <w:rsid w:val="0CA5180B"/>
    <w:rsid w:val="0D3F1705"/>
    <w:rsid w:val="0D7B409F"/>
    <w:rsid w:val="0DB63714"/>
    <w:rsid w:val="0DBF7C0D"/>
    <w:rsid w:val="0DCA3406"/>
    <w:rsid w:val="0DD809E2"/>
    <w:rsid w:val="0E045967"/>
    <w:rsid w:val="0E0E108A"/>
    <w:rsid w:val="0E306947"/>
    <w:rsid w:val="0E3746E5"/>
    <w:rsid w:val="0F8346BB"/>
    <w:rsid w:val="0FAD17DF"/>
    <w:rsid w:val="107F306E"/>
    <w:rsid w:val="10D31145"/>
    <w:rsid w:val="10FD2C02"/>
    <w:rsid w:val="110272DF"/>
    <w:rsid w:val="114948FA"/>
    <w:rsid w:val="116457F1"/>
    <w:rsid w:val="11AF263B"/>
    <w:rsid w:val="12653C2C"/>
    <w:rsid w:val="126757A9"/>
    <w:rsid w:val="129C0FBA"/>
    <w:rsid w:val="12EA54DC"/>
    <w:rsid w:val="139D0552"/>
    <w:rsid w:val="13D54C91"/>
    <w:rsid w:val="14290F74"/>
    <w:rsid w:val="143E0B0F"/>
    <w:rsid w:val="1538599A"/>
    <w:rsid w:val="158B0678"/>
    <w:rsid w:val="15E248D7"/>
    <w:rsid w:val="15E25A94"/>
    <w:rsid w:val="16555BCF"/>
    <w:rsid w:val="16991702"/>
    <w:rsid w:val="16A356CC"/>
    <w:rsid w:val="173418E5"/>
    <w:rsid w:val="17342109"/>
    <w:rsid w:val="173B5246"/>
    <w:rsid w:val="179F0C8E"/>
    <w:rsid w:val="17D60801"/>
    <w:rsid w:val="182E6B2B"/>
    <w:rsid w:val="186009B5"/>
    <w:rsid w:val="18846779"/>
    <w:rsid w:val="18C97898"/>
    <w:rsid w:val="18E84F59"/>
    <w:rsid w:val="18F643B3"/>
    <w:rsid w:val="18F96020"/>
    <w:rsid w:val="19241D0A"/>
    <w:rsid w:val="193E2DCB"/>
    <w:rsid w:val="196206F1"/>
    <w:rsid w:val="19B60034"/>
    <w:rsid w:val="19F33BB6"/>
    <w:rsid w:val="1A071B72"/>
    <w:rsid w:val="1A0F5E90"/>
    <w:rsid w:val="1A4C3396"/>
    <w:rsid w:val="1AC905BF"/>
    <w:rsid w:val="1AF44F33"/>
    <w:rsid w:val="1B4548E5"/>
    <w:rsid w:val="1B965141"/>
    <w:rsid w:val="1BCF2401"/>
    <w:rsid w:val="1C9E6BD6"/>
    <w:rsid w:val="1CCC6940"/>
    <w:rsid w:val="1CD001DE"/>
    <w:rsid w:val="1D085BCA"/>
    <w:rsid w:val="1D74500E"/>
    <w:rsid w:val="1D7539C6"/>
    <w:rsid w:val="1E7B23CC"/>
    <w:rsid w:val="1ED1023E"/>
    <w:rsid w:val="1ED84340"/>
    <w:rsid w:val="1F1B6FE3"/>
    <w:rsid w:val="1F6B239A"/>
    <w:rsid w:val="1F7E7FC4"/>
    <w:rsid w:val="1FAB6CE1"/>
    <w:rsid w:val="1FAD2A59"/>
    <w:rsid w:val="20851D82"/>
    <w:rsid w:val="209A6EE6"/>
    <w:rsid w:val="20A8088C"/>
    <w:rsid w:val="20E40660"/>
    <w:rsid w:val="21097A35"/>
    <w:rsid w:val="213A566A"/>
    <w:rsid w:val="22072FB3"/>
    <w:rsid w:val="22256EC5"/>
    <w:rsid w:val="22791318"/>
    <w:rsid w:val="22C83AD9"/>
    <w:rsid w:val="22FD3CF7"/>
    <w:rsid w:val="23056708"/>
    <w:rsid w:val="23274F5A"/>
    <w:rsid w:val="23746473"/>
    <w:rsid w:val="23A635FF"/>
    <w:rsid w:val="23B337F3"/>
    <w:rsid w:val="23C04A55"/>
    <w:rsid w:val="23C06F33"/>
    <w:rsid w:val="24565806"/>
    <w:rsid w:val="24BE361B"/>
    <w:rsid w:val="25823163"/>
    <w:rsid w:val="25E2090D"/>
    <w:rsid w:val="25E5790C"/>
    <w:rsid w:val="25F37706"/>
    <w:rsid w:val="268838E2"/>
    <w:rsid w:val="26DA723D"/>
    <w:rsid w:val="26F15921"/>
    <w:rsid w:val="27457A1B"/>
    <w:rsid w:val="27711B25"/>
    <w:rsid w:val="279C2686"/>
    <w:rsid w:val="27ED701E"/>
    <w:rsid w:val="27EF1D1C"/>
    <w:rsid w:val="27FF2A7A"/>
    <w:rsid w:val="280660E7"/>
    <w:rsid w:val="28702875"/>
    <w:rsid w:val="28BC726A"/>
    <w:rsid w:val="291013D4"/>
    <w:rsid w:val="29D87370"/>
    <w:rsid w:val="2A46584F"/>
    <w:rsid w:val="2AC1385C"/>
    <w:rsid w:val="2AC967C3"/>
    <w:rsid w:val="2ADF205D"/>
    <w:rsid w:val="2B064FB4"/>
    <w:rsid w:val="2B3B06C4"/>
    <w:rsid w:val="2BDA2720"/>
    <w:rsid w:val="2BDB047B"/>
    <w:rsid w:val="2BE93C1A"/>
    <w:rsid w:val="2C3B7D1E"/>
    <w:rsid w:val="2C695F59"/>
    <w:rsid w:val="2C7A0E10"/>
    <w:rsid w:val="2C9C00DD"/>
    <w:rsid w:val="2CA90A4C"/>
    <w:rsid w:val="2CE00DF7"/>
    <w:rsid w:val="2CF55C1F"/>
    <w:rsid w:val="2D4B565F"/>
    <w:rsid w:val="2D665E74"/>
    <w:rsid w:val="2D99286E"/>
    <w:rsid w:val="2DAA05D8"/>
    <w:rsid w:val="2DB52697"/>
    <w:rsid w:val="2DF41412"/>
    <w:rsid w:val="2E234DC0"/>
    <w:rsid w:val="2E575FCC"/>
    <w:rsid w:val="2E6611AB"/>
    <w:rsid w:val="2E693B84"/>
    <w:rsid w:val="2EB108A7"/>
    <w:rsid w:val="2F483F47"/>
    <w:rsid w:val="2F7866FD"/>
    <w:rsid w:val="2F912348"/>
    <w:rsid w:val="2FB63E0A"/>
    <w:rsid w:val="2FC17E5A"/>
    <w:rsid w:val="30481513"/>
    <w:rsid w:val="305E1890"/>
    <w:rsid w:val="307956ED"/>
    <w:rsid w:val="30A610B9"/>
    <w:rsid w:val="30AE6631"/>
    <w:rsid w:val="312A215B"/>
    <w:rsid w:val="31526CE7"/>
    <w:rsid w:val="318178A1"/>
    <w:rsid w:val="319C0B7F"/>
    <w:rsid w:val="31C55E0D"/>
    <w:rsid w:val="31FC3DDC"/>
    <w:rsid w:val="31FE5396"/>
    <w:rsid w:val="329A3D4F"/>
    <w:rsid w:val="32BE2A91"/>
    <w:rsid w:val="32F3467E"/>
    <w:rsid w:val="33136C1F"/>
    <w:rsid w:val="335214F5"/>
    <w:rsid w:val="33F26834"/>
    <w:rsid w:val="34205B4A"/>
    <w:rsid w:val="342F5CDB"/>
    <w:rsid w:val="34325184"/>
    <w:rsid w:val="34B601B7"/>
    <w:rsid w:val="350C6E7D"/>
    <w:rsid w:val="35A969B2"/>
    <w:rsid w:val="35D71462"/>
    <w:rsid w:val="36597105"/>
    <w:rsid w:val="36F17277"/>
    <w:rsid w:val="377D6D5D"/>
    <w:rsid w:val="37CF537F"/>
    <w:rsid w:val="37CF65F0"/>
    <w:rsid w:val="37F963E3"/>
    <w:rsid w:val="39D30F8F"/>
    <w:rsid w:val="39D96E5F"/>
    <w:rsid w:val="3A3C3FDD"/>
    <w:rsid w:val="3A6B125E"/>
    <w:rsid w:val="3AD00B10"/>
    <w:rsid w:val="3B0752BB"/>
    <w:rsid w:val="3B163B4E"/>
    <w:rsid w:val="3B2319C9"/>
    <w:rsid w:val="3B7E51F7"/>
    <w:rsid w:val="3B8811A4"/>
    <w:rsid w:val="3BAC10D3"/>
    <w:rsid w:val="3BB968F3"/>
    <w:rsid w:val="3C0F220A"/>
    <w:rsid w:val="3C1C6307"/>
    <w:rsid w:val="3C504A40"/>
    <w:rsid w:val="3CB902E7"/>
    <w:rsid w:val="3D0165AF"/>
    <w:rsid w:val="3D36354C"/>
    <w:rsid w:val="3D74475E"/>
    <w:rsid w:val="3D7F2D19"/>
    <w:rsid w:val="3D881B77"/>
    <w:rsid w:val="3DBB413B"/>
    <w:rsid w:val="3DC93A44"/>
    <w:rsid w:val="3E1F3CAD"/>
    <w:rsid w:val="3E292C29"/>
    <w:rsid w:val="3E4141B1"/>
    <w:rsid w:val="3E6C06B0"/>
    <w:rsid w:val="3E78615B"/>
    <w:rsid w:val="3E7C1411"/>
    <w:rsid w:val="3E7E5894"/>
    <w:rsid w:val="3E8E35FE"/>
    <w:rsid w:val="3F07755C"/>
    <w:rsid w:val="3F19434D"/>
    <w:rsid w:val="3F3D2CE8"/>
    <w:rsid w:val="3F650EDC"/>
    <w:rsid w:val="3F984C13"/>
    <w:rsid w:val="3FE1257F"/>
    <w:rsid w:val="403F2E01"/>
    <w:rsid w:val="40583C67"/>
    <w:rsid w:val="407231D7"/>
    <w:rsid w:val="41082FF8"/>
    <w:rsid w:val="41465248"/>
    <w:rsid w:val="41984EBF"/>
    <w:rsid w:val="425E679A"/>
    <w:rsid w:val="42B20B36"/>
    <w:rsid w:val="42FB66C8"/>
    <w:rsid w:val="43192944"/>
    <w:rsid w:val="43394480"/>
    <w:rsid w:val="43865CFC"/>
    <w:rsid w:val="446B4509"/>
    <w:rsid w:val="448B4C1F"/>
    <w:rsid w:val="44B21E06"/>
    <w:rsid w:val="44BA7230"/>
    <w:rsid w:val="44CE27B1"/>
    <w:rsid w:val="44DE0126"/>
    <w:rsid w:val="453A628D"/>
    <w:rsid w:val="45402EBF"/>
    <w:rsid w:val="454B2248"/>
    <w:rsid w:val="45B61DB8"/>
    <w:rsid w:val="45D70058"/>
    <w:rsid w:val="45EE0F95"/>
    <w:rsid w:val="45F42F70"/>
    <w:rsid w:val="45F85626"/>
    <w:rsid w:val="4692195B"/>
    <w:rsid w:val="46E60E0B"/>
    <w:rsid w:val="46FA073D"/>
    <w:rsid w:val="470E15D4"/>
    <w:rsid w:val="47234C6F"/>
    <w:rsid w:val="474D04FA"/>
    <w:rsid w:val="47906273"/>
    <w:rsid w:val="47E36768"/>
    <w:rsid w:val="48643D4D"/>
    <w:rsid w:val="487D7E3E"/>
    <w:rsid w:val="488533D9"/>
    <w:rsid w:val="48967192"/>
    <w:rsid w:val="48BD520B"/>
    <w:rsid w:val="492265CB"/>
    <w:rsid w:val="49291D26"/>
    <w:rsid w:val="4949445D"/>
    <w:rsid w:val="49B51BAE"/>
    <w:rsid w:val="49B614F4"/>
    <w:rsid w:val="4A2268D5"/>
    <w:rsid w:val="4A442B3D"/>
    <w:rsid w:val="4A5E47CC"/>
    <w:rsid w:val="4A882A4B"/>
    <w:rsid w:val="4A884CC6"/>
    <w:rsid w:val="4AA55BC3"/>
    <w:rsid w:val="4ABC7D85"/>
    <w:rsid w:val="4AEC6877"/>
    <w:rsid w:val="4B83595C"/>
    <w:rsid w:val="4B8D5369"/>
    <w:rsid w:val="4C0F5D7E"/>
    <w:rsid w:val="4C5F6C0B"/>
    <w:rsid w:val="4CEC044C"/>
    <w:rsid w:val="4D07114B"/>
    <w:rsid w:val="4D621716"/>
    <w:rsid w:val="4D954046"/>
    <w:rsid w:val="4DFF3E40"/>
    <w:rsid w:val="4E060F58"/>
    <w:rsid w:val="4E202AF3"/>
    <w:rsid w:val="4E9D2106"/>
    <w:rsid w:val="4F203B82"/>
    <w:rsid w:val="4F282F37"/>
    <w:rsid w:val="4FAA2095"/>
    <w:rsid w:val="4FB04984"/>
    <w:rsid w:val="4FC72EBA"/>
    <w:rsid w:val="4FEE57DE"/>
    <w:rsid w:val="4FF52C71"/>
    <w:rsid w:val="503A7A08"/>
    <w:rsid w:val="5055041F"/>
    <w:rsid w:val="506C7D14"/>
    <w:rsid w:val="509E3ED1"/>
    <w:rsid w:val="50EC48E0"/>
    <w:rsid w:val="514E559A"/>
    <w:rsid w:val="515661D0"/>
    <w:rsid w:val="51C63383"/>
    <w:rsid w:val="51E92988"/>
    <w:rsid w:val="528312E8"/>
    <w:rsid w:val="52B50FFA"/>
    <w:rsid w:val="52C34CFF"/>
    <w:rsid w:val="52D23FA9"/>
    <w:rsid w:val="52E468A6"/>
    <w:rsid w:val="52E8669F"/>
    <w:rsid w:val="530F22F4"/>
    <w:rsid w:val="531F42E7"/>
    <w:rsid w:val="53AA5D25"/>
    <w:rsid w:val="53D6797D"/>
    <w:rsid w:val="541D1254"/>
    <w:rsid w:val="544A6647"/>
    <w:rsid w:val="54660E4D"/>
    <w:rsid w:val="54815451"/>
    <w:rsid w:val="54824C71"/>
    <w:rsid w:val="54BC690A"/>
    <w:rsid w:val="54FD5330"/>
    <w:rsid w:val="55132EB9"/>
    <w:rsid w:val="55E101CF"/>
    <w:rsid w:val="566B62A7"/>
    <w:rsid w:val="567244B1"/>
    <w:rsid w:val="5698153C"/>
    <w:rsid w:val="56AD697C"/>
    <w:rsid w:val="56B8447F"/>
    <w:rsid w:val="56CE0C2A"/>
    <w:rsid w:val="56E5591B"/>
    <w:rsid w:val="56E73AEE"/>
    <w:rsid w:val="575B547C"/>
    <w:rsid w:val="57631674"/>
    <w:rsid w:val="57A500D0"/>
    <w:rsid w:val="57C351F2"/>
    <w:rsid w:val="57D37FDB"/>
    <w:rsid w:val="580F71F2"/>
    <w:rsid w:val="58234D9B"/>
    <w:rsid w:val="58532224"/>
    <w:rsid w:val="586903C5"/>
    <w:rsid w:val="5927475D"/>
    <w:rsid w:val="593212FE"/>
    <w:rsid w:val="59590F80"/>
    <w:rsid w:val="59A909E1"/>
    <w:rsid w:val="59BC7C61"/>
    <w:rsid w:val="59C3464B"/>
    <w:rsid w:val="59DE2BBE"/>
    <w:rsid w:val="5A410A6F"/>
    <w:rsid w:val="5A9655C2"/>
    <w:rsid w:val="5ADC5A6C"/>
    <w:rsid w:val="5B9462A0"/>
    <w:rsid w:val="5B9D00F7"/>
    <w:rsid w:val="5BB75AA0"/>
    <w:rsid w:val="5C65447A"/>
    <w:rsid w:val="5CC62662"/>
    <w:rsid w:val="5CE05C01"/>
    <w:rsid w:val="5D406189"/>
    <w:rsid w:val="5D6879E4"/>
    <w:rsid w:val="5DD20F4D"/>
    <w:rsid w:val="5E171218"/>
    <w:rsid w:val="5E830269"/>
    <w:rsid w:val="5EEC5CA6"/>
    <w:rsid w:val="5F096FA4"/>
    <w:rsid w:val="5F8B5C0B"/>
    <w:rsid w:val="5FE055B8"/>
    <w:rsid w:val="608F7035"/>
    <w:rsid w:val="60E02D11"/>
    <w:rsid w:val="60E92BEA"/>
    <w:rsid w:val="611C2FBF"/>
    <w:rsid w:val="613D03AF"/>
    <w:rsid w:val="61DD642F"/>
    <w:rsid w:val="622149A9"/>
    <w:rsid w:val="62840C9B"/>
    <w:rsid w:val="62932D27"/>
    <w:rsid w:val="62E53885"/>
    <w:rsid w:val="6329237C"/>
    <w:rsid w:val="63753EA0"/>
    <w:rsid w:val="63923347"/>
    <w:rsid w:val="63A60D41"/>
    <w:rsid w:val="63C45248"/>
    <w:rsid w:val="63C6035F"/>
    <w:rsid w:val="64045B99"/>
    <w:rsid w:val="649A1D1D"/>
    <w:rsid w:val="64B20D48"/>
    <w:rsid w:val="64BC23C3"/>
    <w:rsid w:val="64C2203D"/>
    <w:rsid w:val="64CF0348"/>
    <w:rsid w:val="64E04304"/>
    <w:rsid w:val="659B022A"/>
    <w:rsid w:val="659B691E"/>
    <w:rsid w:val="65D242C5"/>
    <w:rsid w:val="65F10142"/>
    <w:rsid w:val="66124991"/>
    <w:rsid w:val="66391FE9"/>
    <w:rsid w:val="66487257"/>
    <w:rsid w:val="674D0302"/>
    <w:rsid w:val="67D2438B"/>
    <w:rsid w:val="68407331"/>
    <w:rsid w:val="68B46274"/>
    <w:rsid w:val="68D47A7B"/>
    <w:rsid w:val="68DF193E"/>
    <w:rsid w:val="68E84E3F"/>
    <w:rsid w:val="691B0A9F"/>
    <w:rsid w:val="69455133"/>
    <w:rsid w:val="697649DB"/>
    <w:rsid w:val="69CE10E5"/>
    <w:rsid w:val="6A044377"/>
    <w:rsid w:val="6A1F767C"/>
    <w:rsid w:val="6A701523"/>
    <w:rsid w:val="6B164DCC"/>
    <w:rsid w:val="6B2D62D6"/>
    <w:rsid w:val="6BC22AA0"/>
    <w:rsid w:val="6BDD42B9"/>
    <w:rsid w:val="6BDF1C87"/>
    <w:rsid w:val="6C085287"/>
    <w:rsid w:val="6C401523"/>
    <w:rsid w:val="6C545490"/>
    <w:rsid w:val="6CD00EA6"/>
    <w:rsid w:val="6CE6131C"/>
    <w:rsid w:val="6D313420"/>
    <w:rsid w:val="6D8D0DA1"/>
    <w:rsid w:val="6DDD5A51"/>
    <w:rsid w:val="6DE51FC5"/>
    <w:rsid w:val="6E3C32A1"/>
    <w:rsid w:val="6EA15698"/>
    <w:rsid w:val="6EA231BA"/>
    <w:rsid w:val="6EFF4D4C"/>
    <w:rsid w:val="6F0A08FB"/>
    <w:rsid w:val="6F5568C5"/>
    <w:rsid w:val="6F7E0AE1"/>
    <w:rsid w:val="6F917034"/>
    <w:rsid w:val="6FA523D2"/>
    <w:rsid w:val="6FB1521A"/>
    <w:rsid w:val="6FCF7E4E"/>
    <w:rsid w:val="700F4262"/>
    <w:rsid w:val="701045B5"/>
    <w:rsid w:val="703D37EB"/>
    <w:rsid w:val="706F478E"/>
    <w:rsid w:val="70874686"/>
    <w:rsid w:val="70D13AF1"/>
    <w:rsid w:val="712D6B22"/>
    <w:rsid w:val="715B4B81"/>
    <w:rsid w:val="727E31D8"/>
    <w:rsid w:val="72851CAC"/>
    <w:rsid w:val="72A41B58"/>
    <w:rsid w:val="7301390F"/>
    <w:rsid w:val="73335AB7"/>
    <w:rsid w:val="739F35DC"/>
    <w:rsid w:val="73B07EB2"/>
    <w:rsid w:val="73CF1BB8"/>
    <w:rsid w:val="73ED585D"/>
    <w:rsid w:val="73F21E51"/>
    <w:rsid w:val="741E6BF6"/>
    <w:rsid w:val="742C2613"/>
    <w:rsid w:val="747405C4"/>
    <w:rsid w:val="74885165"/>
    <w:rsid w:val="74A715D2"/>
    <w:rsid w:val="75084176"/>
    <w:rsid w:val="757A7E5C"/>
    <w:rsid w:val="761E0576"/>
    <w:rsid w:val="768C7E47"/>
    <w:rsid w:val="76D56593"/>
    <w:rsid w:val="77630FAB"/>
    <w:rsid w:val="776A2771"/>
    <w:rsid w:val="77B41C25"/>
    <w:rsid w:val="78463DBE"/>
    <w:rsid w:val="792F71B0"/>
    <w:rsid w:val="79475EB1"/>
    <w:rsid w:val="798756C5"/>
    <w:rsid w:val="7A257CBD"/>
    <w:rsid w:val="7B294B89"/>
    <w:rsid w:val="7B4B6523"/>
    <w:rsid w:val="7BD07335"/>
    <w:rsid w:val="7BD227A0"/>
    <w:rsid w:val="7C2D5E41"/>
    <w:rsid w:val="7CA010C3"/>
    <w:rsid w:val="7CAD6847"/>
    <w:rsid w:val="7CCE6A29"/>
    <w:rsid w:val="7CF33270"/>
    <w:rsid w:val="7D02603F"/>
    <w:rsid w:val="7D2C2B03"/>
    <w:rsid w:val="7D4A280A"/>
    <w:rsid w:val="7DB0228A"/>
    <w:rsid w:val="7DBB54B6"/>
    <w:rsid w:val="7DFC0E94"/>
    <w:rsid w:val="7E146C66"/>
    <w:rsid w:val="7E9C0E44"/>
    <w:rsid w:val="7F051133"/>
    <w:rsid w:val="7F150C8C"/>
    <w:rsid w:val="7F5A7CF2"/>
    <w:rsid w:val="7F610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28"/>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1"/>
    <w:pPr>
      <w:spacing w:line="307" w:lineRule="exact"/>
      <w:ind w:left="97"/>
      <w:jc w:val="center"/>
    </w:pPr>
    <w:rPr>
      <w:rFonts w:ascii="Microsoft JhengHei" w:hAnsi="Microsoft JhengHei" w:eastAsia="Microsoft JhengHei" w:cs="Microsoft JhengHei"/>
      <w:b/>
      <w:bCs/>
      <w:szCs w:val="21"/>
      <w:lang w:val="zh-CN" w:bidi="zh-CN"/>
    </w:rPr>
  </w:style>
  <w:style w:type="paragraph" w:styleId="6">
    <w:name w:val="annotation text"/>
    <w:basedOn w:val="1"/>
    <w:qFormat/>
    <w:uiPriority w:val="0"/>
    <w:pPr>
      <w:jc w:val="left"/>
    </w:pPr>
  </w:style>
  <w:style w:type="paragraph" w:styleId="7">
    <w:name w:val="Body Text"/>
    <w:basedOn w:val="1"/>
    <w:next w:val="8"/>
    <w:semiHidden/>
    <w:qFormat/>
    <w:uiPriority w:val="0"/>
    <w:rPr>
      <w:rFonts w:ascii="仿宋" w:hAnsi="仿宋" w:eastAsia="仿宋" w:cs="仿宋"/>
      <w:sz w:val="30"/>
      <w:szCs w:val="30"/>
    </w:rPr>
  </w:style>
  <w:style w:type="paragraph" w:styleId="8">
    <w:name w:val="Body Text First Indent"/>
    <w:basedOn w:val="7"/>
    <w:qFormat/>
    <w:uiPriority w:val="0"/>
    <w:pPr>
      <w:ind w:firstLine="420" w:firstLineChars="100"/>
    </w:pPr>
  </w:style>
  <w:style w:type="paragraph" w:styleId="9">
    <w:name w:val="Body Text Indent"/>
    <w:basedOn w:val="1"/>
    <w:unhideWhenUsed/>
    <w:qFormat/>
    <w:uiPriority w:val="99"/>
    <w:pPr>
      <w:spacing w:after="120"/>
      <w:ind w:left="420" w:leftChars="200"/>
    </w:pPr>
    <w:rPr>
      <w:rFonts w:eastAsia="微软雅黑"/>
      <w:kern w:val="0"/>
      <w:sz w:val="24"/>
      <w:szCs w:val="20"/>
    </w:rPr>
  </w:style>
  <w:style w:type="paragraph" w:styleId="10">
    <w:name w:val="Plain Text"/>
    <w:basedOn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rPr>
      <w:b/>
    </w:rPr>
  </w:style>
  <w:style w:type="character" w:styleId="19">
    <w:name w:val="Emphasis"/>
    <w:qFormat/>
    <w:uiPriority w:val="0"/>
  </w:style>
  <w:style w:type="character" w:styleId="20">
    <w:name w:val="Hyperlink"/>
    <w:basedOn w:val="17"/>
    <w:qFormat/>
    <w:uiPriority w:val="0"/>
    <w:rPr>
      <w:color w:val="0000FF"/>
      <w:u w:val="single"/>
    </w:rPr>
  </w:style>
  <w:style w:type="character" w:styleId="21">
    <w:name w:val="annotation reference"/>
    <w:unhideWhenUsed/>
    <w:qFormat/>
    <w:uiPriority w:val="0"/>
    <w:rPr>
      <w:sz w:val="21"/>
      <w:szCs w:val="21"/>
    </w:rPr>
  </w:style>
  <w:style w:type="paragraph" w:customStyle="1" w:styleId="22">
    <w:name w:val="Normal Indent"/>
    <w:basedOn w:val="1"/>
    <w:qFormat/>
    <w:uiPriority w:val="0"/>
    <w:pPr>
      <w:widowControl/>
      <w:ind w:firstLine="420" w:firstLineChars="200"/>
    </w:pPr>
  </w:style>
  <w:style w:type="table" w:customStyle="1" w:styleId="23">
    <w:name w:val="Table Normal"/>
    <w:semiHidden/>
    <w:unhideWhenUsed/>
    <w:qFormat/>
    <w:uiPriority w:val="0"/>
    <w:tblPr>
      <w:tblCellMar>
        <w:top w:w="0" w:type="dxa"/>
        <w:left w:w="0" w:type="dxa"/>
        <w:bottom w:w="0" w:type="dxa"/>
        <w:right w:w="0" w:type="dxa"/>
      </w:tblCellMar>
    </w:tblPr>
  </w:style>
  <w:style w:type="paragraph" w:customStyle="1" w:styleId="24">
    <w:name w:val="Table Text"/>
    <w:basedOn w:val="1"/>
    <w:semiHidden/>
    <w:qFormat/>
    <w:uiPriority w:val="0"/>
  </w:style>
  <w:style w:type="paragraph" w:customStyle="1" w:styleId="25">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6">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7">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8">
    <w:name w:val="标题 4 Char"/>
    <w:link w:val="5"/>
    <w:qFormat/>
    <w:uiPriority w:val="0"/>
    <w:rPr>
      <w:rFonts w:ascii="Arial" w:hAnsi="Arial" w:eastAsia="黑体"/>
      <w:b/>
      <w:sz w:val="28"/>
    </w:rPr>
  </w:style>
  <w:style w:type="paragraph" w:customStyle="1" w:styleId="29">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0">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1">
    <w:name w:val="font31"/>
    <w:qFormat/>
    <w:uiPriority w:val="0"/>
    <w:rPr>
      <w:rFonts w:hint="eastAsia" w:ascii="宋体" w:hAnsi="宋体" w:eastAsia="宋体" w:cs="宋体"/>
      <w:color w:val="000000"/>
      <w:sz w:val="21"/>
      <w:szCs w:val="21"/>
      <w:u w:val="none"/>
    </w:rPr>
  </w:style>
  <w:style w:type="paragraph" w:customStyle="1" w:styleId="3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3">
    <w:name w:val="表格"/>
    <w:basedOn w:val="1"/>
    <w:qFormat/>
    <w:uiPriority w:val="0"/>
    <w:pPr>
      <w:ind w:firstLine="0" w:firstLineChars="0"/>
      <w:jc w:val="center"/>
    </w:pPr>
    <w:rPr>
      <w:color w:val="000000"/>
      <w:sz w:val="21"/>
      <w:szCs w:val="24"/>
    </w:rPr>
  </w:style>
  <w:style w:type="paragraph" w:styleId="34">
    <w:name w:val="List Paragraph"/>
    <w:basedOn w:val="1"/>
    <w:qFormat/>
    <w:uiPriority w:val="34"/>
    <w:pPr>
      <w:widowControl/>
      <w:spacing w:before="200" w:after="200" w:line="276" w:lineRule="auto"/>
      <w:ind w:left="720"/>
      <w:contextualSpacing/>
      <w:jc w:val="left"/>
    </w:pPr>
    <w:rPr>
      <w:rFonts w:cs="Times New Roman"/>
      <w:kern w:val="0"/>
      <w:sz w:val="20"/>
      <w:szCs w:val="20"/>
    </w:rPr>
  </w:style>
  <w:style w:type="paragraph" w:customStyle="1" w:styleId="35">
    <w:name w:val="列出段落11"/>
    <w:basedOn w:val="1"/>
    <w:qFormat/>
    <w:uiPriority w:val="0"/>
    <w:pPr>
      <w:ind w:firstLine="420" w:firstLineChars="200"/>
    </w:pPr>
    <w:rPr>
      <w:rFonts w:cs="Times New Roman"/>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7200</Words>
  <Characters>7764</Characters>
  <Lines>230</Lines>
  <Paragraphs>64</Paragraphs>
  <TotalTime>5</TotalTime>
  <ScaleCrop>false</ScaleCrop>
  <LinksUpToDate>false</LinksUpToDate>
  <CharactersWithSpaces>9037</CharactersWithSpaces>
  <Application>WPS Office_12.8.2.18913_F1E327BC-269C-435d-A152-05C5408002CA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LENOVO</cp:lastModifiedBy>
  <cp:lastPrinted>2025-12-30T01:42:00Z</cp:lastPrinted>
  <dcterms:modified xsi:type="dcterms:W3CDTF">2026-06-17T01:01:34Z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A3C7DDB2B64D4C3697A7625D388E83E7_13</vt:lpwstr>
  </property>
  <property fmtid="{D5CDD505-2E9C-101B-9397-08002B2CF9AE}" pid="6" name="KSOTemplateDocerSaveRecord">
    <vt:lpwstr>eyJoZGlkIjoiZmQ1M2IwZTUyMDQ1NGQwYjA1ZjExM2FlODA3YjQ0MzEiLCJ1c2VySWQiOiI1MDgwMzQxNDIifQ==</vt:lpwstr>
  </property>
</Properties>
</file>