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246C4C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b/>
          <w:bCs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b/>
          <w:bCs/>
          <w:color w:val="000000" w:themeColor="text1"/>
          <w:spacing w:val="-5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（一）</w:t>
      </w:r>
      <w:r>
        <w:rPr>
          <w:rFonts w:ascii="宋体" w:hAnsi="宋体" w:eastAsia="宋体" w:cs="宋体"/>
          <w:b/>
          <w:bCs/>
          <w:color w:val="000000" w:themeColor="text1"/>
          <w:spacing w:val="25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宋体" w:hAnsi="宋体" w:eastAsia="宋体" w:cs="宋体"/>
          <w:b/>
          <w:bCs/>
          <w:color w:val="000000" w:themeColor="text1"/>
          <w:spacing w:val="-5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技术需求</w:t>
      </w:r>
    </w:p>
    <w:p w14:paraId="1F429754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000000" w:themeColor="text1"/>
          <w:highlight w:val="none"/>
          <w14:textFill>
            <w14:solidFill>
              <w14:schemeClr w14:val="tx1"/>
            </w14:solidFill>
          </w14:textFill>
        </w:rPr>
      </w:pPr>
    </w:p>
    <w:tbl>
      <w:tblPr>
        <w:tblStyle w:val="2"/>
        <w:tblpPr w:leftFromText="180" w:rightFromText="180" w:vertAnchor="text" w:horzAnchor="page" w:tblpXSpec="center" w:tblpY="171"/>
        <w:tblOverlap w:val="never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3"/>
        <w:gridCol w:w="2137"/>
        <w:gridCol w:w="1064"/>
        <w:gridCol w:w="1149"/>
        <w:gridCol w:w="1531"/>
        <w:gridCol w:w="1565"/>
      </w:tblGrid>
      <w:tr w14:paraId="6D8E35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7" w:hRule="atLeast"/>
          <w:jc w:val="center"/>
        </w:trPr>
        <w:tc>
          <w:tcPr>
            <w:tcW w:w="629" w:type="pct"/>
            <w:noWrap w:val="0"/>
            <w:vAlign w:val="center"/>
          </w:tcPr>
          <w:p w14:paraId="439885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ascii="宋体" w:hAnsi="宋体" w:eastAsia="宋体" w:cs="宋体"/>
                <w:b/>
                <w:snapToGrid/>
                <w:color w:val="000000" w:themeColor="text1"/>
                <w:kern w:val="2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snapToGrid/>
                <w:color w:val="000000" w:themeColor="text1"/>
                <w:kern w:val="2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253" w:type="pct"/>
            <w:noWrap w:val="0"/>
            <w:vAlign w:val="center"/>
          </w:tcPr>
          <w:p w14:paraId="6389F0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ascii="宋体" w:hAnsi="宋体" w:eastAsia="宋体" w:cs="宋体"/>
                <w:b/>
                <w:snapToGrid/>
                <w:color w:val="000000" w:themeColor="text1"/>
                <w:kern w:val="2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snapToGrid/>
                <w:color w:val="000000" w:themeColor="text1"/>
                <w:kern w:val="2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标的名称</w:t>
            </w:r>
          </w:p>
        </w:tc>
        <w:tc>
          <w:tcPr>
            <w:tcW w:w="624" w:type="pct"/>
            <w:noWrap w:val="0"/>
            <w:vAlign w:val="center"/>
          </w:tcPr>
          <w:p w14:paraId="299332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ascii="宋体" w:hAnsi="宋体" w:eastAsia="宋体" w:cs="宋体"/>
                <w:b/>
                <w:snapToGrid/>
                <w:color w:val="000000" w:themeColor="text1"/>
                <w:kern w:val="2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snapToGrid/>
                <w:color w:val="000000" w:themeColor="text1"/>
                <w:kern w:val="2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计量</w:t>
            </w:r>
          </w:p>
          <w:p w14:paraId="61AF39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ascii="宋体" w:hAnsi="宋体" w:eastAsia="宋体" w:cs="宋体"/>
                <w:b/>
                <w:snapToGrid/>
                <w:color w:val="000000" w:themeColor="text1"/>
                <w:kern w:val="2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snapToGrid/>
                <w:color w:val="000000" w:themeColor="text1"/>
                <w:kern w:val="2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674" w:type="pct"/>
            <w:noWrap w:val="0"/>
            <w:vAlign w:val="center"/>
          </w:tcPr>
          <w:p w14:paraId="7B4D14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宋体" w:hAnsi="宋体" w:eastAsia="宋体" w:cs="宋体"/>
                <w:b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snapToGrid/>
                <w:color w:val="000000" w:themeColor="text1"/>
                <w:kern w:val="2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数量</w:t>
            </w:r>
          </w:p>
        </w:tc>
        <w:tc>
          <w:tcPr>
            <w:tcW w:w="898" w:type="pct"/>
            <w:noWrap w:val="0"/>
            <w:vAlign w:val="center"/>
          </w:tcPr>
          <w:p w14:paraId="3B668C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b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单价最高限价</w:t>
            </w:r>
            <w:r>
              <w:rPr>
                <w:rFonts w:hint="eastAsia" w:ascii="宋体" w:hAnsi="宋体" w:eastAsia="宋体" w:cs="宋体"/>
                <w:b/>
                <w:snapToGrid/>
                <w:color w:val="000000" w:themeColor="text1"/>
                <w:kern w:val="2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（万元）</w:t>
            </w:r>
          </w:p>
        </w:tc>
        <w:tc>
          <w:tcPr>
            <w:tcW w:w="918" w:type="pct"/>
            <w:noWrap w:val="0"/>
            <w:vAlign w:val="center"/>
          </w:tcPr>
          <w:p w14:paraId="502AC7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宋体" w:hAnsi="宋体" w:eastAsia="宋体" w:cs="宋体"/>
                <w:b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总价最高限价</w:t>
            </w:r>
            <w:r>
              <w:rPr>
                <w:rFonts w:hint="eastAsia" w:ascii="宋体" w:hAnsi="宋体" w:eastAsia="宋体" w:cs="宋体"/>
                <w:b/>
                <w:snapToGrid/>
                <w:color w:val="000000" w:themeColor="text1"/>
                <w:kern w:val="2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（万元）</w:t>
            </w:r>
          </w:p>
        </w:tc>
      </w:tr>
      <w:tr w14:paraId="1507F4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629" w:type="pct"/>
            <w:noWrap w:val="0"/>
            <w:vAlign w:val="center"/>
          </w:tcPr>
          <w:p w14:paraId="09B46C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253" w:type="pct"/>
            <w:noWrap w:val="0"/>
            <w:vAlign w:val="center"/>
          </w:tcPr>
          <w:p w14:paraId="33F5EF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液氧（175L）</w:t>
            </w:r>
          </w:p>
        </w:tc>
        <w:tc>
          <w:tcPr>
            <w:tcW w:w="624" w:type="pct"/>
            <w:noWrap w:val="0"/>
            <w:vAlign w:val="center"/>
          </w:tcPr>
          <w:p w14:paraId="6DFB26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瓶</w:t>
            </w:r>
          </w:p>
        </w:tc>
        <w:tc>
          <w:tcPr>
            <w:tcW w:w="674" w:type="pct"/>
            <w:noWrap w:val="0"/>
            <w:vAlign w:val="center"/>
          </w:tcPr>
          <w:p w14:paraId="3F359D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2500</w:t>
            </w:r>
          </w:p>
        </w:tc>
        <w:tc>
          <w:tcPr>
            <w:tcW w:w="898" w:type="pct"/>
            <w:noWrap w:val="0"/>
            <w:vAlign w:val="center"/>
          </w:tcPr>
          <w:p w14:paraId="7EFDCA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0.08</w:t>
            </w:r>
          </w:p>
        </w:tc>
        <w:tc>
          <w:tcPr>
            <w:tcW w:w="918" w:type="pct"/>
            <w:noWrap w:val="0"/>
            <w:vAlign w:val="center"/>
          </w:tcPr>
          <w:p w14:paraId="0F0797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200</w:t>
            </w:r>
          </w:p>
        </w:tc>
      </w:tr>
      <w:tr w14:paraId="6A61EE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4" w:hRule="atLeast"/>
          <w:jc w:val="center"/>
        </w:trPr>
        <w:tc>
          <w:tcPr>
            <w:tcW w:w="629" w:type="pct"/>
            <w:noWrap w:val="0"/>
            <w:vAlign w:val="center"/>
          </w:tcPr>
          <w:p w14:paraId="2B9261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253" w:type="pct"/>
            <w:noWrap w:val="0"/>
            <w:vAlign w:val="center"/>
          </w:tcPr>
          <w:p w14:paraId="45552C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氧气（40L）</w:t>
            </w:r>
          </w:p>
        </w:tc>
        <w:tc>
          <w:tcPr>
            <w:tcW w:w="624" w:type="pct"/>
            <w:noWrap w:val="0"/>
            <w:vAlign w:val="center"/>
          </w:tcPr>
          <w:p w14:paraId="243A55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瓶</w:t>
            </w:r>
          </w:p>
        </w:tc>
        <w:tc>
          <w:tcPr>
            <w:tcW w:w="674" w:type="pct"/>
            <w:noWrap w:val="0"/>
            <w:vAlign w:val="center"/>
          </w:tcPr>
          <w:p w14:paraId="52FA17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1500</w:t>
            </w:r>
          </w:p>
        </w:tc>
        <w:tc>
          <w:tcPr>
            <w:tcW w:w="898" w:type="pct"/>
            <w:noWrap w:val="0"/>
            <w:vAlign w:val="center"/>
          </w:tcPr>
          <w:p w14:paraId="46E95D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0.0028</w:t>
            </w:r>
          </w:p>
        </w:tc>
        <w:tc>
          <w:tcPr>
            <w:tcW w:w="918" w:type="pct"/>
            <w:noWrap w:val="0"/>
            <w:vAlign w:val="center"/>
          </w:tcPr>
          <w:p w14:paraId="3854C3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snapToGrid/>
                <w:color w:val="000000" w:themeColor="text1"/>
                <w:kern w:val="2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4.2</w:t>
            </w:r>
          </w:p>
        </w:tc>
      </w:tr>
    </w:tbl>
    <w:p w14:paraId="0FEDFBA3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/>
        <w:jc w:val="both"/>
        <w:textAlignment w:val="auto"/>
        <w:rPr>
          <w:rFonts w:hint="eastAsia" w:ascii="宋体" w:hAnsi="宋体" w:eastAsia="宋体" w:cs="宋体"/>
          <w:b/>
          <w:snapToGrid/>
          <w:color w:val="000000" w:themeColor="text1"/>
          <w:kern w:val="2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</w:pPr>
    </w:p>
    <w:p w14:paraId="0824220F">
      <w:pPr>
        <w:keepNext w:val="0"/>
        <w:keepLines w:val="0"/>
        <w:pageBreakBefore w:val="0"/>
        <w:numPr>
          <w:ilvl w:val="0"/>
          <w:numId w:val="1"/>
        </w:numPr>
        <w:wordWrap/>
        <w:overflowPunct/>
        <w:topLinePunct w:val="0"/>
        <w:bidi w:val="0"/>
        <w:spacing w:line="460" w:lineRule="exact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符合GB/T8982-2009和《中华人民共和国药典》20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5版或医用液氧 2020 版二部的标准要求，并随时跟踪国家的最新标准执行；</w:t>
      </w:r>
    </w:p>
    <w:p w14:paraId="76524DC3">
      <w:pPr>
        <w:keepNext w:val="0"/>
        <w:keepLines w:val="0"/>
        <w:pageBreakBefore w:val="0"/>
        <w:numPr>
          <w:ilvl w:val="0"/>
          <w:numId w:val="1"/>
        </w:numPr>
        <w:wordWrap/>
        <w:overflowPunct/>
        <w:topLinePunct w:val="0"/>
        <w:bidi w:val="0"/>
        <w:spacing w:line="460" w:lineRule="exact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包含杜瓦瓶装医用液氧（液态）及氧气瓶装医用氧气（气态）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 xml:space="preserve"> </w:t>
      </w:r>
    </w:p>
    <w:p w14:paraId="5C2BD44C">
      <w:pPr>
        <w:keepNext w:val="0"/>
        <w:keepLines w:val="0"/>
        <w:pageBreakBefore w:val="0"/>
        <w:numPr>
          <w:ilvl w:val="0"/>
          <w:numId w:val="1"/>
        </w:numPr>
        <w:wordWrap/>
        <w:overflowPunct/>
        <w:topLinePunct w:val="0"/>
        <w:bidi w:val="0"/>
        <w:spacing w:line="460" w:lineRule="exact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规格要求：杜瓦瓶装医用液氧（液态）规格为175L，氧气瓶装医用氧气（气态）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规格为40L。</w:t>
      </w:r>
    </w:p>
    <w:p w14:paraId="422D36C2">
      <w:pPr>
        <w:keepNext w:val="0"/>
        <w:keepLines w:val="0"/>
        <w:pageBreakBefore w:val="0"/>
        <w:numPr>
          <w:ilvl w:val="0"/>
          <w:numId w:val="1"/>
        </w:numPr>
        <w:wordWrap/>
        <w:overflowPunct/>
        <w:topLinePunct w:val="0"/>
        <w:bidi w:val="0"/>
        <w:spacing w:line="460" w:lineRule="exact"/>
        <w:ind w:left="0" w:leftChars="0" w:firstLine="0" w:firstLineChars="0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含氧不少于99.5%(ml/ml)；</w:t>
      </w:r>
    </w:p>
    <w:p w14:paraId="115BDF6E">
      <w:pPr>
        <w:keepNext w:val="0"/>
        <w:keepLines w:val="0"/>
        <w:pageBreakBefore w:val="0"/>
        <w:numPr>
          <w:ilvl w:val="0"/>
          <w:numId w:val="1"/>
        </w:numPr>
        <w:wordWrap/>
        <w:overflowPunct/>
        <w:topLinePunct w:val="0"/>
        <w:bidi w:val="0"/>
        <w:spacing w:line="460" w:lineRule="exact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供应商需提供以下配套服务：</w:t>
      </w:r>
    </w:p>
    <w:p w14:paraId="20235F62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（1）供应商须提供氧房内所需的医用液氧供气设备给采购人使用，且成套的供氧设备必须符合相关质量技术要求，包括汽化器、气体自动切换柜、流量计、管道等，供应商还应对提供的设备实施定期的维护、保养与检验，确保供氧设备持续稳定的正常运行，以上要求所产生的费用包含在本项目投标报价中，由成交供应商承担。</w:t>
      </w:r>
    </w:p>
    <w:p w14:paraId="7A059266">
      <w:pPr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line="460" w:lineRule="exact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（2）提供足够量的氧气瓶装医用氧气（气态）应急周转使用。氧气瓶需符合国家质量标准。</w:t>
      </w:r>
    </w:p>
    <w:p w14:paraId="78934293">
      <w:pPr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line="460" w:lineRule="exact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（3）维护采购人储气设备，内容包括但不限于检测和更换安全阀、压力表，处理阀门、法兰连接处泄漏问题，每月对储气设备巡检并出具巡检报告单，协助采购人取得质监部门的年检合格证。</w:t>
      </w:r>
    </w:p>
    <w:p w14:paraId="1134F662">
      <w:pPr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line="460" w:lineRule="exact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 xml:space="preserve">（4）每半年为采购人提供一次氧气压力及终端浓度检测。  </w:t>
      </w:r>
    </w:p>
    <w:p w14:paraId="11F6B84A">
      <w:pPr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line="460" w:lineRule="exact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（5）运输驾驶员具备道路危险货物运输驾驶员从业资格证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（响应文件中提供驾驶人员名单及证照原件扫描件）</w:t>
      </w:r>
    </w:p>
    <w:p w14:paraId="37DA4E2E">
      <w:pPr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line="460" w:lineRule="exact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（6）押运人员具备道路危险货物运输押运人员从业资格证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（响应文件中提供押运人员名单及证照原件扫描件）</w:t>
      </w:r>
    </w:p>
    <w:p w14:paraId="3FB9266F">
      <w:pPr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line="460" w:lineRule="exact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6. 医院现场液氧装卸作业人员不少于2名，且均需持有危险货物运输从业资格证。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（响应文件中提供装卸作业人员名单及证照原件扫描件）</w:t>
      </w:r>
    </w:p>
    <w:p w14:paraId="314231DD">
      <w:pPr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line="460" w:lineRule="exact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7. 需提供液氧运输专用车辆。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（响应文件中提供有效期内车辆行驶证原件扫描件及车辆实物照片。</w:t>
      </w:r>
    </w:p>
    <w:p w14:paraId="1845111E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3200119"/>
    <w:multiLevelType w:val="singleLevel"/>
    <w:tmpl w:val="B3200119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6722BD"/>
    <w:rsid w:val="236722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Office_12.8.2.18913_F1E327BC-269C-435d-A152-05C5408002CA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2026-06-16T09:44:00Z</dcterms:created>
  <dc:creator>Lenovo</dc:creator>
  <cp:lastModifiedBy>Lenovo</cp:lastModifiedBy>
  <dcterms:modified xsi:type="dcterms:W3CDTF">2026-06-16T09:44:18Z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2052-12.8.2.18913</vt:lpwstr>
  </property>
  <property fmtid="{D5CDD505-2E9C-101B-9397-08002B2CF9AE}" pid="3" name="ICV">
    <vt:lpwstr>6CC4EBD049BD4C92BC75F3DC8794F85C_11</vt:lpwstr>
  </property>
</Properties>
</file>