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615B22">
      <w:pPr>
        <w:pStyle w:val="2"/>
        <w:spacing w:before="0" w:after="0" w:line="360" w:lineRule="auto"/>
        <w:jc w:val="center"/>
        <w:rPr>
          <w:rFonts w:ascii="宋体" w:hAnsi="宋体" w:cs="宋体"/>
          <w:sz w:val="24"/>
          <w:szCs w:val="24"/>
        </w:rPr>
      </w:pPr>
      <w:r>
        <w:rPr>
          <w:rFonts w:hint="eastAsia" w:ascii="宋体" w:hAnsi="宋体" w:cs="宋体"/>
          <w:sz w:val="24"/>
          <w:szCs w:val="24"/>
        </w:rPr>
        <w:t>采购需求</w:t>
      </w:r>
    </w:p>
    <w:p w14:paraId="47F50F2A">
      <w:pPr>
        <w:spacing w:line="360" w:lineRule="auto"/>
        <w:ind w:firstLine="482"/>
        <w:outlineLvl w:val="2"/>
        <w:rPr>
          <w:rFonts w:ascii="宋体" w:hAnsi="宋体" w:cs="宋体"/>
          <w:b/>
          <w:bCs/>
          <w:sz w:val="24"/>
          <w:szCs w:val="24"/>
        </w:rPr>
      </w:pPr>
      <w:bookmarkStart w:id="0" w:name="_Toc216962703"/>
      <w:r>
        <w:rPr>
          <w:rFonts w:hint="eastAsia" w:ascii="宋体" w:hAnsi="宋体" w:cs="宋体"/>
          <w:b/>
          <w:bCs/>
          <w:sz w:val="24"/>
          <w:szCs w:val="24"/>
        </w:rPr>
        <w:t>（一）技术需求</w:t>
      </w:r>
      <w:bookmarkEnd w:id="0"/>
    </w:p>
    <w:p w14:paraId="26988030">
      <w:pPr>
        <w:spacing w:line="360" w:lineRule="auto"/>
        <w:rPr>
          <w:rFonts w:ascii="宋体" w:hAnsi="宋体" w:cs="宋体"/>
          <w:sz w:val="24"/>
          <w:szCs w:val="24"/>
        </w:rPr>
      </w:pPr>
      <w:r>
        <w:rPr>
          <w:rFonts w:hint="eastAsia" w:ascii="宋体" w:hAnsi="宋体" w:cs="宋体"/>
          <w:sz w:val="24"/>
          <w:szCs w:val="24"/>
        </w:rPr>
        <w:t>1、采购品目</w:t>
      </w:r>
    </w:p>
    <w:tbl>
      <w:tblPr>
        <w:tblStyle w:val="5"/>
        <w:tblW w:w="5181" w:type="pct"/>
        <w:tblInd w:w="-26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5"/>
        <w:gridCol w:w="1257"/>
        <w:gridCol w:w="8366"/>
        <w:gridCol w:w="749"/>
        <w:gridCol w:w="910"/>
        <w:gridCol w:w="1894"/>
        <w:gridCol w:w="735"/>
      </w:tblGrid>
      <w:tr w14:paraId="1544B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5000" w:type="pct"/>
            <w:gridSpan w:val="7"/>
            <w:shd w:val="clear" w:color="auto" w:fill="auto"/>
            <w:vAlign w:val="center"/>
          </w:tcPr>
          <w:p w14:paraId="3F7DBE4B">
            <w:pPr>
              <w:widowControl/>
              <w:jc w:val="center"/>
              <w:textAlignment w:val="center"/>
              <w:rPr>
                <w:rFonts w:ascii="宋体" w:hAnsi="宋体" w:cs="宋体"/>
                <w:b/>
                <w:bCs/>
                <w:color w:val="000000"/>
                <w:sz w:val="28"/>
                <w:szCs w:val="28"/>
              </w:rPr>
            </w:pPr>
            <w:r>
              <w:rPr>
                <w:rFonts w:hint="eastAsia" w:ascii="宋体" w:hAnsi="宋体" w:cs="宋体"/>
                <w:b/>
                <w:bCs/>
                <w:color w:val="000000"/>
                <w:kern w:val="0"/>
                <w:sz w:val="28"/>
                <w:szCs w:val="28"/>
                <w:lang w:bidi="ar"/>
              </w:rPr>
              <w:t>教学仪器配置清单</w:t>
            </w:r>
          </w:p>
        </w:tc>
      </w:tr>
      <w:tr w14:paraId="395DF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4100" w:type="pct"/>
            <w:gridSpan w:val="5"/>
            <w:shd w:val="clear" w:color="auto" w:fill="auto"/>
            <w:vAlign w:val="center"/>
          </w:tcPr>
          <w:p w14:paraId="6E0DA4A3">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lang w:bidi="ar"/>
              </w:rPr>
              <w:t>一、教学仪器设备</w:t>
            </w:r>
          </w:p>
        </w:tc>
        <w:tc>
          <w:tcPr>
            <w:tcW w:w="647" w:type="pct"/>
            <w:shd w:val="clear" w:color="auto" w:fill="auto"/>
            <w:vAlign w:val="center"/>
          </w:tcPr>
          <w:p w14:paraId="0EEDC537">
            <w:pPr>
              <w:rPr>
                <w:rFonts w:ascii="宋体" w:hAnsi="宋体" w:cs="宋体"/>
                <w:b/>
                <w:bCs/>
                <w:color w:val="000000"/>
                <w:sz w:val="24"/>
                <w:szCs w:val="24"/>
              </w:rPr>
            </w:pPr>
          </w:p>
        </w:tc>
        <w:tc>
          <w:tcPr>
            <w:tcW w:w="251" w:type="pct"/>
            <w:shd w:val="clear" w:color="auto" w:fill="auto"/>
            <w:vAlign w:val="center"/>
          </w:tcPr>
          <w:p w14:paraId="10C8BA75">
            <w:pPr>
              <w:rPr>
                <w:rFonts w:ascii="宋体" w:hAnsi="宋体" w:cs="宋体"/>
                <w:b/>
                <w:bCs/>
                <w:color w:val="000000"/>
                <w:sz w:val="24"/>
                <w:szCs w:val="24"/>
              </w:rPr>
            </w:pPr>
          </w:p>
        </w:tc>
      </w:tr>
      <w:tr w14:paraId="2398F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241" w:type="pct"/>
            <w:shd w:val="clear" w:color="auto" w:fill="auto"/>
            <w:vAlign w:val="center"/>
          </w:tcPr>
          <w:p w14:paraId="1A7F250B">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lang w:bidi="ar"/>
              </w:rPr>
              <w:t>序号</w:t>
            </w:r>
          </w:p>
        </w:tc>
        <w:tc>
          <w:tcPr>
            <w:tcW w:w="430" w:type="pct"/>
            <w:shd w:val="clear" w:color="auto" w:fill="auto"/>
            <w:vAlign w:val="center"/>
          </w:tcPr>
          <w:p w14:paraId="6BF648B6">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lang w:bidi="ar"/>
              </w:rPr>
              <w:t>产品名称</w:t>
            </w:r>
          </w:p>
        </w:tc>
        <w:tc>
          <w:tcPr>
            <w:tcW w:w="2861" w:type="pct"/>
            <w:shd w:val="clear" w:color="auto" w:fill="auto"/>
            <w:vAlign w:val="center"/>
          </w:tcPr>
          <w:p w14:paraId="346A3BF5">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lang w:bidi="ar"/>
              </w:rPr>
              <w:t>技术参数</w:t>
            </w:r>
          </w:p>
        </w:tc>
        <w:tc>
          <w:tcPr>
            <w:tcW w:w="256" w:type="pct"/>
            <w:shd w:val="clear" w:color="auto" w:fill="auto"/>
            <w:vAlign w:val="center"/>
          </w:tcPr>
          <w:p w14:paraId="3BBC07B8">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lang w:bidi="ar"/>
              </w:rPr>
              <w:t>数量</w:t>
            </w:r>
          </w:p>
        </w:tc>
        <w:tc>
          <w:tcPr>
            <w:tcW w:w="311" w:type="pct"/>
            <w:shd w:val="clear" w:color="auto" w:fill="auto"/>
            <w:vAlign w:val="center"/>
          </w:tcPr>
          <w:p w14:paraId="24A799D4">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lang w:bidi="ar"/>
              </w:rPr>
              <w:t>单位</w:t>
            </w:r>
          </w:p>
        </w:tc>
        <w:tc>
          <w:tcPr>
            <w:tcW w:w="647" w:type="pct"/>
            <w:shd w:val="clear" w:color="auto" w:fill="auto"/>
            <w:vAlign w:val="center"/>
          </w:tcPr>
          <w:p w14:paraId="1F894DA1">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lang w:val="en-US" w:eastAsia="zh-CN" w:bidi="ar"/>
              </w:rPr>
              <w:t>参考</w:t>
            </w:r>
            <w:r>
              <w:rPr>
                <w:rFonts w:hint="eastAsia" w:ascii="宋体" w:hAnsi="宋体" w:cs="宋体"/>
                <w:b/>
                <w:bCs/>
                <w:color w:val="000000"/>
                <w:kern w:val="0"/>
                <w:sz w:val="24"/>
                <w:szCs w:val="24"/>
                <w:lang w:bidi="ar"/>
              </w:rPr>
              <w:t>图片</w:t>
            </w:r>
          </w:p>
        </w:tc>
        <w:tc>
          <w:tcPr>
            <w:tcW w:w="251" w:type="pct"/>
            <w:shd w:val="clear" w:color="auto" w:fill="auto"/>
            <w:vAlign w:val="center"/>
          </w:tcPr>
          <w:p w14:paraId="6BA35E31">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lang w:bidi="ar"/>
              </w:rPr>
              <w:t>备注</w:t>
            </w:r>
          </w:p>
        </w:tc>
      </w:tr>
      <w:tr w14:paraId="50815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trPr>
        <w:tc>
          <w:tcPr>
            <w:tcW w:w="241" w:type="pct"/>
            <w:shd w:val="clear" w:color="auto" w:fill="auto"/>
            <w:vAlign w:val="center"/>
          </w:tcPr>
          <w:p w14:paraId="1A75573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430" w:type="pct"/>
            <w:shd w:val="clear" w:color="auto" w:fill="auto"/>
            <w:vAlign w:val="center"/>
          </w:tcPr>
          <w:p w14:paraId="03BFBFB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儿童体质测试仪</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（晨检机）</w:t>
            </w:r>
          </w:p>
        </w:tc>
        <w:tc>
          <w:tcPr>
            <w:tcW w:w="2861" w:type="pct"/>
            <w:shd w:val="clear" w:color="auto" w:fill="auto"/>
            <w:vAlign w:val="center"/>
          </w:tcPr>
          <w:p w14:paraId="62B1A29C">
            <w:pPr>
              <w:widowControl/>
              <w:numPr>
                <w:ilvl w:val="0"/>
                <w:numId w:val="0"/>
              </w:numPr>
              <w:jc w:val="left"/>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val="en-US" w:eastAsia="zh-CN" w:bidi="ar"/>
              </w:rPr>
              <w:t>1</w:t>
            </w:r>
            <w:r>
              <w:rPr>
                <w:rFonts w:hint="eastAsia" w:ascii="宋体" w:hAnsi="宋体" w:cs="宋体"/>
                <w:color w:val="000000"/>
                <w:kern w:val="0"/>
                <w:sz w:val="24"/>
                <w:szCs w:val="24"/>
                <w:lang w:bidi="ar"/>
              </w:rPr>
              <w:t>、显示屏：10.1寸电容屏接触屏1280*800，</w:t>
            </w:r>
          </w:p>
          <w:p w14:paraId="72DEBF5A">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val="en-US" w:eastAsia="zh-CN" w:bidi="ar"/>
              </w:rPr>
              <w:t>2</w:t>
            </w:r>
            <w:r>
              <w:rPr>
                <w:rFonts w:hint="eastAsia" w:ascii="宋体" w:hAnsi="宋体" w:cs="宋体"/>
                <w:color w:val="000000"/>
                <w:kern w:val="0"/>
                <w:sz w:val="24"/>
                <w:szCs w:val="24"/>
                <w:lang w:bidi="ar"/>
              </w:rPr>
              <w:t xml:space="preserve">、内存DDR3 4GB </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3</w:t>
            </w:r>
            <w:r>
              <w:rPr>
                <w:rFonts w:hint="eastAsia" w:ascii="宋体" w:hAnsi="宋体" w:cs="宋体"/>
                <w:color w:val="000000"/>
                <w:kern w:val="0"/>
                <w:sz w:val="24"/>
                <w:szCs w:val="24"/>
                <w:lang w:bidi="ar"/>
              </w:rPr>
              <w:t>、网络：WIFI无线网卡，</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4</w:t>
            </w:r>
            <w:r>
              <w:rPr>
                <w:rFonts w:hint="eastAsia" w:ascii="宋体" w:hAnsi="宋体" w:cs="宋体"/>
                <w:color w:val="000000"/>
                <w:kern w:val="0"/>
                <w:sz w:val="24"/>
                <w:szCs w:val="24"/>
                <w:lang w:bidi="ar"/>
              </w:rPr>
              <w:t>、顶部摄像头模组：网络高清摄像头模组，200万像素，手口眼摄像头模组：网络高清摄像头模组，200万像素，</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5</w:t>
            </w:r>
            <w:r>
              <w:rPr>
                <w:rFonts w:hint="eastAsia" w:ascii="宋体" w:hAnsi="宋体" w:cs="宋体"/>
                <w:color w:val="000000"/>
                <w:kern w:val="0"/>
                <w:sz w:val="24"/>
                <w:szCs w:val="24"/>
                <w:lang w:bidi="ar"/>
              </w:rPr>
              <w:t>、温度传感器：医用级红外温度传感器，</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6</w:t>
            </w:r>
            <w:r>
              <w:rPr>
                <w:rFonts w:hint="eastAsia" w:ascii="宋体" w:hAnsi="宋体" w:cs="宋体"/>
                <w:color w:val="000000"/>
                <w:kern w:val="0"/>
                <w:sz w:val="24"/>
                <w:szCs w:val="24"/>
                <w:lang w:bidi="ar"/>
              </w:rPr>
              <w:t>、精度+/_0.2c，</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7</w:t>
            </w:r>
            <w:r>
              <w:rPr>
                <w:rFonts w:hint="eastAsia" w:ascii="宋体" w:hAnsi="宋体" w:cs="宋体"/>
                <w:color w:val="000000"/>
                <w:kern w:val="0"/>
                <w:sz w:val="24"/>
                <w:szCs w:val="24"/>
                <w:lang w:bidi="ar"/>
              </w:rPr>
              <w:t>、刷卡模组：ID或IC、 125KHz 或13.56MHz，读卡距离大于5cm，光电感应开关，可调节感应距离10cm-30cm，</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8</w:t>
            </w:r>
            <w:r>
              <w:rPr>
                <w:rFonts w:hint="eastAsia" w:ascii="宋体" w:hAnsi="宋体" w:cs="宋体"/>
                <w:color w:val="000000"/>
                <w:kern w:val="0"/>
                <w:sz w:val="24"/>
                <w:szCs w:val="24"/>
                <w:lang w:bidi="ar"/>
              </w:rPr>
              <w:t>、供电方式：铅酸电池 24v12ah  充电，</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9</w:t>
            </w:r>
            <w:r>
              <w:rPr>
                <w:rFonts w:hint="eastAsia" w:ascii="宋体" w:hAnsi="宋体" w:cs="宋体"/>
                <w:color w:val="000000"/>
                <w:kern w:val="0"/>
                <w:sz w:val="24"/>
                <w:szCs w:val="24"/>
                <w:lang w:bidi="ar"/>
              </w:rPr>
              <w:t>、无线网卡2.4G，</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10</w:t>
            </w:r>
            <w:r>
              <w:rPr>
                <w:rFonts w:hint="eastAsia" w:ascii="宋体" w:hAnsi="宋体" w:cs="宋体"/>
                <w:color w:val="000000"/>
                <w:kern w:val="0"/>
                <w:sz w:val="24"/>
                <w:szCs w:val="24"/>
                <w:lang w:bidi="ar"/>
              </w:rPr>
              <w:t>、额定功率：22W，</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w:t>
            </w:r>
            <w:r>
              <w:rPr>
                <w:rFonts w:hint="eastAsia" w:ascii="宋体" w:hAnsi="宋体" w:cs="宋体"/>
                <w:color w:val="000000"/>
                <w:kern w:val="0"/>
                <w:sz w:val="24"/>
                <w:szCs w:val="24"/>
                <w:lang w:val="en-US" w:eastAsia="zh-CN" w:bidi="ar"/>
              </w:rPr>
              <w:t>1</w:t>
            </w:r>
            <w:r>
              <w:rPr>
                <w:rFonts w:hint="eastAsia" w:ascii="宋体" w:hAnsi="宋体" w:cs="宋体"/>
                <w:color w:val="000000"/>
                <w:kern w:val="0"/>
                <w:sz w:val="24"/>
                <w:szCs w:val="24"/>
                <w:lang w:bidi="ar"/>
              </w:rPr>
              <w:t>、电池最大连续工作时间：15小时，</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w:t>
            </w:r>
            <w:r>
              <w:rPr>
                <w:rFonts w:hint="eastAsia" w:ascii="宋体" w:hAnsi="宋体" w:cs="宋体"/>
                <w:color w:val="000000"/>
                <w:kern w:val="0"/>
                <w:sz w:val="24"/>
                <w:szCs w:val="24"/>
                <w:lang w:val="en-US" w:eastAsia="zh-CN" w:bidi="ar"/>
              </w:rPr>
              <w:t>2</w:t>
            </w:r>
            <w:r>
              <w:rPr>
                <w:rFonts w:hint="eastAsia" w:ascii="宋体" w:hAnsi="宋体" w:cs="宋体"/>
                <w:color w:val="000000"/>
                <w:kern w:val="0"/>
                <w:sz w:val="24"/>
                <w:szCs w:val="24"/>
                <w:lang w:bidi="ar"/>
              </w:rPr>
              <w:t>、最长充电时间：10小时。</w:t>
            </w:r>
          </w:p>
        </w:tc>
        <w:tc>
          <w:tcPr>
            <w:tcW w:w="256" w:type="pct"/>
            <w:shd w:val="clear" w:color="auto" w:fill="auto"/>
            <w:vAlign w:val="center"/>
          </w:tcPr>
          <w:p w14:paraId="762CC70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w:t>
            </w:r>
          </w:p>
        </w:tc>
        <w:tc>
          <w:tcPr>
            <w:tcW w:w="311" w:type="pct"/>
            <w:shd w:val="clear" w:color="auto" w:fill="auto"/>
            <w:vAlign w:val="center"/>
          </w:tcPr>
          <w:p w14:paraId="262B96C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vAlign w:val="center"/>
          </w:tcPr>
          <w:p w14:paraId="6E58FF11">
            <w:pPr>
              <w:widowControl/>
              <w:jc w:val="center"/>
              <w:textAlignment w:val="center"/>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drawing>
                <wp:inline distT="0" distB="0" distL="114300" distR="114300">
                  <wp:extent cx="1055370" cy="1034415"/>
                  <wp:effectExtent l="0" t="0" r="11430" b="13335"/>
                  <wp:docPr id="7" name="图片 7" descr="606f07759a68766f9d2cea15554ca4d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606f07759a68766f9d2cea15554ca4d7"/>
                          <pic:cNvPicPr>
                            <a:picLocks noChangeAspect="1"/>
                          </pic:cNvPicPr>
                        </pic:nvPicPr>
                        <pic:blipFill>
                          <a:blip r:embed="rId4"/>
                          <a:stretch>
                            <a:fillRect/>
                          </a:stretch>
                        </pic:blipFill>
                        <pic:spPr>
                          <a:xfrm>
                            <a:off x="0" y="0"/>
                            <a:ext cx="1055370" cy="1034415"/>
                          </a:xfrm>
                          <a:prstGeom prst="rect">
                            <a:avLst/>
                          </a:prstGeom>
                        </pic:spPr>
                      </pic:pic>
                    </a:graphicData>
                  </a:graphic>
                </wp:inline>
              </w:drawing>
            </w:r>
          </w:p>
        </w:tc>
        <w:tc>
          <w:tcPr>
            <w:tcW w:w="251" w:type="pct"/>
            <w:shd w:val="clear" w:color="auto" w:fill="auto"/>
            <w:vAlign w:val="center"/>
          </w:tcPr>
          <w:p w14:paraId="16624E33">
            <w:pPr>
              <w:jc w:val="center"/>
              <w:rPr>
                <w:rFonts w:ascii="宋体" w:hAnsi="宋体" w:cs="宋体"/>
                <w:color w:val="000000"/>
                <w:sz w:val="24"/>
                <w:szCs w:val="24"/>
              </w:rPr>
            </w:pPr>
          </w:p>
        </w:tc>
      </w:tr>
      <w:tr w14:paraId="25545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5" w:hRule="atLeast"/>
        </w:trPr>
        <w:tc>
          <w:tcPr>
            <w:tcW w:w="241" w:type="pct"/>
            <w:shd w:val="clear" w:color="auto" w:fill="auto"/>
            <w:vAlign w:val="center"/>
          </w:tcPr>
          <w:p w14:paraId="09F7960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w:t>
            </w:r>
          </w:p>
        </w:tc>
        <w:tc>
          <w:tcPr>
            <w:tcW w:w="430" w:type="pct"/>
            <w:shd w:val="clear" w:color="auto" w:fill="auto"/>
            <w:vAlign w:val="center"/>
          </w:tcPr>
          <w:p w14:paraId="1A3A4A3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消毒柜</w:t>
            </w:r>
          </w:p>
        </w:tc>
        <w:tc>
          <w:tcPr>
            <w:tcW w:w="2861" w:type="pct"/>
            <w:shd w:val="clear" w:color="auto" w:fill="auto"/>
            <w:vAlign w:val="center"/>
          </w:tcPr>
          <w:p w14:paraId="60076BC7">
            <w:pPr>
              <w:widowControl/>
              <w:jc w:val="left"/>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val="en-US" w:eastAsia="zh-CN" w:bidi="ar"/>
              </w:rPr>
              <w:t>1</w:t>
            </w:r>
            <w:r>
              <w:rPr>
                <w:rFonts w:hint="eastAsia" w:ascii="宋体" w:hAnsi="宋体" w:cs="宋体"/>
                <w:color w:val="000000"/>
                <w:kern w:val="0"/>
                <w:sz w:val="24"/>
                <w:szCs w:val="24"/>
                <w:lang w:bidi="ar"/>
              </w:rPr>
              <w:t>、颜色</w:t>
            </w:r>
            <w:r>
              <w:rPr>
                <w:rFonts w:hint="eastAsia" w:ascii="宋体" w:hAnsi="宋体" w:cs="宋体"/>
                <w:color w:val="000000"/>
                <w:kern w:val="0"/>
                <w:sz w:val="24"/>
                <w:szCs w:val="24"/>
                <w:lang w:eastAsia="zh-CN" w:bidi="ar"/>
              </w:rPr>
              <w:t>：</w:t>
            </w:r>
            <w:r>
              <w:rPr>
                <w:rFonts w:hint="eastAsia" w:ascii="宋体" w:hAnsi="宋体" w:cs="宋体"/>
                <w:color w:val="000000"/>
                <w:kern w:val="0"/>
                <w:sz w:val="24"/>
                <w:szCs w:val="24"/>
                <w:lang w:bidi="ar"/>
              </w:rPr>
              <w:t xml:space="preserve">黄色木板台面； </w:t>
            </w:r>
          </w:p>
          <w:p w14:paraId="0B891BDD">
            <w:pPr>
              <w:widowControl/>
              <w:jc w:val="left"/>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val="en-US" w:eastAsia="zh-CN" w:bidi="ar"/>
              </w:rPr>
              <w:t>2</w:t>
            </w:r>
            <w:r>
              <w:rPr>
                <w:rFonts w:hint="eastAsia" w:ascii="宋体" w:hAnsi="宋体" w:cs="宋体"/>
                <w:color w:val="000000"/>
                <w:kern w:val="0"/>
                <w:sz w:val="24"/>
                <w:szCs w:val="24"/>
                <w:lang w:bidi="ar"/>
              </w:rPr>
              <w:t>、保修一年；</w:t>
            </w:r>
          </w:p>
          <w:p w14:paraId="1DA87034">
            <w:pPr>
              <w:widowControl/>
              <w:jc w:val="left"/>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val="en-US" w:eastAsia="zh-CN" w:bidi="ar"/>
              </w:rPr>
              <w:t>3</w:t>
            </w:r>
            <w:r>
              <w:rPr>
                <w:rFonts w:hint="eastAsia" w:ascii="宋体" w:hAnsi="宋体" w:cs="宋体"/>
                <w:color w:val="000000"/>
                <w:kern w:val="0"/>
                <w:sz w:val="24"/>
                <w:szCs w:val="24"/>
                <w:lang w:bidi="ar"/>
              </w:rPr>
              <w:t>、容量：外形尺寸计算容量338L左右；</w:t>
            </w:r>
          </w:p>
          <w:p w14:paraId="62F090C4">
            <w:pPr>
              <w:widowControl/>
              <w:jc w:val="left"/>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val="en-US" w:eastAsia="zh-CN" w:bidi="ar"/>
              </w:rPr>
              <w:t>4</w:t>
            </w:r>
            <w:r>
              <w:rPr>
                <w:rFonts w:hint="eastAsia" w:ascii="宋体" w:hAnsi="宋体" w:cs="宋体"/>
                <w:color w:val="000000"/>
                <w:kern w:val="0"/>
                <w:sz w:val="24"/>
                <w:szCs w:val="24"/>
                <w:lang w:bidi="ar"/>
              </w:rPr>
              <w:t>、功率;红外线加温+紫外线杀菌，可分开独立操作消毒；</w:t>
            </w:r>
          </w:p>
          <w:p w14:paraId="3DDC19F7">
            <w:pPr>
              <w:widowControl/>
              <w:jc w:val="left"/>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val="en-US" w:eastAsia="zh-CN" w:bidi="ar"/>
              </w:rPr>
              <w:t>5</w:t>
            </w:r>
            <w:r>
              <w:rPr>
                <w:rFonts w:hint="eastAsia" w:ascii="宋体" w:hAnsi="宋体" w:cs="宋体"/>
                <w:color w:val="000000"/>
                <w:kern w:val="0"/>
                <w:sz w:val="24"/>
                <w:szCs w:val="24"/>
                <w:lang w:bidi="ar"/>
              </w:rPr>
              <w:t>、电压;220V-50HZ；消毒温度：±65℃；</w:t>
            </w:r>
          </w:p>
          <w:p w14:paraId="5022E2C2">
            <w:pPr>
              <w:widowControl/>
              <w:jc w:val="left"/>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val="en-US" w:eastAsia="zh-CN" w:bidi="ar"/>
              </w:rPr>
              <w:t>6</w:t>
            </w:r>
            <w:r>
              <w:rPr>
                <w:rFonts w:hint="eastAsia" w:ascii="宋体" w:hAnsi="宋体" w:cs="宋体"/>
                <w:color w:val="000000"/>
                <w:kern w:val="0"/>
                <w:sz w:val="24"/>
                <w:szCs w:val="24"/>
                <w:lang w:bidi="ar"/>
              </w:rPr>
              <w:t>、消毒方式：紫外线杀菌+臭氧消毒+红外线加温；</w:t>
            </w:r>
          </w:p>
          <w:p w14:paraId="404F179A">
            <w:pPr>
              <w:widowControl/>
              <w:jc w:val="left"/>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val="en-US" w:eastAsia="zh-CN" w:bidi="ar"/>
              </w:rPr>
              <w:t>7</w:t>
            </w:r>
            <w:r>
              <w:rPr>
                <w:rFonts w:hint="eastAsia" w:ascii="宋体" w:hAnsi="宋体" w:cs="宋体"/>
                <w:color w:val="000000"/>
                <w:kern w:val="0"/>
                <w:sz w:val="24"/>
                <w:szCs w:val="24"/>
                <w:lang w:bidi="ar"/>
              </w:rPr>
              <w:t xml:space="preserve">、载重量：二门可防止42-84个7厘米直径口杯，大门可放50条左右小毛巾；                                           </w:t>
            </w:r>
            <w:r>
              <w:rPr>
                <w:rFonts w:hint="eastAsia" w:ascii="宋体" w:hAnsi="宋体" w:cs="宋体"/>
                <w:color w:val="000000"/>
                <w:kern w:val="0"/>
                <w:sz w:val="24"/>
                <w:szCs w:val="24"/>
                <w:lang w:val="en-US" w:eastAsia="zh-CN" w:bidi="ar"/>
              </w:rPr>
              <w:t>8</w:t>
            </w:r>
            <w:r>
              <w:rPr>
                <w:rFonts w:hint="eastAsia" w:ascii="宋体" w:hAnsi="宋体" w:cs="宋体"/>
                <w:color w:val="000000"/>
                <w:kern w:val="0"/>
                <w:sz w:val="24"/>
                <w:szCs w:val="24"/>
                <w:lang w:bidi="ar"/>
              </w:rPr>
              <w:t xml:space="preserve">.加厚201不锈钢箱体，全钢化玻璃门，201不锈钢防刮手层架。                                                     </w:t>
            </w:r>
            <w:r>
              <w:rPr>
                <w:rFonts w:hint="eastAsia" w:ascii="宋体" w:hAnsi="宋体" w:cs="宋体"/>
                <w:color w:val="000000"/>
                <w:kern w:val="0"/>
                <w:sz w:val="24"/>
                <w:szCs w:val="24"/>
                <w:lang w:val="en-US" w:eastAsia="zh-CN" w:bidi="ar"/>
              </w:rPr>
              <w:t>9</w:t>
            </w:r>
            <w:r>
              <w:rPr>
                <w:rFonts w:hint="eastAsia" w:ascii="宋体" w:hAnsi="宋体" w:cs="宋体"/>
                <w:color w:val="000000"/>
                <w:kern w:val="0"/>
                <w:sz w:val="24"/>
                <w:szCs w:val="24"/>
                <w:lang w:bidi="ar"/>
              </w:rPr>
              <w:t xml:space="preserve">.无磁不锈钢保持柜内干爽不易生锈经久耐用，路合金门框。嵌入式暗拉手包装安装，防撞经久耐用。                 </w:t>
            </w:r>
          </w:p>
          <w:p w14:paraId="676054D1">
            <w:pPr>
              <w:widowControl/>
              <w:jc w:val="left"/>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1</w:t>
            </w:r>
            <w:r>
              <w:rPr>
                <w:rFonts w:hint="eastAsia" w:ascii="宋体" w:hAnsi="宋体" w:cs="宋体"/>
                <w:color w:val="000000"/>
                <w:kern w:val="0"/>
                <w:sz w:val="24"/>
                <w:szCs w:val="24"/>
                <w:lang w:val="en-US" w:eastAsia="zh-CN" w:bidi="ar"/>
              </w:rPr>
              <w:t>0</w:t>
            </w:r>
            <w:r>
              <w:rPr>
                <w:rFonts w:hint="eastAsia" w:ascii="宋体" w:hAnsi="宋体" w:cs="宋体"/>
                <w:color w:val="000000"/>
                <w:kern w:val="0"/>
                <w:sz w:val="24"/>
                <w:szCs w:val="24"/>
                <w:lang w:bidi="ar"/>
              </w:rPr>
              <w:t>.定时器开关自动关机，防倾倒设计，可固定到墙体上以防小朋友拉倒压倒人，防漏电保护装置。</w:t>
            </w:r>
          </w:p>
          <w:p w14:paraId="441B47BE">
            <w:pPr>
              <w:widowControl/>
              <w:jc w:val="left"/>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1</w:t>
            </w:r>
            <w:r>
              <w:rPr>
                <w:rFonts w:hint="eastAsia" w:ascii="宋体" w:hAnsi="宋体" w:cs="宋体"/>
                <w:color w:val="000000"/>
                <w:kern w:val="0"/>
                <w:sz w:val="24"/>
                <w:szCs w:val="24"/>
                <w:lang w:val="en-US" w:eastAsia="zh-CN" w:bidi="ar"/>
              </w:rPr>
              <w:t>1</w:t>
            </w:r>
            <w:r>
              <w:rPr>
                <w:rFonts w:hint="eastAsia" w:ascii="宋体" w:hAnsi="宋体" w:cs="宋体"/>
                <w:color w:val="000000"/>
                <w:kern w:val="0"/>
                <w:sz w:val="24"/>
                <w:szCs w:val="24"/>
                <w:lang w:bidi="ar"/>
              </w:rPr>
              <w:t xml:space="preserve">.有双门消毒功能：臭氧消毒杀菌+2条中温红外线灯管600W消毒。双门里相通可放42-84个7厘米不锈钢口杯，可以配号牌，各人的杯子在摆放在各人的位置，方便安全卫生。          </w:t>
            </w:r>
          </w:p>
          <w:p w14:paraId="683E7C27">
            <w:pPr>
              <w:widowControl/>
              <w:jc w:val="left"/>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1</w:t>
            </w:r>
            <w:r>
              <w:rPr>
                <w:rFonts w:hint="eastAsia" w:ascii="宋体" w:hAnsi="宋体" w:cs="宋体"/>
                <w:color w:val="000000"/>
                <w:kern w:val="0"/>
                <w:sz w:val="24"/>
                <w:szCs w:val="24"/>
                <w:lang w:val="en-US" w:eastAsia="zh-CN" w:bidi="ar"/>
              </w:rPr>
              <w:t>2</w:t>
            </w:r>
            <w:r>
              <w:rPr>
                <w:rFonts w:hint="eastAsia" w:ascii="宋体" w:hAnsi="宋体" w:cs="宋体"/>
                <w:color w:val="000000"/>
                <w:kern w:val="0"/>
                <w:sz w:val="24"/>
                <w:szCs w:val="24"/>
                <w:lang w:bidi="ar"/>
              </w:rPr>
              <w:t>.做单们下斗功能：紫外线消毒杀菌。</w:t>
            </w:r>
          </w:p>
          <w:p w14:paraId="60D93345">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w:t>
            </w:r>
            <w:r>
              <w:rPr>
                <w:rFonts w:hint="eastAsia" w:ascii="宋体" w:hAnsi="宋体" w:cs="宋体"/>
                <w:color w:val="000000"/>
                <w:kern w:val="0"/>
                <w:sz w:val="24"/>
                <w:szCs w:val="24"/>
                <w:lang w:val="en-US" w:eastAsia="zh-CN" w:bidi="ar"/>
              </w:rPr>
              <w:t>3</w:t>
            </w:r>
            <w:r>
              <w:rPr>
                <w:rFonts w:hint="eastAsia" w:ascii="宋体" w:hAnsi="宋体" w:cs="宋体"/>
                <w:color w:val="000000"/>
                <w:kern w:val="0"/>
                <w:sz w:val="24"/>
                <w:szCs w:val="24"/>
                <w:lang w:bidi="ar"/>
              </w:rPr>
              <w:t>.全钢无磁防夹手包边箱体</w:t>
            </w:r>
          </w:p>
        </w:tc>
        <w:tc>
          <w:tcPr>
            <w:tcW w:w="256" w:type="pct"/>
            <w:shd w:val="clear" w:color="auto" w:fill="auto"/>
            <w:vAlign w:val="center"/>
          </w:tcPr>
          <w:p w14:paraId="48496A3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10</w:t>
            </w:r>
          </w:p>
        </w:tc>
        <w:tc>
          <w:tcPr>
            <w:tcW w:w="311" w:type="pct"/>
            <w:shd w:val="clear" w:color="auto" w:fill="auto"/>
            <w:vAlign w:val="center"/>
          </w:tcPr>
          <w:p w14:paraId="471C06F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vAlign w:val="center"/>
          </w:tcPr>
          <w:p w14:paraId="368E6EF9">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59264" behindDoc="0" locked="0" layoutInCell="1" allowOverlap="1">
                  <wp:simplePos x="0" y="0"/>
                  <wp:positionH relativeFrom="column">
                    <wp:posOffset>161290</wp:posOffset>
                  </wp:positionH>
                  <wp:positionV relativeFrom="paragraph">
                    <wp:posOffset>28575</wp:posOffset>
                  </wp:positionV>
                  <wp:extent cx="691515" cy="942340"/>
                  <wp:effectExtent l="0" t="0" r="13335" b="10160"/>
                  <wp:wrapNone/>
                  <wp:docPr id="937" name="图片_3"/>
                  <wp:cNvGraphicFramePr/>
                  <a:graphic xmlns:a="http://schemas.openxmlformats.org/drawingml/2006/main">
                    <a:graphicData uri="http://schemas.openxmlformats.org/drawingml/2006/picture">
                      <pic:pic xmlns:pic="http://schemas.openxmlformats.org/drawingml/2006/picture">
                        <pic:nvPicPr>
                          <pic:cNvPr id="937" name="图片_3"/>
                          <pic:cNvPicPr/>
                        </pic:nvPicPr>
                        <pic:blipFill>
                          <a:blip r:embed="rId5"/>
                          <a:stretch>
                            <a:fillRect/>
                          </a:stretch>
                        </pic:blipFill>
                        <pic:spPr>
                          <a:xfrm>
                            <a:off x="0" y="0"/>
                            <a:ext cx="691515" cy="942340"/>
                          </a:xfrm>
                          <a:prstGeom prst="rect">
                            <a:avLst/>
                          </a:prstGeom>
                          <a:noFill/>
                          <a:ln>
                            <a:noFill/>
                          </a:ln>
                        </pic:spPr>
                      </pic:pic>
                    </a:graphicData>
                  </a:graphic>
                </wp:anchor>
              </w:drawing>
            </w:r>
          </w:p>
        </w:tc>
        <w:tc>
          <w:tcPr>
            <w:tcW w:w="251" w:type="pct"/>
            <w:shd w:val="clear" w:color="auto" w:fill="auto"/>
            <w:vAlign w:val="center"/>
          </w:tcPr>
          <w:p w14:paraId="5E372372">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val="en-US" w:eastAsia="zh-CN" w:bidi="ar"/>
              </w:rPr>
              <w:t xml:space="preserve"> </w:t>
            </w:r>
          </w:p>
        </w:tc>
      </w:tr>
      <w:tr w14:paraId="1D76C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3" w:hRule="atLeast"/>
        </w:trPr>
        <w:tc>
          <w:tcPr>
            <w:tcW w:w="241" w:type="pct"/>
            <w:shd w:val="clear" w:color="auto" w:fill="auto"/>
            <w:vAlign w:val="center"/>
          </w:tcPr>
          <w:p w14:paraId="1F61162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3</w:t>
            </w:r>
          </w:p>
        </w:tc>
        <w:tc>
          <w:tcPr>
            <w:tcW w:w="430" w:type="pct"/>
            <w:shd w:val="clear" w:color="auto" w:fill="auto"/>
            <w:vAlign w:val="center"/>
          </w:tcPr>
          <w:p w14:paraId="3DF5034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饮水机</w:t>
            </w:r>
          </w:p>
        </w:tc>
        <w:tc>
          <w:tcPr>
            <w:tcW w:w="2861" w:type="pct"/>
            <w:shd w:val="clear" w:color="auto" w:fill="auto"/>
            <w:vAlign w:val="center"/>
          </w:tcPr>
          <w:p w14:paraId="4E4B4CD2">
            <w:pPr>
              <w:widowControl/>
              <w:spacing w:after="240"/>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1、加热内胆≥10升；</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2、电源/功率：220V/50Hz，≥2KW；</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3、供水量：，温开水≥40L/h；</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4、出水方式：两个出温水；</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5、外形尺寸（长×宽×高）：600×400×1250mm（±5%）；</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6、接水水槽采用整体模压成型，没有焊点，经久耐用；</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7、过滤配置：不低于4级反渗透过滤（PP棉+活性炭+活性炭+RO反渗透），净水流量≥1L/min，额定总净水量≥3000L；</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8、节能技术：采用热交换节能技术，回收开水热能，热交换器外壳要求304不锈钢防护外壳，温开水出水水温可在35℃—85℃范围内任意调节。温开水应为热交换器交换原理，不得采用开水和常温水混合的方式。水不开无水出，全自动运行，热力回收功能节能85%以上；</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9、采用开水高温杀菌技术：能对饮水设备的管路及龙头智能高温开水消毒，无需人工处理，智能化操作，安全可靠无副作用（不采用化学方式杀菌的饮水设备）；</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 xml:space="preserve">10、采用滤芯射频感应功能：滤芯射频感应功能，具有滤芯真伪识别、使用寿命提醒功能，保证水质卫生安全；                                    </w:t>
            </w:r>
          </w:p>
        </w:tc>
        <w:tc>
          <w:tcPr>
            <w:tcW w:w="256" w:type="pct"/>
            <w:shd w:val="clear" w:color="auto" w:fill="auto"/>
            <w:vAlign w:val="center"/>
          </w:tcPr>
          <w:p w14:paraId="7A29F47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10</w:t>
            </w:r>
          </w:p>
        </w:tc>
        <w:tc>
          <w:tcPr>
            <w:tcW w:w="311" w:type="pct"/>
            <w:shd w:val="clear" w:color="auto" w:fill="auto"/>
            <w:vAlign w:val="center"/>
          </w:tcPr>
          <w:p w14:paraId="73F4979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vAlign w:val="center"/>
          </w:tcPr>
          <w:p w14:paraId="6197C0F8">
            <w:pPr>
              <w:widowControl/>
              <w:jc w:val="center"/>
              <w:textAlignment w:val="center"/>
              <w:rPr>
                <w:rFonts w:ascii="宋体" w:hAnsi="宋体" w:cs="宋体"/>
                <w:color w:val="000000"/>
                <w:sz w:val="24"/>
                <w:szCs w:val="24"/>
              </w:rPr>
            </w:pPr>
            <w:r>
              <w:rPr>
                <w:shd w:val="clear"/>
              </w:rPr>
              <w:drawing>
                <wp:inline distT="0" distB="0" distL="114300" distR="114300">
                  <wp:extent cx="752475" cy="1000125"/>
                  <wp:effectExtent l="0" t="0" r="9525" b="952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6"/>
                          <a:stretch>
                            <a:fillRect/>
                          </a:stretch>
                        </pic:blipFill>
                        <pic:spPr>
                          <a:xfrm>
                            <a:off x="0" y="0"/>
                            <a:ext cx="752475" cy="1000125"/>
                          </a:xfrm>
                          <a:prstGeom prst="rect">
                            <a:avLst/>
                          </a:prstGeom>
                          <a:noFill/>
                          <a:ln>
                            <a:noFill/>
                          </a:ln>
                        </pic:spPr>
                      </pic:pic>
                    </a:graphicData>
                  </a:graphic>
                </wp:inline>
              </w:drawing>
            </w:r>
          </w:p>
        </w:tc>
        <w:tc>
          <w:tcPr>
            <w:tcW w:w="251" w:type="pct"/>
            <w:shd w:val="clear" w:color="auto" w:fill="auto"/>
            <w:vAlign w:val="center"/>
          </w:tcPr>
          <w:p w14:paraId="25FB02CB">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val="en-US" w:eastAsia="zh-CN" w:bidi="ar"/>
              </w:rPr>
              <w:t xml:space="preserve"> </w:t>
            </w:r>
          </w:p>
        </w:tc>
      </w:tr>
      <w:tr w14:paraId="21019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5" w:hRule="atLeast"/>
        </w:trPr>
        <w:tc>
          <w:tcPr>
            <w:tcW w:w="241" w:type="pct"/>
            <w:shd w:val="clear" w:color="auto" w:fill="auto"/>
            <w:vAlign w:val="center"/>
          </w:tcPr>
          <w:p w14:paraId="2A28CDA8">
            <w:pPr>
              <w:widowControl/>
              <w:jc w:val="center"/>
              <w:textAlignment w:val="center"/>
              <w:rPr>
                <w:rFonts w:ascii="宋体" w:hAnsi="宋体" w:cs="宋体"/>
                <w:color w:val="000000"/>
                <w:sz w:val="24"/>
                <w:szCs w:val="24"/>
              </w:rPr>
            </w:pPr>
          </w:p>
        </w:tc>
        <w:tc>
          <w:tcPr>
            <w:tcW w:w="430" w:type="pct"/>
            <w:shd w:val="clear" w:color="auto" w:fill="auto"/>
            <w:vAlign w:val="center"/>
          </w:tcPr>
          <w:p w14:paraId="4FBB4FC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电钢琴（带凳）</w:t>
            </w:r>
          </w:p>
        </w:tc>
        <w:tc>
          <w:tcPr>
            <w:tcW w:w="2861" w:type="pct"/>
            <w:shd w:val="clear" w:color="auto" w:fill="auto"/>
            <w:vAlign w:val="center"/>
          </w:tcPr>
          <w:p w14:paraId="408001EA">
            <w:pPr>
              <w:widowControl/>
              <w:numPr>
                <w:ilvl w:val="0"/>
                <w:numId w:val="1"/>
              </w:numPr>
              <w:jc w:val="left"/>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外形：标准高柜式推拉盖电钢琴</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 xml:space="preserve">2.外观饰面：白色（黑色）粉红，大红，钢琴烤漆；白色（黑色）木纹PVC </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3.结构特征：主机以及支架属木质外壳，推拉式翻盖</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4.键盘：88键分级渐进式动态触键感应重锤力度键盘</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5.音源：采用</w:t>
            </w:r>
            <w:r>
              <w:rPr>
                <w:rFonts w:hint="eastAsia" w:ascii="宋体" w:hAnsi="宋体" w:cs="宋体"/>
                <w:color w:val="000000"/>
                <w:kern w:val="0"/>
                <w:sz w:val="24"/>
                <w:szCs w:val="24"/>
                <w:lang w:val="en-US" w:eastAsia="zh-CN" w:bidi="ar"/>
              </w:rPr>
              <w:t>优质</w:t>
            </w:r>
            <w:r>
              <w:rPr>
                <w:rFonts w:hint="eastAsia" w:ascii="宋体" w:hAnsi="宋体" w:cs="宋体"/>
                <w:color w:val="000000"/>
                <w:kern w:val="0"/>
                <w:sz w:val="24"/>
                <w:szCs w:val="24"/>
                <w:lang w:bidi="ar"/>
              </w:rPr>
              <w:t>音源</w:t>
            </w:r>
          </w:p>
          <w:p w14:paraId="6FC8FD0E">
            <w:pPr>
              <w:widowControl/>
              <w:numPr>
                <w:ilvl w:val="0"/>
                <w:numId w:val="2"/>
              </w:numPr>
              <w:ind w:left="0" w:leftChars="0" w:firstLine="0" w:firstLineChars="0"/>
              <w:jc w:val="left"/>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复音数：128（立体音）</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7.音量控制：主音量，夜间弹奏可以调节或耳机插孔</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8.踏板功能：和传统机械大三角钢琴相同，分延音踏板，弱音踏板，制音（后延音）踏板</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9.MIDI接口：MIDI计算机接口，可实现无限量歌曲录音储存，支持64轨16通道MIDI录音，支持MIDI  0&amp;1 格式文件，系统无限扩展和升级；</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10.接口：USB接口，踏板线接口，电源接口，MIDI接口，耳机接口，音频接口</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11.额定电源：入力AC 110-240V 1.5A 50-60HZ  出力：DC  15V  3A</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12.功率：35W*2</w:t>
            </w:r>
            <w:r>
              <w:rPr>
                <w:rFonts w:hint="eastAsia" w:ascii="宋体" w:hAnsi="宋体" w:cs="宋体"/>
                <w:color w:val="000000"/>
                <w:kern w:val="0"/>
                <w:sz w:val="24"/>
                <w:szCs w:val="24"/>
                <w:lang w:val="en-US" w:eastAsia="zh-CN" w:bidi="ar"/>
              </w:rPr>
              <w:t xml:space="preserve">   </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13.尺寸：长1376*宽432*高930   键盘离地面高730  脚腿高度630</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16.配件：电源适配器，保修卡以及合格证，使用说明书</w:t>
            </w:r>
          </w:p>
          <w:p w14:paraId="39D915FC">
            <w:pPr>
              <w:widowControl/>
              <w:numPr>
                <w:ilvl w:val="0"/>
                <w:numId w:val="0"/>
              </w:numPr>
              <w:ind w:leftChars="0"/>
              <w:jc w:val="left"/>
              <w:textAlignment w:val="center"/>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17.音准误差:-2~+0.6音分;</w:t>
            </w:r>
          </w:p>
          <w:p w14:paraId="67E8193C">
            <w:pPr>
              <w:widowControl/>
              <w:numPr>
                <w:ilvl w:val="0"/>
                <w:numId w:val="0"/>
              </w:numPr>
              <w:ind w:leftChars="0"/>
              <w:jc w:val="left"/>
              <w:textAlignment w:val="center"/>
              <w:rPr>
                <w:rFonts w:hint="default"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18.</w:t>
            </w:r>
            <w:r>
              <w:rPr>
                <w:rFonts w:hint="default" w:ascii="宋体" w:hAnsi="宋体" w:cs="宋体"/>
                <w:color w:val="000000"/>
                <w:kern w:val="0"/>
                <w:sz w:val="24"/>
                <w:szCs w:val="24"/>
                <w:lang w:val="en-US" w:eastAsia="zh-CN" w:bidi="ar"/>
              </w:rPr>
              <w:t>相邻两键偏差mm:≦0.</w:t>
            </w:r>
            <w:r>
              <w:rPr>
                <w:rFonts w:hint="eastAsia" w:ascii="宋体" w:hAnsi="宋体" w:cs="宋体"/>
                <w:color w:val="000000"/>
                <w:kern w:val="0"/>
                <w:sz w:val="24"/>
                <w:szCs w:val="24"/>
                <w:lang w:val="en-US" w:eastAsia="zh-CN" w:bidi="ar"/>
              </w:rPr>
              <w:t>6</w:t>
            </w:r>
            <w:r>
              <w:rPr>
                <w:rFonts w:hint="default" w:ascii="宋体" w:hAnsi="宋体" w:cs="宋体"/>
                <w:color w:val="000000"/>
                <w:kern w:val="0"/>
                <w:sz w:val="24"/>
                <w:szCs w:val="24"/>
                <w:lang w:val="en-US" w:eastAsia="zh-CN" w:bidi="ar"/>
              </w:rPr>
              <w:t>;</w:t>
            </w:r>
          </w:p>
          <w:p w14:paraId="642A9F32">
            <w:pPr>
              <w:widowControl/>
              <w:numPr>
                <w:ilvl w:val="0"/>
                <w:numId w:val="0"/>
              </w:numPr>
              <w:ind w:leftChars="0"/>
              <w:jc w:val="left"/>
              <w:textAlignment w:val="center"/>
              <w:rPr>
                <w:rFonts w:hint="eastAsia" w:ascii="宋体" w:hAnsi="宋体" w:cs="宋体"/>
                <w:color w:val="000000"/>
                <w:kern w:val="0"/>
                <w:sz w:val="24"/>
                <w:szCs w:val="24"/>
                <w:lang w:val="en-US" w:eastAsia="zh-CN" w:bidi="ar"/>
              </w:rPr>
            </w:pPr>
            <w:r>
              <w:rPr>
                <w:rFonts w:hint="eastAsia" w:ascii="宋体" w:hAnsi="宋体" w:cs="宋体"/>
                <w:color w:val="000000"/>
                <w:kern w:val="0"/>
                <w:sz w:val="24"/>
                <w:szCs w:val="24"/>
                <w:lang w:val="en-US" w:eastAsia="zh-CN" w:bidi="ar"/>
              </w:rPr>
              <w:t>19.白键表面全键盘表面最大高度差:≤1 mm</w:t>
            </w:r>
          </w:p>
          <w:p w14:paraId="1E2E29DE">
            <w:pPr>
              <w:widowControl/>
              <w:numPr>
                <w:ilvl w:val="0"/>
                <w:numId w:val="0"/>
              </w:numPr>
              <w:ind w:leftChars="0"/>
              <w:jc w:val="left"/>
              <w:textAlignment w:val="center"/>
              <w:rPr>
                <w:rFonts w:hint="default"/>
                <w:lang w:val="en-US" w:eastAsia="zh-CN"/>
              </w:rPr>
            </w:pPr>
            <w:r>
              <w:rPr>
                <w:rFonts w:hint="eastAsia" w:ascii="宋体" w:hAnsi="宋体" w:cs="宋体"/>
                <w:color w:val="000000"/>
                <w:kern w:val="0"/>
                <w:sz w:val="24"/>
                <w:szCs w:val="24"/>
                <w:lang w:val="en-US" w:eastAsia="zh-CN" w:bidi="ar"/>
              </w:rPr>
              <w:t>20.</w:t>
            </w:r>
            <w:r>
              <w:rPr>
                <w:rFonts w:hint="default" w:ascii="宋体" w:hAnsi="宋体" w:cs="宋体"/>
                <w:color w:val="000000"/>
                <w:kern w:val="0"/>
                <w:sz w:val="24"/>
                <w:szCs w:val="24"/>
                <w:lang w:val="en-US" w:eastAsia="zh-CN" w:bidi="ar"/>
              </w:rPr>
              <w:t xml:space="preserve">琴键下降负荷在 </w:t>
            </w:r>
            <w:r>
              <w:rPr>
                <w:rFonts w:hint="eastAsia" w:ascii="宋体" w:hAnsi="宋体" w:cs="宋体"/>
                <w:color w:val="000000"/>
                <w:kern w:val="0"/>
                <w:sz w:val="24"/>
                <w:szCs w:val="24"/>
                <w:lang w:val="en-US" w:eastAsia="zh-CN" w:bidi="ar"/>
              </w:rPr>
              <w:t>1</w:t>
            </w:r>
            <w:r>
              <w:rPr>
                <w:rFonts w:hint="default" w:ascii="宋体" w:hAnsi="宋体" w:cs="宋体"/>
                <w:color w:val="000000"/>
                <w:kern w:val="0"/>
                <w:sz w:val="24"/>
                <w:szCs w:val="24"/>
                <w:lang w:val="en-US" w:eastAsia="zh-CN" w:bidi="ar"/>
              </w:rPr>
              <w:t>-1.</w:t>
            </w:r>
            <w:r>
              <w:rPr>
                <w:rFonts w:hint="eastAsia" w:ascii="宋体" w:hAnsi="宋体" w:cs="宋体"/>
                <w:color w:val="000000"/>
                <w:kern w:val="0"/>
                <w:sz w:val="24"/>
                <w:szCs w:val="24"/>
                <w:lang w:val="en-US" w:eastAsia="zh-CN" w:bidi="ar"/>
              </w:rPr>
              <w:t>5</w:t>
            </w:r>
            <w:r>
              <w:rPr>
                <w:rFonts w:hint="default" w:ascii="宋体" w:hAnsi="宋体" w:cs="宋体"/>
                <w:color w:val="000000"/>
                <w:kern w:val="0"/>
                <w:sz w:val="24"/>
                <w:szCs w:val="24"/>
                <w:lang w:val="en-US" w:eastAsia="zh-CN" w:bidi="ar"/>
              </w:rPr>
              <w:t>N 范围内。</w:t>
            </w:r>
          </w:p>
        </w:tc>
        <w:tc>
          <w:tcPr>
            <w:tcW w:w="256" w:type="pct"/>
            <w:shd w:val="clear" w:color="auto" w:fill="auto"/>
            <w:vAlign w:val="center"/>
          </w:tcPr>
          <w:p w14:paraId="1EFE55A6">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val="en-US" w:eastAsia="zh-CN" w:bidi="ar"/>
              </w:rPr>
              <w:t>4</w:t>
            </w:r>
          </w:p>
        </w:tc>
        <w:tc>
          <w:tcPr>
            <w:tcW w:w="311" w:type="pct"/>
            <w:shd w:val="clear" w:color="auto" w:fill="auto"/>
            <w:vAlign w:val="center"/>
          </w:tcPr>
          <w:p w14:paraId="79FB2A7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vAlign w:val="center"/>
          </w:tcPr>
          <w:p w14:paraId="573B2B2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60288" behindDoc="0" locked="0" layoutInCell="1" allowOverlap="1">
                  <wp:simplePos x="0" y="0"/>
                  <wp:positionH relativeFrom="column">
                    <wp:posOffset>-41275</wp:posOffset>
                  </wp:positionH>
                  <wp:positionV relativeFrom="paragraph">
                    <wp:posOffset>1567815</wp:posOffset>
                  </wp:positionV>
                  <wp:extent cx="1047115" cy="785495"/>
                  <wp:effectExtent l="0" t="0" r="635" b="14605"/>
                  <wp:wrapNone/>
                  <wp:docPr id="936" name="图片_8"/>
                  <wp:cNvGraphicFramePr/>
                  <a:graphic xmlns:a="http://schemas.openxmlformats.org/drawingml/2006/main">
                    <a:graphicData uri="http://schemas.openxmlformats.org/drawingml/2006/picture">
                      <pic:pic xmlns:pic="http://schemas.openxmlformats.org/drawingml/2006/picture">
                        <pic:nvPicPr>
                          <pic:cNvPr id="936" name="图片_8"/>
                          <pic:cNvPicPr/>
                        </pic:nvPicPr>
                        <pic:blipFill>
                          <a:blip r:embed="rId7"/>
                          <a:stretch>
                            <a:fillRect/>
                          </a:stretch>
                        </pic:blipFill>
                        <pic:spPr>
                          <a:xfrm>
                            <a:off x="0" y="0"/>
                            <a:ext cx="1047115" cy="785495"/>
                          </a:xfrm>
                          <a:prstGeom prst="rect">
                            <a:avLst/>
                          </a:prstGeom>
                          <a:noFill/>
                          <a:ln>
                            <a:noFill/>
                          </a:ln>
                        </pic:spPr>
                      </pic:pic>
                    </a:graphicData>
                  </a:graphic>
                </wp:anchor>
              </w:drawing>
            </w:r>
          </w:p>
        </w:tc>
        <w:tc>
          <w:tcPr>
            <w:tcW w:w="251" w:type="pct"/>
            <w:shd w:val="clear" w:color="auto" w:fill="auto"/>
            <w:vAlign w:val="center"/>
          </w:tcPr>
          <w:p w14:paraId="2150F459">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val="en-US" w:eastAsia="zh-CN" w:bidi="ar"/>
              </w:rPr>
              <w:t xml:space="preserve"> </w:t>
            </w:r>
          </w:p>
        </w:tc>
      </w:tr>
      <w:tr w14:paraId="47085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3" w:hRule="atLeast"/>
        </w:trPr>
        <w:tc>
          <w:tcPr>
            <w:tcW w:w="241" w:type="pct"/>
            <w:shd w:val="clear" w:color="auto" w:fill="auto"/>
            <w:vAlign w:val="center"/>
          </w:tcPr>
          <w:p w14:paraId="35BCC47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5</w:t>
            </w:r>
          </w:p>
        </w:tc>
        <w:tc>
          <w:tcPr>
            <w:tcW w:w="430" w:type="pct"/>
            <w:shd w:val="clear" w:color="auto" w:fill="auto"/>
            <w:vAlign w:val="center"/>
          </w:tcPr>
          <w:p w14:paraId="436AA8D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带烘干杀菌功能的洗衣机</w:t>
            </w:r>
          </w:p>
        </w:tc>
        <w:tc>
          <w:tcPr>
            <w:tcW w:w="2861" w:type="pct"/>
            <w:shd w:val="clear" w:color="auto" w:fill="auto"/>
            <w:vAlign w:val="center"/>
          </w:tcPr>
          <w:p w14:paraId="771E6C23">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1.箱体材质：PCM钢板</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2</w:t>
            </w:r>
            <w:r>
              <w:rPr>
                <w:rFonts w:hint="eastAsia" w:ascii="宋体" w:hAnsi="宋体" w:cs="宋体"/>
                <w:color w:val="000000"/>
                <w:kern w:val="0"/>
                <w:sz w:val="24"/>
                <w:szCs w:val="24"/>
                <w:lang w:bidi="ar"/>
              </w:rPr>
              <w:t>.使用方式：全自动</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3</w:t>
            </w:r>
            <w:r>
              <w:rPr>
                <w:rFonts w:hint="eastAsia" w:ascii="宋体" w:hAnsi="宋体" w:cs="宋体"/>
                <w:color w:val="000000"/>
                <w:kern w:val="0"/>
                <w:sz w:val="24"/>
                <w:szCs w:val="24"/>
                <w:lang w:bidi="ar"/>
              </w:rPr>
              <w:t>.洗衣程序：大件洗快洗内衣洗消毒洗衬衫洗，</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4</w:t>
            </w:r>
            <w:r>
              <w:rPr>
                <w:rFonts w:hint="eastAsia" w:ascii="宋体" w:hAnsi="宋体" w:cs="宋体"/>
                <w:color w:val="000000"/>
                <w:kern w:val="0"/>
                <w:sz w:val="24"/>
                <w:szCs w:val="24"/>
                <w:lang w:bidi="ar"/>
              </w:rPr>
              <w:t>.排水方式：上排水</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5</w:t>
            </w:r>
            <w:r>
              <w:rPr>
                <w:rFonts w:hint="eastAsia" w:ascii="宋体" w:hAnsi="宋体" w:cs="宋体"/>
                <w:color w:val="000000"/>
                <w:kern w:val="0"/>
                <w:sz w:val="24"/>
                <w:szCs w:val="24"/>
                <w:lang w:bidi="ar"/>
              </w:rPr>
              <w:t>.能效等级：一级</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6</w:t>
            </w:r>
            <w:r>
              <w:rPr>
                <w:rFonts w:hint="eastAsia" w:ascii="宋体" w:hAnsi="宋体" w:cs="宋体"/>
                <w:color w:val="000000"/>
                <w:kern w:val="0"/>
                <w:sz w:val="24"/>
                <w:szCs w:val="24"/>
                <w:lang w:bidi="ar"/>
              </w:rPr>
              <w:t>.内桶材质：不锈钢</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7</w:t>
            </w:r>
            <w:r>
              <w:rPr>
                <w:rFonts w:hint="eastAsia" w:ascii="宋体" w:hAnsi="宋体" w:cs="宋体"/>
                <w:color w:val="000000"/>
                <w:kern w:val="0"/>
                <w:sz w:val="24"/>
                <w:szCs w:val="24"/>
                <w:lang w:bidi="ar"/>
              </w:rPr>
              <w:t>.控制方式：电子式</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8</w:t>
            </w:r>
            <w:r>
              <w:rPr>
                <w:rFonts w:hint="eastAsia" w:ascii="宋体" w:hAnsi="宋体" w:cs="宋体"/>
                <w:color w:val="000000"/>
                <w:kern w:val="0"/>
                <w:sz w:val="24"/>
                <w:szCs w:val="24"/>
                <w:lang w:bidi="ar"/>
              </w:rPr>
              <w:t>.产品类型：洗烘一体机</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9</w:t>
            </w:r>
            <w:r>
              <w:rPr>
                <w:rFonts w:hint="eastAsia" w:ascii="宋体" w:hAnsi="宋体" w:cs="宋体"/>
                <w:color w:val="000000"/>
                <w:kern w:val="0"/>
                <w:sz w:val="24"/>
                <w:szCs w:val="24"/>
                <w:lang w:bidi="ar"/>
              </w:rPr>
              <w:t>.开合方式：前开式</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10</w:t>
            </w:r>
            <w:r>
              <w:rPr>
                <w:rFonts w:hint="eastAsia" w:ascii="宋体" w:hAnsi="宋体" w:cs="宋体"/>
                <w:color w:val="000000"/>
                <w:kern w:val="0"/>
                <w:sz w:val="24"/>
                <w:szCs w:val="24"/>
                <w:lang w:bidi="ar"/>
              </w:rPr>
              <w:t>.脱水功率：420W</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11</w:t>
            </w:r>
            <w:r>
              <w:rPr>
                <w:rFonts w:hint="eastAsia" w:ascii="宋体" w:hAnsi="宋体" w:cs="宋体"/>
                <w:color w:val="000000"/>
                <w:kern w:val="0"/>
                <w:sz w:val="24"/>
                <w:szCs w:val="24"/>
                <w:lang w:bidi="ar"/>
              </w:rPr>
              <w:t>.洗涤功率：70W</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12</w:t>
            </w:r>
            <w:r>
              <w:rPr>
                <w:rFonts w:hint="eastAsia" w:ascii="宋体" w:hAnsi="宋体" w:cs="宋体"/>
                <w:color w:val="000000"/>
                <w:kern w:val="0"/>
                <w:sz w:val="24"/>
                <w:szCs w:val="24"/>
                <w:lang w:bidi="ar"/>
              </w:rPr>
              <w:t>.洗涤公斤量：10kg</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13</w:t>
            </w:r>
            <w:r>
              <w:rPr>
                <w:rFonts w:hint="eastAsia" w:ascii="宋体" w:hAnsi="宋体" w:cs="宋体"/>
                <w:color w:val="000000"/>
                <w:kern w:val="0"/>
                <w:sz w:val="24"/>
                <w:szCs w:val="24"/>
                <w:lang w:bidi="ar"/>
              </w:rPr>
              <w:t>.烘干方式：冷凝式</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14</w:t>
            </w:r>
            <w:r>
              <w:rPr>
                <w:rFonts w:hint="eastAsia" w:ascii="宋体" w:hAnsi="宋体" w:cs="宋体"/>
                <w:color w:val="000000"/>
                <w:kern w:val="0"/>
                <w:sz w:val="24"/>
                <w:szCs w:val="24"/>
                <w:lang w:bidi="ar"/>
              </w:rPr>
              <w:t>.脱水公斤量：10kg</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15</w:t>
            </w:r>
            <w:r>
              <w:rPr>
                <w:rFonts w:hint="eastAsia" w:ascii="宋体" w:hAnsi="宋体" w:cs="宋体"/>
                <w:color w:val="000000"/>
                <w:kern w:val="0"/>
                <w:sz w:val="24"/>
                <w:szCs w:val="24"/>
                <w:lang w:bidi="ar"/>
              </w:rPr>
              <w:t>.烘干公斤量：7kg</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16</w:t>
            </w:r>
            <w:r>
              <w:rPr>
                <w:rFonts w:hint="eastAsia" w:ascii="宋体" w:hAnsi="宋体" w:cs="宋体"/>
                <w:color w:val="000000"/>
                <w:kern w:val="0"/>
                <w:sz w:val="24"/>
                <w:szCs w:val="24"/>
                <w:lang w:bidi="ar"/>
              </w:rPr>
              <w:t>.烘干功率：1200W</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17</w:t>
            </w:r>
            <w:r>
              <w:rPr>
                <w:rFonts w:hint="eastAsia" w:ascii="宋体" w:hAnsi="宋体" w:cs="宋体"/>
                <w:color w:val="000000"/>
                <w:kern w:val="0"/>
                <w:sz w:val="24"/>
                <w:szCs w:val="24"/>
                <w:lang w:bidi="ar"/>
              </w:rPr>
              <w:t>.烘干功率：1200W</w:t>
            </w:r>
          </w:p>
        </w:tc>
        <w:tc>
          <w:tcPr>
            <w:tcW w:w="256" w:type="pct"/>
            <w:shd w:val="clear" w:color="auto" w:fill="auto"/>
            <w:vAlign w:val="center"/>
          </w:tcPr>
          <w:p w14:paraId="309104F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5</w:t>
            </w:r>
          </w:p>
        </w:tc>
        <w:tc>
          <w:tcPr>
            <w:tcW w:w="311" w:type="pct"/>
            <w:shd w:val="clear" w:color="auto" w:fill="auto"/>
            <w:vAlign w:val="center"/>
          </w:tcPr>
          <w:p w14:paraId="424A913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vAlign w:val="center"/>
          </w:tcPr>
          <w:p w14:paraId="6D855228">
            <w:pPr>
              <w:jc w:val="center"/>
              <w:rPr>
                <w:rFonts w:ascii="宋体" w:hAnsi="宋体" w:cs="宋体"/>
                <w:color w:val="000000"/>
                <w:sz w:val="24"/>
                <w:szCs w:val="24"/>
              </w:rPr>
            </w:pPr>
          </w:p>
        </w:tc>
        <w:tc>
          <w:tcPr>
            <w:tcW w:w="251" w:type="pct"/>
            <w:shd w:val="clear" w:color="auto" w:fill="auto"/>
            <w:vAlign w:val="center"/>
          </w:tcPr>
          <w:p w14:paraId="359D265F">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val="en-US" w:eastAsia="zh-CN" w:bidi="ar"/>
              </w:rPr>
              <w:t xml:space="preserve"> </w:t>
            </w:r>
          </w:p>
        </w:tc>
      </w:tr>
      <w:tr w14:paraId="28D12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41" w:type="pct"/>
            <w:shd w:val="clear" w:color="auto" w:fill="auto"/>
            <w:vAlign w:val="center"/>
          </w:tcPr>
          <w:p w14:paraId="2FC51E9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6</w:t>
            </w:r>
          </w:p>
        </w:tc>
        <w:tc>
          <w:tcPr>
            <w:tcW w:w="430" w:type="pct"/>
            <w:shd w:val="clear" w:color="auto" w:fill="auto"/>
            <w:vAlign w:val="center"/>
          </w:tcPr>
          <w:p w14:paraId="3B38173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幼儿园突发事件演练主机</w:t>
            </w:r>
          </w:p>
        </w:tc>
        <w:tc>
          <w:tcPr>
            <w:tcW w:w="2861" w:type="pct"/>
            <w:shd w:val="clear" w:color="auto" w:fill="auto"/>
            <w:vAlign w:val="center"/>
          </w:tcPr>
          <w:p w14:paraId="05A233FA">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1、机身颜色整体喷涂为公安蓝色，机身正面印有报警系统以及厂家服务热线电话、产品名称、生产厂商等信息不得采用第二次喷涂及粘贴方式。</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2、主机表面应进行喷塑处理，涂层均匀牢固，无流挂、气泡等缺陷、应平整光滑、无裂纹、无明显变形，表面涂层色泽均匀、无永久性污渍。</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主机触发警报方式：采用按钮式触发警报方式，主机配备4个警报按钮，分别对应和发出4种警报（“发生火灾”、“暴力袭击”、“地震警报”、“突袭警报”）及1个取消警报按钮，四种突发事件应急警报，并能以无线传输通讯方式接收相连设备信息。不管是演习模式还是应急模式下应能触发对应语音喊话大喇叭发出鸣响与紧急疏散提示语音。</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4、主机火灾警报按钮及警示语音提示：火灾警报声+（语音：</w:t>
            </w:r>
            <w:r>
              <w:rPr>
                <w:rFonts w:hint="eastAsia" w:ascii="宋体" w:hAnsi="宋体" w:cs="宋体"/>
                <w:color w:val="000000"/>
                <w:kern w:val="0"/>
                <w:sz w:val="24"/>
                <w:szCs w:val="24"/>
                <w:lang w:val="en-US" w:eastAsia="zh-CN" w:bidi="ar"/>
              </w:rPr>
              <w:t>比如播出</w:t>
            </w:r>
            <w:r>
              <w:rPr>
                <w:rFonts w:hint="eastAsia" w:ascii="宋体" w:hAnsi="宋体" w:cs="宋体"/>
                <w:color w:val="000000"/>
                <w:kern w:val="0"/>
                <w:sz w:val="24"/>
                <w:szCs w:val="24"/>
                <w:lang w:bidi="ar"/>
              </w:rPr>
              <w:t>“发生火灾，大家不要惊慌，请捂鼻猫腰，迅速按演习路线有序疏散到安全区域，不要推挤踩踏”）+火灾警报声。</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5、主机和分机暴力袭击警报按钮及警示语音提示：110警报声+（语音：</w:t>
            </w:r>
            <w:r>
              <w:rPr>
                <w:rFonts w:hint="eastAsia" w:ascii="宋体" w:hAnsi="宋体" w:cs="宋体"/>
                <w:color w:val="000000"/>
                <w:kern w:val="0"/>
                <w:sz w:val="24"/>
                <w:szCs w:val="24"/>
                <w:lang w:val="en-US" w:eastAsia="zh-CN" w:bidi="ar"/>
              </w:rPr>
              <w:t>比如播出</w:t>
            </w:r>
            <w:r>
              <w:rPr>
                <w:rFonts w:hint="eastAsia" w:ascii="宋体" w:hAnsi="宋体" w:cs="宋体"/>
                <w:color w:val="000000"/>
                <w:kern w:val="0"/>
                <w:sz w:val="24"/>
                <w:szCs w:val="24"/>
                <w:lang w:bidi="ar"/>
              </w:rPr>
              <w:t>“发生暴力袭击，大家不要惊慌，请关好门窗躲避到安全区域．安保人员紧急到岗处理”）+110警报声。</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6、主机地震警报按钮及警示语音提示：地震警报声+（语音：</w:t>
            </w:r>
            <w:r>
              <w:rPr>
                <w:rFonts w:hint="eastAsia" w:ascii="宋体" w:hAnsi="宋体" w:cs="宋体"/>
                <w:color w:val="000000"/>
                <w:kern w:val="0"/>
                <w:sz w:val="24"/>
                <w:szCs w:val="24"/>
                <w:lang w:val="en-US" w:eastAsia="zh-CN" w:bidi="ar"/>
              </w:rPr>
              <w:t>比如播出</w:t>
            </w:r>
            <w:r>
              <w:rPr>
                <w:rFonts w:hint="eastAsia" w:ascii="宋体" w:hAnsi="宋体" w:cs="宋体"/>
                <w:color w:val="000000"/>
                <w:kern w:val="0"/>
                <w:sz w:val="24"/>
                <w:szCs w:val="24"/>
                <w:lang w:bidi="ar"/>
              </w:rPr>
              <w:t>“地震警报”，大家不要惊慌，请先实施紧急避险，再按演习路线有序疏散到安全区域不要推挤踩踏”）+地震警报声。</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7、主机空袭警报按钮及警示语音提示：空袭警报声+（语音：</w:t>
            </w:r>
            <w:r>
              <w:rPr>
                <w:rFonts w:hint="eastAsia" w:ascii="宋体" w:hAnsi="宋体" w:cs="宋体"/>
                <w:color w:val="000000"/>
                <w:kern w:val="0"/>
                <w:sz w:val="24"/>
                <w:szCs w:val="24"/>
                <w:lang w:val="en-US" w:eastAsia="zh-CN" w:bidi="ar"/>
              </w:rPr>
              <w:t>比如播出</w:t>
            </w:r>
            <w:r>
              <w:rPr>
                <w:rFonts w:hint="eastAsia" w:ascii="宋体" w:hAnsi="宋体" w:cs="宋体"/>
                <w:color w:val="000000"/>
                <w:kern w:val="0"/>
                <w:sz w:val="24"/>
                <w:szCs w:val="24"/>
                <w:lang w:bidi="ar"/>
              </w:rPr>
              <w:t>“空袭警报”，大家不要惊慌，迅速按演习路线有序疏散到安全区域．不要推挤踩踏”）+空袭警报声。</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8、主机警报传输方式和模式：采用无线对码，无线传输方式。在预警模式下，触发警报功能主机将自动拨打预设警报电话，并自动上传突发事件接警云平台。在演练模式下，触发警报功能只会现场语音播报与对应警报鸣响，不会上传突发事件接警云平台，不拔打电话，不发送短信。主机应具有以上两种演习和预警功能模式，并且幼儿园或单位根据使用情况自由切换。主机应能支持GPRS流量和IP网络双网连接功能，上传至突发事件接警云平台功能，应可配合高清摄像头、室外防水枪式摄像机联动复核，实现一键警报，视频多点联动。</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9、主机应自带功放，应能驱动60W以内喇叭。并且预留外接大功率功放接口，应可以根据需求定制幼儿园或单位广播设备电源强插输出接口。</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10、主机面板带数码管显示（比如01代表幼儿园或单位前门，02代表幼儿园或单位后门，03代表教学楼。），应可以迅速锁定警报事发地址。实现幼儿园或单位的各个门卫值班室，教学楼，财务室，等核心防护地点的一警多发，一呼百应，警报群播，多警演练，群防群治。</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11、电话警报：系统应备电话警报功能，主机应可以自定义TTS语音播报功能，可根据需要设定相应警报内容，比如“某某幼儿园或单位或幼儿园或单位北门紧急警报”“某某单位或幼儿园教学楼紧急警报”。接警人员接到警报电话后系统会自动读出该自定义文字内容，然后进入免提对讲或切换远程喊话状态。</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12、主机应能支持按钮触发警报后发送短信（应能支持6组，短信内容可定义）与拔打电话（6组）双向对讲功能。</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13、主机有线无线兼容，应能支持无线配件接入与预留4路有线防区，应可以方便扩展周界防范防盗，消防预警功能。</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14、主机应可以与分机配套使用，无线传输距离（开阔地）室内天线1-2KM，分机群组使用根据幼儿园或单位面积大小无线距离应可以级联扩展10公里以上。</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15、主机可选配12V7A的蓄电池1台，停电不停机。</w:t>
            </w:r>
          </w:p>
        </w:tc>
        <w:tc>
          <w:tcPr>
            <w:tcW w:w="256" w:type="pct"/>
            <w:shd w:val="clear" w:color="auto" w:fill="auto"/>
            <w:vAlign w:val="center"/>
          </w:tcPr>
          <w:p w14:paraId="644DEB6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vAlign w:val="center"/>
          </w:tcPr>
          <w:p w14:paraId="66FA91E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vAlign w:val="center"/>
          </w:tcPr>
          <w:p w14:paraId="30D1C79F">
            <w:pPr>
              <w:jc w:val="center"/>
              <w:rPr>
                <w:rFonts w:ascii="宋体" w:hAnsi="宋体" w:cs="宋体"/>
                <w:color w:val="000000"/>
                <w:sz w:val="24"/>
                <w:szCs w:val="24"/>
              </w:rPr>
            </w:pPr>
          </w:p>
        </w:tc>
        <w:tc>
          <w:tcPr>
            <w:tcW w:w="251" w:type="pct"/>
            <w:vMerge w:val="restart"/>
            <w:shd w:val="clear" w:color="auto" w:fill="auto"/>
            <w:vAlign w:val="center"/>
          </w:tcPr>
          <w:p w14:paraId="27FBFBA6">
            <w:pPr>
              <w:widowControl/>
              <w:jc w:val="center"/>
              <w:textAlignment w:val="center"/>
              <w:rPr>
                <w:rFonts w:ascii="宋体" w:hAnsi="宋体" w:cs="宋体"/>
                <w:color w:val="000000"/>
                <w:sz w:val="24"/>
                <w:szCs w:val="24"/>
              </w:rPr>
            </w:pPr>
          </w:p>
        </w:tc>
      </w:tr>
      <w:tr w14:paraId="41B96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0" w:hRule="atLeast"/>
        </w:trPr>
        <w:tc>
          <w:tcPr>
            <w:tcW w:w="241" w:type="pct"/>
            <w:shd w:val="clear" w:color="auto" w:fill="auto"/>
            <w:vAlign w:val="center"/>
          </w:tcPr>
          <w:p w14:paraId="205B1EE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7</w:t>
            </w:r>
          </w:p>
        </w:tc>
        <w:tc>
          <w:tcPr>
            <w:tcW w:w="430" w:type="pct"/>
            <w:shd w:val="clear" w:color="auto" w:fill="auto"/>
            <w:vAlign w:val="center"/>
          </w:tcPr>
          <w:p w14:paraId="512EB46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幼儿园突发事件演练分机</w:t>
            </w:r>
          </w:p>
        </w:tc>
        <w:tc>
          <w:tcPr>
            <w:tcW w:w="2861" w:type="pct"/>
            <w:shd w:val="clear" w:color="auto" w:fill="auto"/>
            <w:vAlign w:val="center"/>
          </w:tcPr>
          <w:p w14:paraId="081CA8F9">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1、机身颜色整体喷涂为公安蓝色，机身正面印有报警系统分机以及服务热线电话、产品名称、生产厂商等信息与产品融为一体，为保证产品美观及整体性产品信息不得采用第二次喷涂及粘贴方式。</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2、分机表面应进行喷塑处理，涂层均匀牢固，无流挂、气泡等缺陷、应平整光滑、无裂纹、无明显变形，表面涂层色泽均匀、无永久性污渍。</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3、分机与主机应可配合使用，组成幼儿园或单位区域内的一警多发，一呼百应，警报群播，多警演练，群防群治。</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4、分机警报传输方式和模式：采用无线对码，无线传输方式。</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5、分机触发警报方式：采用按钮式触发警报方式，分机配备4个警报按钮，分别对应和发出4种警报（“发生火灾”、“暴力袭击”、“地震警报”、</w:t>
            </w:r>
            <w:r>
              <w:rPr>
                <w:rFonts w:hint="eastAsia" w:ascii="宋体" w:hAnsi="宋体" w:cs="宋体"/>
                <w:b/>
                <w:bCs/>
                <w:color w:val="000000"/>
                <w:kern w:val="0"/>
                <w:sz w:val="24"/>
                <w:szCs w:val="24"/>
                <w:lang w:bidi="ar"/>
              </w:rPr>
              <w:t>“空袭警报”</w:t>
            </w:r>
            <w:r>
              <w:rPr>
                <w:rFonts w:hint="eastAsia" w:ascii="宋体" w:hAnsi="宋体" w:cs="宋体"/>
                <w:color w:val="000000"/>
                <w:kern w:val="0"/>
                <w:sz w:val="24"/>
                <w:szCs w:val="24"/>
                <w:lang w:bidi="ar"/>
              </w:rPr>
              <w:t>）及1个取消警报按钮，四种突发事件应急警报，并能以无线传输通讯方式接收相连设备信息。不管是演习模式还是应急模式下应能发出鸣响与紧急疏散提示语音。</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6、分机火灾警报按钮及警示语音提示：火灾警报声+（语音：</w:t>
            </w:r>
            <w:r>
              <w:rPr>
                <w:rFonts w:hint="eastAsia" w:ascii="宋体" w:hAnsi="宋体" w:cs="宋体"/>
                <w:color w:val="000000"/>
                <w:kern w:val="0"/>
                <w:sz w:val="24"/>
                <w:szCs w:val="24"/>
                <w:lang w:val="en-US" w:eastAsia="zh-CN" w:bidi="ar"/>
              </w:rPr>
              <w:t>比如播出</w:t>
            </w:r>
            <w:r>
              <w:rPr>
                <w:rFonts w:hint="eastAsia" w:ascii="宋体" w:hAnsi="宋体" w:cs="宋体"/>
                <w:color w:val="000000"/>
                <w:kern w:val="0"/>
                <w:sz w:val="24"/>
                <w:szCs w:val="24"/>
                <w:lang w:bidi="ar"/>
              </w:rPr>
              <w:t>“发生火灾，大家不要惊慌，请捂鼻猫腰，迅速按演习路线有序疏散到安全区域，不要推挤踩踏”）+火灾警报声。</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7、分机暴力袭击警报按钮及警示语音提示：110警报声+（语音：</w:t>
            </w:r>
            <w:r>
              <w:rPr>
                <w:rFonts w:hint="eastAsia" w:ascii="宋体" w:hAnsi="宋体" w:cs="宋体"/>
                <w:color w:val="000000"/>
                <w:kern w:val="0"/>
                <w:sz w:val="24"/>
                <w:szCs w:val="24"/>
                <w:lang w:val="en-US" w:eastAsia="zh-CN" w:bidi="ar"/>
              </w:rPr>
              <w:t>比如播出</w:t>
            </w:r>
            <w:r>
              <w:rPr>
                <w:rFonts w:hint="eastAsia" w:ascii="宋体" w:hAnsi="宋体" w:cs="宋体"/>
                <w:color w:val="000000"/>
                <w:kern w:val="0"/>
                <w:sz w:val="24"/>
                <w:szCs w:val="24"/>
                <w:lang w:bidi="ar"/>
              </w:rPr>
              <w:t>“发生暴力袭击，大家不要惊慌，请关好门窗躲避到安全区域．安保人员紧急到岗处理”）+110警报声。</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8、分机地震警报按钮及警示语音提示：地震警报声+（语音：</w:t>
            </w:r>
            <w:r>
              <w:rPr>
                <w:rFonts w:hint="eastAsia" w:ascii="宋体" w:hAnsi="宋体" w:cs="宋体"/>
                <w:color w:val="000000"/>
                <w:kern w:val="0"/>
                <w:sz w:val="24"/>
                <w:szCs w:val="24"/>
                <w:lang w:val="en-US" w:eastAsia="zh-CN" w:bidi="ar"/>
              </w:rPr>
              <w:t>比如播出</w:t>
            </w:r>
            <w:r>
              <w:rPr>
                <w:rFonts w:hint="eastAsia" w:ascii="宋体" w:hAnsi="宋体" w:cs="宋体"/>
                <w:color w:val="000000"/>
                <w:kern w:val="0"/>
                <w:sz w:val="24"/>
                <w:szCs w:val="24"/>
                <w:lang w:bidi="ar"/>
              </w:rPr>
              <w:t>“地震警报”，大家不要惊慌，请先实施紧急避险，再按演习路线有序疏散到安全区域不要推挤踩踏”）+地震警报声。</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9、分机空袭警报按钮及警示语音提示：空袭警报声+（语音：</w:t>
            </w:r>
            <w:r>
              <w:rPr>
                <w:rFonts w:hint="eastAsia" w:ascii="宋体" w:hAnsi="宋体" w:cs="宋体"/>
                <w:color w:val="000000"/>
                <w:kern w:val="0"/>
                <w:sz w:val="24"/>
                <w:szCs w:val="24"/>
                <w:lang w:val="en-US" w:eastAsia="zh-CN" w:bidi="ar"/>
              </w:rPr>
              <w:t>比如播出</w:t>
            </w:r>
            <w:r>
              <w:rPr>
                <w:rFonts w:hint="eastAsia" w:ascii="宋体" w:hAnsi="宋体" w:cs="宋体"/>
                <w:color w:val="000000"/>
                <w:kern w:val="0"/>
                <w:sz w:val="24"/>
                <w:szCs w:val="24"/>
                <w:lang w:bidi="ar"/>
              </w:rPr>
              <w:t>“</w:t>
            </w:r>
            <w:r>
              <w:rPr>
                <w:rFonts w:hint="eastAsia" w:ascii="宋体" w:hAnsi="宋体" w:cs="宋体"/>
                <w:b/>
                <w:bCs/>
                <w:color w:val="000000"/>
                <w:kern w:val="0"/>
                <w:sz w:val="24"/>
                <w:szCs w:val="24"/>
                <w:lang w:bidi="ar"/>
              </w:rPr>
              <w:t>空袭警报</w:t>
            </w:r>
            <w:r>
              <w:rPr>
                <w:rFonts w:hint="eastAsia" w:ascii="宋体" w:hAnsi="宋体" w:cs="宋体"/>
                <w:color w:val="000000"/>
                <w:kern w:val="0"/>
                <w:sz w:val="24"/>
                <w:szCs w:val="24"/>
                <w:lang w:bidi="ar"/>
              </w:rPr>
              <w:t>”，大家不要惊慌，迅速按演习路线有序疏散到安全区域．不要推挤踩踏”）+空袭警报声。</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10、自带功放，能驱动20W以内喇叭。</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11、分机面板带数码管显示（比如01代表幼儿园前门，02代表幼儿园后门，03代表教学楼。），可以迅速锁定警情事发地址。</w:t>
            </w:r>
          </w:p>
        </w:tc>
        <w:tc>
          <w:tcPr>
            <w:tcW w:w="256" w:type="pct"/>
            <w:shd w:val="clear" w:color="auto" w:fill="auto"/>
            <w:vAlign w:val="center"/>
          </w:tcPr>
          <w:p w14:paraId="3C5D6EE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vAlign w:val="center"/>
          </w:tcPr>
          <w:p w14:paraId="2C46D28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vAlign w:val="center"/>
          </w:tcPr>
          <w:p w14:paraId="42A7213B">
            <w:pPr>
              <w:jc w:val="center"/>
              <w:rPr>
                <w:rFonts w:ascii="宋体" w:hAnsi="宋体" w:cs="宋体"/>
                <w:color w:val="000000"/>
                <w:sz w:val="24"/>
                <w:szCs w:val="24"/>
              </w:rPr>
            </w:pPr>
          </w:p>
        </w:tc>
        <w:tc>
          <w:tcPr>
            <w:tcW w:w="251" w:type="pct"/>
            <w:vMerge w:val="continue"/>
            <w:shd w:val="clear" w:color="auto" w:fill="auto"/>
            <w:vAlign w:val="center"/>
          </w:tcPr>
          <w:p w14:paraId="2ABC1863">
            <w:pPr>
              <w:jc w:val="center"/>
              <w:rPr>
                <w:rFonts w:ascii="宋体" w:hAnsi="宋体" w:cs="宋体"/>
                <w:color w:val="000000"/>
                <w:sz w:val="24"/>
                <w:szCs w:val="24"/>
              </w:rPr>
            </w:pPr>
          </w:p>
        </w:tc>
      </w:tr>
      <w:tr w14:paraId="3765F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241" w:type="pct"/>
            <w:shd w:val="clear" w:color="auto" w:fill="auto"/>
            <w:vAlign w:val="center"/>
          </w:tcPr>
          <w:p w14:paraId="384EFA8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8</w:t>
            </w:r>
          </w:p>
        </w:tc>
        <w:tc>
          <w:tcPr>
            <w:tcW w:w="430" w:type="pct"/>
            <w:shd w:val="clear" w:color="auto" w:fill="auto"/>
            <w:vAlign w:val="center"/>
          </w:tcPr>
          <w:p w14:paraId="54A4CFC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幼儿园有线户外声光闪动警灯</w:t>
            </w:r>
          </w:p>
        </w:tc>
        <w:tc>
          <w:tcPr>
            <w:tcW w:w="2861" w:type="pct"/>
            <w:shd w:val="clear" w:color="auto" w:fill="auto"/>
            <w:vAlign w:val="center"/>
          </w:tcPr>
          <w:p w14:paraId="4FD86B02">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与主机配套使用，电压12V，电流0.8ma，≤100分贝，防水等级不低于IP55，模拟转动，带安装支架1只。</w:t>
            </w:r>
          </w:p>
        </w:tc>
        <w:tc>
          <w:tcPr>
            <w:tcW w:w="256" w:type="pct"/>
            <w:shd w:val="clear" w:color="auto" w:fill="auto"/>
            <w:vAlign w:val="center"/>
          </w:tcPr>
          <w:p w14:paraId="5B3644A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vAlign w:val="center"/>
          </w:tcPr>
          <w:p w14:paraId="24413CF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个</w:t>
            </w:r>
          </w:p>
        </w:tc>
        <w:tc>
          <w:tcPr>
            <w:tcW w:w="647" w:type="pct"/>
            <w:shd w:val="clear" w:color="auto" w:fill="auto"/>
            <w:vAlign w:val="center"/>
          </w:tcPr>
          <w:p w14:paraId="5C621FA4">
            <w:pPr>
              <w:jc w:val="center"/>
              <w:rPr>
                <w:rFonts w:ascii="宋体" w:hAnsi="宋体" w:cs="宋体"/>
                <w:color w:val="000000"/>
                <w:sz w:val="24"/>
                <w:szCs w:val="24"/>
              </w:rPr>
            </w:pPr>
          </w:p>
        </w:tc>
        <w:tc>
          <w:tcPr>
            <w:tcW w:w="251" w:type="pct"/>
            <w:vMerge w:val="continue"/>
            <w:shd w:val="clear" w:color="auto" w:fill="auto"/>
            <w:vAlign w:val="center"/>
          </w:tcPr>
          <w:p w14:paraId="3B3908F3">
            <w:pPr>
              <w:jc w:val="center"/>
              <w:rPr>
                <w:rFonts w:ascii="宋体" w:hAnsi="宋体" w:cs="宋体"/>
                <w:color w:val="000000"/>
                <w:sz w:val="24"/>
                <w:szCs w:val="24"/>
              </w:rPr>
            </w:pPr>
          </w:p>
        </w:tc>
      </w:tr>
      <w:tr w14:paraId="4DF8B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241" w:type="pct"/>
            <w:shd w:val="clear" w:color="auto" w:fill="auto"/>
            <w:vAlign w:val="center"/>
          </w:tcPr>
          <w:p w14:paraId="68F9902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9</w:t>
            </w:r>
          </w:p>
        </w:tc>
        <w:tc>
          <w:tcPr>
            <w:tcW w:w="430" w:type="pct"/>
            <w:shd w:val="clear" w:color="auto" w:fill="auto"/>
            <w:vAlign w:val="center"/>
          </w:tcPr>
          <w:p w14:paraId="74500A3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幼儿园语音喊话大喇叭</w:t>
            </w:r>
          </w:p>
        </w:tc>
        <w:tc>
          <w:tcPr>
            <w:tcW w:w="2861" w:type="pct"/>
            <w:shd w:val="clear" w:color="auto" w:fill="auto"/>
            <w:vAlign w:val="center"/>
          </w:tcPr>
          <w:p w14:paraId="5234D6CD">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与主机配套使用，功率：50W，阻抗：8±15%Ω，声灵敏度：108±3dB/m,w，频率范围：300--6500Hz。</w:t>
            </w:r>
          </w:p>
        </w:tc>
        <w:tc>
          <w:tcPr>
            <w:tcW w:w="256" w:type="pct"/>
            <w:shd w:val="clear" w:color="auto" w:fill="auto"/>
            <w:vAlign w:val="center"/>
          </w:tcPr>
          <w:p w14:paraId="7EF46B8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vAlign w:val="center"/>
          </w:tcPr>
          <w:p w14:paraId="2E72382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个</w:t>
            </w:r>
          </w:p>
        </w:tc>
        <w:tc>
          <w:tcPr>
            <w:tcW w:w="647" w:type="pct"/>
            <w:shd w:val="clear" w:color="auto" w:fill="auto"/>
            <w:vAlign w:val="center"/>
          </w:tcPr>
          <w:p w14:paraId="3F968CF3">
            <w:pPr>
              <w:jc w:val="center"/>
              <w:rPr>
                <w:rFonts w:ascii="宋体" w:hAnsi="宋体" w:cs="宋体"/>
                <w:color w:val="000000"/>
                <w:sz w:val="24"/>
                <w:szCs w:val="24"/>
              </w:rPr>
            </w:pPr>
          </w:p>
        </w:tc>
        <w:tc>
          <w:tcPr>
            <w:tcW w:w="251" w:type="pct"/>
            <w:vMerge w:val="continue"/>
            <w:shd w:val="clear" w:color="auto" w:fill="auto"/>
            <w:vAlign w:val="center"/>
          </w:tcPr>
          <w:p w14:paraId="7C2DD94E">
            <w:pPr>
              <w:jc w:val="center"/>
              <w:rPr>
                <w:rFonts w:ascii="宋体" w:hAnsi="宋体" w:cs="宋体"/>
                <w:color w:val="000000"/>
                <w:sz w:val="24"/>
                <w:szCs w:val="24"/>
              </w:rPr>
            </w:pPr>
          </w:p>
        </w:tc>
      </w:tr>
      <w:tr w14:paraId="5AEA7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0" w:hRule="atLeast"/>
        </w:trPr>
        <w:tc>
          <w:tcPr>
            <w:tcW w:w="241" w:type="pct"/>
            <w:shd w:val="clear" w:color="auto" w:fill="auto"/>
            <w:vAlign w:val="center"/>
          </w:tcPr>
          <w:p w14:paraId="1981148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10</w:t>
            </w:r>
          </w:p>
        </w:tc>
        <w:tc>
          <w:tcPr>
            <w:tcW w:w="430" w:type="pct"/>
            <w:shd w:val="clear" w:color="auto" w:fill="auto"/>
            <w:vAlign w:val="center"/>
          </w:tcPr>
          <w:p w14:paraId="24DECE0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幼儿园移动式报警控制器</w:t>
            </w:r>
          </w:p>
        </w:tc>
        <w:tc>
          <w:tcPr>
            <w:tcW w:w="2861" w:type="pct"/>
            <w:shd w:val="clear" w:color="auto" w:fill="auto"/>
            <w:vAlign w:val="center"/>
          </w:tcPr>
          <w:p w14:paraId="552637E7">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1、应可与突发事件演练主机，分机配套使用。</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2、应自带5个按键分别对应——火灾按钮，地震按钮，空袭按钮，暴力按钮，取消按钮与主机，分机相对应。</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与主机，分机发射通讯距离1-3公里。使用单位或学校在进行突发事件时，不用到安装主机，分机的位置即可触发演习按键，直接使用该设备随时，随地远程遥控，在单位或学校演练不管是分机，还是主机都应可以接到移动式警报控制器的信号。若距离太远接不到信号，应可以使用分机接力转发1公里—30公里，主机自动上报突发事件接警云平台或给当地110电话，也应可以给学校或单位主要领导拨打电话或发送短信。</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4、当演练结束后，应可以随时使用取消按键终止突发事件演练主机与分机的喇叭鸣响。</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5、让学校或单位安保人员遇到突发事件随时，随地触发按钮，即使安保人员不在主机，或分机的安装位置也应可以移动式警报控制器给分机，或给主机（在主机，分机接受信号的地方），主机自动上报突发事件接警云平台或给当地110电话，也应可以给学校或单位主要领导拨打电话或发送短信。</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6、无线频率：433MHZ</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7、发射距离：≧2000米（开阔地，无干扰环境）</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8、工作电压：4.2V内置锂电池</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9、充电电压：DC5V</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10、充电接口：MicroUSB安卓标准接口；</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11、待机时长：≧15天</w:t>
            </w:r>
          </w:p>
        </w:tc>
        <w:tc>
          <w:tcPr>
            <w:tcW w:w="256" w:type="pct"/>
            <w:shd w:val="clear" w:color="auto" w:fill="auto"/>
            <w:vAlign w:val="center"/>
          </w:tcPr>
          <w:p w14:paraId="1E76810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vAlign w:val="center"/>
          </w:tcPr>
          <w:p w14:paraId="6ADEC6E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个</w:t>
            </w:r>
          </w:p>
        </w:tc>
        <w:tc>
          <w:tcPr>
            <w:tcW w:w="647" w:type="pct"/>
            <w:shd w:val="clear" w:color="auto" w:fill="auto"/>
            <w:vAlign w:val="center"/>
          </w:tcPr>
          <w:p w14:paraId="579CF2E7">
            <w:pPr>
              <w:jc w:val="center"/>
              <w:rPr>
                <w:rFonts w:ascii="宋体" w:hAnsi="宋体" w:cs="宋体"/>
                <w:color w:val="000000"/>
                <w:sz w:val="24"/>
                <w:szCs w:val="24"/>
              </w:rPr>
            </w:pPr>
          </w:p>
        </w:tc>
        <w:tc>
          <w:tcPr>
            <w:tcW w:w="251" w:type="pct"/>
            <w:vMerge w:val="continue"/>
            <w:shd w:val="clear" w:color="auto" w:fill="auto"/>
            <w:vAlign w:val="center"/>
          </w:tcPr>
          <w:p w14:paraId="582106D1">
            <w:pPr>
              <w:jc w:val="center"/>
              <w:rPr>
                <w:rFonts w:ascii="宋体" w:hAnsi="宋体" w:cs="宋体"/>
                <w:color w:val="000000"/>
                <w:sz w:val="24"/>
                <w:szCs w:val="24"/>
              </w:rPr>
            </w:pPr>
          </w:p>
        </w:tc>
      </w:tr>
      <w:tr w14:paraId="66CDD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0" w:hRule="atLeast"/>
        </w:trPr>
        <w:tc>
          <w:tcPr>
            <w:tcW w:w="241" w:type="pct"/>
            <w:shd w:val="clear" w:color="auto" w:fill="auto"/>
            <w:vAlign w:val="center"/>
          </w:tcPr>
          <w:p w14:paraId="692D34F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11</w:t>
            </w:r>
          </w:p>
        </w:tc>
        <w:tc>
          <w:tcPr>
            <w:tcW w:w="430" w:type="pct"/>
            <w:shd w:val="clear" w:color="auto" w:fill="auto"/>
            <w:vAlign w:val="center"/>
          </w:tcPr>
          <w:p w14:paraId="108E73C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突发事件接警云平台</w:t>
            </w:r>
          </w:p>
        </w:tc>
        <w:tc>
          <w:tcPr>
            <w:tcW w:w="2861" w:type="pct"/>
            <w:shd w:val="clear" w:color="auto" w:fill="auto"/>
            <w:vAlign w:val="center"/>
          </w:tcPr>
          <w:p w14:paraId="010A1F63">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互联功能：应可以与突发事件演练应急联网报警系统主机联接，当系统主机接收到与其相连接的系统分机、移动式报警控制器发出的报警信号时，系统主机应可以通过网线或SIM卡联网方式将报警信号传输至与其相连的突发事件接警云平台电脑客户端、手机APP软件或微信端以及Internet网页端接收到报警信息后，应可以自动弹出具体的警情信息、地图（包含经度、纬度、地址、地图位置）、电话、防区、报警时间、设备MAC等信息；接警客户端接收到报警信息后，显示报警信息的同时，自动开启播放以主机对应的警报声，方便师生、安保负责人通过警报声辩别何种突发事件来临，做出正确的应对措施。</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信息处理：应当突发事件接警云平台电脑客户端弹出警情信息，可以进行查看具体的报警信息（地图、搜索经度、纬度、地址、备注信息），并且能够对该报警信息作出上报、误报、开警号、关警号、防护、停警声等相应的处理操作。</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3、账号管理：应可以刷新、新增系统管理员、修改管理员、删除管理员、搜索管理员账号等相应的操作</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4、设备管理：应可以刷新，新增设备，生成Excel，选择、查看设备编码、设备MAC、设备状态、设备地址、防区图、监控视频、离线地图、修改设备设置、删除设备、冻结、恢复、布防、撤防、全选、设置设备内容信息、搜索等相应的操作（投标时需提供满足此功能第三方检测机构出具的报告证明）。</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5、设备报警记录：应可以刷新、生成Excel、搜索、查看处理状态、警情、报警时间、联系电话、地址、设备编码、防区、设备MAC、接警人、微信接警人、处理时间、地图、监控视频、防区图、离线地图。</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6、数据统计分析：应将设备、设备警情记录、非法撤防记录、设备不在线记录按天、按月、按年进行统计，每种数据统计结果按照已处理、误报、撤防、布防四种情况进行分类,通过扇形图的方式进行直观呈现。</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7、为保证软件为正版软件。</w:t>
            </w:r>
          </w:p>
        </w:tc>
        <w:tc>
          <w:tcPr>
            <w:tcW w:w="256" w:type="pct"/>
            <w:shd w:val="clear" w:color="auto" w:fill="auto"/>
            <w:vAlign w:val="center"/>
          </w:tcPr>
          <w:p w14:paraId="099CB45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vAlign w:val="center"/>
          </w:tcPr>
          <w:p w14:paraId="4846A3C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套</w:t>
            </w:r>
          </w:p>
        </w:tc>
        <w:tc>
          <w:tcPr>
            <w:tcW w:w="647" w:type="pct"/>
            <w:shd w:val="clear" w:color="auto" w:fill="auto"/>
            <w:vAlign w:val="center"/>
          </w:tcPr>
          <w:p w14:paraId="434F91AA">
            <w:pPr>
              <w:jc w:val="center"/>
              <w:rPr>
                <w:rFonts w:ascii="宋体" w:hAnsi="宋体" w:cs="宋体"/>
                <w:color w:val="000000"/>
                <w:sz w:val="24"/>
                <w:szCs w:val="24"/>
              </w:rPr>
            </w:pPr>
          </w:p>
        </w:tc>
        <w:tc>
          <w:tcPr>
            <w:tcW w:w="251" w:type="pct"/>
            <w:vMerge w:val="continue"/>
            <w:shd w:val="clear" w:color="auto" w:fill="auto"/>
            <w:vAlign w:val="center"/>
          </w:tcPr>
          <w:p w14:paraId="314B39CE">
            <w:pPr>
              <w:jc w:val="center"/>
              <w:rPr>
                <w:rFonts w:ascii="宋体" w:hAnsi="宋体" w:cs="宋体"/>
                <w:color w:val="000000"/>
                <w:sz w:val="24"/>
                <w:szCs w:val="24"/>
              </w:rPr>
            </w:pPr>
          </w:p>
        </w:tc>
      </w:tr>
      <w:tr w14:paraId="1CABE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5000" w:type="pct"/>
            <w:gridSpan w:val="7"/>
            <w:shd w:val="clear" w:color="auto" w:fill="auto"/>
            <w:vAlign w:val="center"/>
          </w:tcPr>
          <w:p w14:paraId="3F2E1386">
            <w:pPr>
              <w:jc w:val="center"/>
              <w:rPr>
                <w:rFonts w:ascii="宋体" w:hAnsi="宋体" w:cs="宋体"/>
                <w:b/>
                <w:bCs/>
                <w:color w:val="000000"/>
                <w:sz w:val="24"/>
                <w:szCs w:val="24"/>
              </w:rPr>
            </w:pPr>
            <w:r>
              <w:rPr>
                <w:rFonts w:hint="eastAsia" w:ascii="宋体" w:hAnsi="宋体" w:cs="宋体"/>
                <w:b/>
                <w:bCs/>
                <w:color w:val="000000"/>
                <w:kern w:val="0"/>
                <w:sz w:val="24"/>
                <w:szCs w:val="24"/>
                <w:lang w:val="en-US" w:eastAsia="zh-CN" w:bidi="ar"/>
              </w:rPr>
              <w:t>其他设备</w:t>
            </w:r>
          </w:p>
        </w:tc>
      </w:tr>
      <w:tr w14:paraId="040F5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41" w:type="pct"/>
            <w:shd w:val="clear" w:color="auto" w:fill="auto"/>
            <w:vAlign w:val="center"/>
          </w:tcPr>
          <w:p w14:paraId="04B707C3">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lang w:bidi="ar"/>
              </w:rPr>
              <w:t>序号</w:t>
            </w:r>
          </w:p>
        </w:tc>
        <w:tc>
          <w:tcPr>
            <w:tcW w:w="430" w:type="pct"/>
            <w:shd w:val="clear" w:color="auto" w:fill="auto"/>
            <w:vAlign w:val="center"/>
          </w:tcPr>
          <w:p w14:paraId="1738BA1B">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lang w:bidi="ar"/>
              </w:rPr>
              <w:t>产品名称</w:t>
            </w:r>
          </w:p>
        </w:tc>
        <w:tc>
          <w:tcPr>
            <w:tcW w:w="2861" w:type="pct"/>
            <w:shd w:val="clear" w:color="auto" w:fill="auto"/>
            <w:vAlign w:val="center"/>
          </w:tcPr>
          <w:p w14:paraId="5AF47417">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lang w:bidi="ar"/>
              </w:rPr>
              <w:t>技术参数</w:t>
            </w:r>
          </w:p>
        </w:tc>
        <w:tc>
          <w:tcPr>
            <w:tcW w:w="256" w:type="pct"/>
            <w:shd w:val="clear" w:color="auto" w:fill="auto"/>
            <w:vAlign w:val="center"/>
          </w:tcPr>
          <w:p w14:paraId="343EB01F">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lang w:bidi="ar"/>
              </w:rPr>
              <w:t>数量</w:t>
            </w:r>
          </w:p>
        </w:tc>
        <w:tc>
          <w:tcPr>
            <w:tcW w:w="311" w:type="pct"/>
            <w:shd w:val="clear" w:color="auto" w:fill="auto"/>
            <w:vAlign w:val="center"/>
          </w:tcPr>
          <w:p w14:paraId="5108F73F">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lang w:bidi="ar"/>
              </w:rPr>
              <w:t>单位</w:t>
            </w:r>
          </w:p>
        </w:tc>
        <w:tc>
          <w:tcPr>
            <w:tcW w:w="647" w:type="pct"/>
            <w:shd w:val="clear" w:color="auto" w:fill="auto"/>
            <w:vAlign w:val="center"/>
          </w:tcPr>
          <w:p w14:paraId="3DE80A20">
            <w:pPr>
              <w:widowControl/>
              <w:jc w:val="center"/>
              <w:textAlignment w:val="center"/>
              <w:rPr>
                <w:rFonts w:hint="eastAsia" w:ascii="宋体" w:hAnsi="宋体" w:eastAsia="宋体" w:cs="宋体"/>
                <w:b/>
                <w:bCs/>
                <w:color w:val="000000"/>
                <w:sz w:val="24"/>
                <w:szCs w:val="24"/>
                <w:lang w:eastAsia="zh-CN"/>
              </w:rPr>
            </w:pPr>
            <w:r>
              <w:rPr>
                <w:rFonts w:hint="eastAsia" w:ascii="宋体" w:hAnsi="宋体" w:cs="宋体"/>
                <w:b/>
                <w:bCs/>
                <w:color w:val="000000"/>
                <w:kern w:val="0"/>
                <w:sz w:val="24"/>
                <w:szCs w:val="24"/>
                <w:lang w:eastAsia="zh-CN" w:bidi="ar"/>
              </w:rPr>
              <w:t>参考图片</w:t>
            </w:r>
          </w:p>
        </w:tc>
        <w:tc>
          <w:tcPr>
            <w:tcW w:w="251" w:type="pct"/>
            <w:shd w:val="clear" w:color="auto" w:fill="auto"/>
            <w:vAlign w:val="center"/>
          </w:tcPr>
          <w:p w14:paraId="28B1F741">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lang w:bidi="ar"/>
              </w:rPr>
              <w:t>备注</w:t>
            </w:r>
          </w:p>
        </w:tc>
      </w:tr>
      <w:tr w14:paraId="7408B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241" w:type="pct"/>
            <w:shd w:val="clear" w:color="auto" w:fill="auto"/>
            <w:vAlign w:val="center"/>
          </w:tcPr>
          <w:p w14:paraId="4128893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430" w:type="pct"/>
            <w:shd w:val="clear" w:color="auto" w:fill="auto"/>
            <w:vAlign w:val="center"/>
          </w:tcPr>
          <w:p w14:paraId="0C82847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移动音响</w:t>
            </w:r>
          </w:p>
        </w:tc>
        <w:tc>
          <w:tcPr>
            <w:tcW w:w="2861" w:type="pct"/>
            <w:shd w:val="clear" w:color="auto" w:fill="auto"/>
            <w:vAlign w:val="center"/>
          </w:tcPr>
          <w:p w14:paraId="52A709BF">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12寸重低音，内置蓝牙和录音功能、一键消原声功能，支持U盘/SD卡，支持有线/无线话筒</w:t>
            </w:r>
          </w:p>
        </w:tc>
        <w:tc>
          <w:tcPr>
            <w:tcW w:w="256" w:type="pct"/>
            <w:shd w:val="clear" w:color="auto" w:fill="auto"/>
            <w:vAlign w:val="center"/>
          </w:tcPr>
          <w:p w14:paraId="0AC2AD2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4</w:t>
            </w:r>
          </w:p>
        </w:tc>
        <w:tc>
          <w:tcPr>
            <w:tcW w:w="311" w:type="pct"/>
            <w:shd w:val="clear" w:color="auto" w:fill="auto"/>
            <w:vAlign w:val="center"/>
          </w:tcPr>
          <w:p w14:paraId="66556EB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个</w:t>
            </w:r>
          </w:p>
        </w:tc>
        <w:tc>
          <w:tcPr>
            <w:tcW w:w="647" w:type="pct"/>
            <w:shd w:val="clear" w:color="auto" w:fill="auto"/>
            <w:vAlign w:val="center"/>
          </w:tcPr>
          <w:p w14:paraId="2D7B1EE0">
            <w:pPr>
              <w:jc w:val="center"/>
              <w:rPr>
                <w:rFonts w:ascii="宋体" w:hAnsi="宋体" w:cs="宋体"/>
                <w:color w:val="000000"/>
                <w:sz w:val="24"/>
                <w:szCs w:val="24"/>
              </w:rPr>
            </w:pPr>
          </w:p>
        </w:tc>
        <w:tc>
          <w:tcPr>
            <w:tcW w:w="251" w:type="pct"/>
            <w:shd w:val="clear" w:color="auto" w:fill="auto"/>
            <w:vAlign w:val="center"/>
          </w:tcPr>
          <w:p w14:paraId="088F71D6">
            <w:pPr>
              <w:jc w:val="center"/>
              <w:rPr>
                <w:rFonts w:ascii="宋体" w:hAnsi="宋体" w:cs="宋体"/>
                <w:color w:val="000000"/>
                <w:sz w:val="24"/>
                <w:szCs w:val="24"/>
              </w:rPr>
            </w:pPr>
          </w:p>
        </w:tc>
      </w:tr>
      <w:tr w14:paraId="34F47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7" w:hRule="atLeast"/>
        </w:trPr>
        <w:tc>
          <w:tcPr>
            <w:tcW w:w="241" w:type="pct"/>
            <w:shd w:val="clear" w:color="auto" w:fill="auto"/>
            <w:vAlign w:val="center"/>
          </w:tcPr>
          <w:p w14:paraId="46F1DC0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w:t>
            </w:r>
          </w:p>
        </w:tc>
        <w:tc>
          <w:tcPr>
            <w:tcW w:w="430" w:type="pct"/>
            <w:shd w:val="clear" w:color="auto" w:fill="auto"/>
            <w:vAlign w:val="center"/>
          </w:tcPr>
          <w:p w14:paraId="305D566F">
            <w:pPr>
              <w:widowControl/>
              <w:jc w:val="center"/>
              <w:textAlignment w:val="center"/>
              <w:rPr>
                <w:rFonts w:ascii="宋体" w:hAnsi="宋体" w:cs="宋体"/>
                <w:color w:val="000000"/>
                <w:sz w:val="24"/>
                <w:szCs w:val="24"/>
                <w:highlight w:val="yellow"/>
              </w:rPr>
            </w:pPr>
            <w:r>
              <w:rPr>
                <w:rFonts w:hint="eastAsia" w:ascii="宋体" w:hAnsi="宋体" w:cs="宋体"/>
                <w:color w:val="000000"/>
                <w:kern w:val="0"/>
                <w:sz w:val="24"/>
                <w:szCs w:val="24"/>
                <w:lang w:bidi="ar"/>
              </w:rPr>
              <w:t>茶吧机</w:t>
            </w:r>
          </w:p>
        </w:tc>
        <w:tc>
          <w:tcPr>
            <w:tcW w:w="2861" w:type="pct"/>
            <w:shd w:val="clear" w:color="auto" w:fill="auto"/>
            <w:vAlign w:val="center"/>
          </w:tcPr>
          <w:p w14:paraId="0CEBAA4F">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置杯靠背，智能屏显，双出水，冰温热，免开壶盖，远程遥控，下置水桶，双壶配置，多段控温，钢化玻璃面板，带有储物柜，制冷功率70W,制热功率1360W</w:t>
            </w:r>
          </w:p>
        </w:tc>
        <w:tc>
          <w:tcPr>
            <w:tcW w:w="256" w:type="pct"/>
            <w:shd w:val="clear" w:color="auto" w:fill="auto"/>
            <w:vAlign w:val="center"/>
          </w:tcPr>
          <w:p w14:paraId="1AC926E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8</w:t>
            </w:r>
          </w:p>
        </w:tc>
        <w:tc>
          <w:tcPr>
            <w:tcW w:w="311" w:type="pct"/>
            <w:shd w:val="clear" w:color="auto" w:fill="auto"/>
            <w:vAlign w:val="center"/>
          </w:tcPr>
          <w:p w14:paraId="33B3208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vAlign w:val="center"/>
          </w:tcPr>
          <w:p w14:paraId="3C72147C">
            <w:pPr>
              <w:rPr>
                <w:rFonts w:ascii="宋体" w:hAnsi="宋体" w:cs="宋体"/>
                <w:color w:val="000000"/>
                <w:sz w:val="24"/>
                <w:szCs w:val="24"/>
              </w:rPr>
            </w:pPr>
          </w:p>
        </w:tc>
        <w:tc>
          <w:tcPr>
            <w:tcW w:w="251" w:type="pct"/>
            <w:shd w:val="clear" w:color="auto" w:fill="auto"/>
            <w:vAlign w:val="center"/>
          </w:tcPr>
          <w:p w14:paraId="599419CB">
            <w:pPr>
              <w:jc w:val="center"/>
              <w:rPr>
                <w:rFonts w:ascii="宋体" w:hAnsi="宋体" w:cs="宋体"/>
                <w:color w:val="000000"/>
                <w:sz w:val="24"/>
                <w:szCs w:val="24"/>
              </w:rPr>
            </w:pPr>
          </w:p>
        </w:tc>
      </w:tr>
      <w:tr w14:paraId="7B13C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3" w:hRule="atLeast"/>
        </w:trPr>
        <w:tc>
          <w:tcPr>
            <w:tcW w:w="241" w:type="pct"/>
            <w:shd w:val="clear" w:color="auto" w:fill="auto"/>
            <w:vAlign w:val="center"/>
          </w:tcPr>
          <w:p w14:paraId="35EAEE9E">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val="en-US" w:eastAsia="zh-CN" w:bidi="ar"/>
              </w:rPr>
              <w:t>3</w:t>
            </w:r>
          </w:p>
        </w:tc>
        <w:tc>
          <w:tcPr>
            <w:tcW w:w="430" w:type="pct"/>
            <w:shd w:val="clear" w:color="auto" w:fill="auto"/>
            <w:vAlign w:val="center"/>
          </w:tcPr>
          <w:p w14:paraId="16E47923">
            <w:pPr>
              <w:widowControl/>
              <w:jc w:val="center"/>
              <w:textAlignment w:val="center"/>
              <w:rPr>
                <w:rFonts w:ascii="宋体" w:hAnsi="宋体" w:cs="宋体"/>
                <w:color w:val="000000"/>
                <w:sz w:val="24"/>
                <w:szCs w:val="24"/>
                <w:highlight w:val="none"/>
              </w:rPr>
            </w:pPr>
            <w:r>
              <w:rPr>
                <w:rStyle w:val="7"/>
                <w:rFonts w:hint="eastAsia"/>
                <w:sz w:val="24"/>
                <w:szCs w:val="24"/>
                <w:lang w:bidi="ar"/>
              </w:rPr>
              <w:t>演奏钢琴</w:t>
            </w:r>
          </w:p>
        </w:tc>
        <w:tc>
          <w:tcPr>
            <w:tcW w:w="2861" w:type="pct"/>
            <w:shd w:val="clear" w:color="auto" w:fill="auto"/>
            <w:vAlign w:val="center"/>
          </w:tcPr>
          <w:p w14:paraId="5860F2EF">
            <w:pPr>
              <w:widowControl/>
              <w:jc w:val="left"/>
              <w:textAlignment w:val="center"/>
              <w:rPr>
                <w:rFonts w:ascii="宋体" w:hAnsi="宋体" w:cs="宋体"/>
                <w:color w:val="000000"/>
                <w:sz w:val="24"/>
                <w:szCs w:val="24"/>
                <w:highlight w:val="none"/>
              </w:rPr>
            </w:pPr>
            <w:r>
              <w:rPr>
                <w:rStyle w:val="7"/>
                <w:rFonts w:hint="default"/>
                <w:sz w:val="24"/>
                <w:szCs w:val="24"/>
                <w:lang w:bidi="ar"/>
              </w:rPr>
              <w:t>1、规格:121型或以上立式钢琴</w:t>
            </w:r>
            <w:r>
              <w:rPr>
                <w:rStyle w:val="7"/>
                <w:rFonts w:hint="default"/>
                <w:sz w:val="24"/>
                <w:szCs w:val="24"/>
                <w:lang w:bidi="ar"/>
              </w:rPr>
              <w:br w:type="textWrapping"/>
            </w:r>
            <w:r>
              <w:rPr>
                <w:rStyle w:val="7"/>
                <w:rFonts w:hint="default"/>
                <w:sz w:val="24"/>
                <w:szCs w:val="24"/>
                <w:lang w:bidi="ar"/>
              </w:rPr>
              <w:t>2、声学品质:标准音a1为445Hz±0.5Hz范围内；音准稳定性（c1-b1）≤3音分。</w:t>
            </w:r>
            <w:r>
              <w:rPr>
                <w:rStyle w:val="7"/>
                <w:rFonts w:hint="default"/>
                <w:sz w:val="24"/>
                <w:szCs w:val="24"/>
                <w:lang w:bidi="ar"/>
              </w:rPr>
              <w:br w:type="textWrapping"/>
            </w:r>
            <w:r>
              <w:rPr>
                <w:rStyle w:val="7"/>
                <w:rFonts w:hint="default"/>
                <w:sz w:val="24"/>
                <w:szCs w:val="24"/>
                <w:lang w:bidi="ar"/>
              </w:rPr>
              <w:t>3、外观尺寸:长≥150cm，宽≥61cm，高≥121cm；直脚，三角琴样式的大谱台。</w:t>
            </w:r>
            <w:r>
              <w:rPr>
                <w:rStyle w:val="7"/>
                <w:rFonts w:hint="default"/>
                <w:sz w:val="24"/>
                <w:szCs w:val="24"/>
                <w:lang w:bidi="ar"/>
              </w:rPr>
              <w:br w:type="textWrapping"/>
            </w:r>
            <w:r>
              <w:rPr>
                <w:rStyle w:val="7"/>
                <w:rFonts w:hint="default"/>
                <w:sz w:val="24"/>
                <w:szCs w:val="24"/>
                <w:lang w:bidi="ar"/>
              </w:rPr>
              <w:t>4、五金件:钢琴外观可见的五金件采用不易氧化的银色合金类金属；顶盖铰链有加强筋的结构，能更稳定安全支撑顶盖。</w:t>
            </w:r>
            <w:r>
              <w:rPr>
                <w:rStyle w:val="7"/>
                <w:rFonts w:hint="default"/>
                <w:sz w:val="24"/>
                <w:szCs w:val="24"/>
                <w:lang w:bidi="ar"/>
              </w:rPr>
              <w:br w:type="textWrapping"/>
            </w:r>
            <w:r>
              <w:rPr>
                <w:rStyle w:val="7"/>
                <w:rFonts w:hint="default"/>
                <w:sz w:val="24"/>
                <w:szCs w:val="24"/>
                <w:lang w:bidi="ar"/>
              </w:rPr>
              <w:t>5、外壳:板面粘贴防火板；油漆表面平整光亮；键盖商标使用镍片材质材料并封在油漆里。</w:t>
            </w:r>
            <w:r>
              <w:rPr>
                <w:rStyle w:val="7"/>
                <w:rFonts w:hint="default"/>
                <w:sz w:val="24"/>
                <w:szCs w:val="24"/>
                <w:lang w:bidi="ar"/>
              </w:rPr>
              <w:br w:type="textWrapping"/>
            </w:r>
            <w:r>
              <w:rPr>
                <w:rStyle w:val="7"/>
                <w:rFonts w:hint="default"/>
                <w:sz w:val="24"/>
                <w:szCs w:val="24"/>
                <w:lang w:bidi="ar"/>
              </w:rPr>
              <w:t>6、上门:上门板固定卡扣采用精密模具加工的高分子材料固定件（非弹簧结构），7、结构牢固，安全耐用；上门板内侧安装金属长梁，能防止上门板长时间受温湿度变化影响导致的变形，且方便上门板拆装。</w:t>
            </w:r>
            <w:r>
              <w:rPr>
                <w:rStyle w:val="7"/>
                <w:rFonts w:hint="default"/>
                <w:sz w:val="24"/>
                <w:szCs w:val="24"/>
                <w:lang w:bidi="ar"/>
              </w:rPr>
              <w:br w:type="textWrapping"/>
            </w:r>
            <w:r>
              <w:rPr>
                <w:rStyle w:val="7"/>
                <w:rFonts w:hint="default"/>
                <w:sz w:val="24"/>
                <w:szCs w:val="24"/>
                <w:lang w:bidi="ar"/>
              </w:rPr>
              <w:t>8、铁板:翻砂工艺铸铁板。</w:t>
            </w:r>
            <w:r>
              <w:rPr>
                <w:rStyle w:val="7"/>
                <w:rFonts w:hint="default"/>
                <w:sz w:val="24"/>
                <w:szCs w:val="24"/>
                <w:lang w:bidi="ar"/>
              </w:rPr>
              <w:br w:type="textWrapping"/>
            </w:r>
            <w:r>
              <w:rPr>
                <w:rStyle w:val="7"/>
                <w:rFonts w:hint="default"/>
                <w:sz w:val="24"/>
                <w:szCs w:val="24"/>
                <w:lang w:bidi="ar"/>
              </w:rPr>
              <w:t>9、铁板高度:≥111.5cm</w:t>
            </w:r>
            <w:r>
              <w:rPr>
                <w:rStyle w:val="7"/>
                <w:rFonts w:hint="default"/>
                <w:sz w:val="24"/>
                <w:szCs w:val="24"/>
                <w:lang w:bidi="ar"/>
              </w:rPr>
              <w:br w:type="textWrapping"/>
            </w:r>
            <w:r>
              <w:rPr>
                <w:rStyle w:val="7"/>
                <w:rFonts w:hint="default"/>
                <w:sz w:val="24"/>
                <w:szCs w:val="24"/>
                <w:lang w:bidi="ar"/>
              </w:rPr>
              <w:t>10、琴弦:圆形弦（截面为正圆形）；采用镀锡方式防锈处理的钢线；最大有效弦长≥1165mm。</w:t>
            </w:r>
            <w:r>
              <w:rPr>
                <w:rStyle w:val="7"/>
                <w:rFonts w:hint="default"/>
                <w:sz w:val="24"/>
                <w:szCs w:val="24"/>
                <w:lang w:bidi="ar"/>
              </w:rPr>
              <w:br w:type="textWrapping"/>
            </w:r>
            <w:r>
              <w:rPr>
                <w:rStyle w:val="7"/>
                <w:rFonts w:hint="default"/>
                <w:sz w:val="24"/>
                <w:szCs w:val="24"/>
                <w:lang w:bidi="ar"/>
              </w:rPr>
              <w:t>11、音板:采用寒带地区缓慢生长的鱼鳞松制作；根据钢琴发声特点而设计的不等厚度的单层实木音板。</w:t>
            </w:r>
            <w:r>
              <w:rPr>
                <w:rStyle w:val="7"/>
                <w:rFonts w:hint="default"/>
                <w:sz w:val="24"/>
                <w:szCs w:val="24"/>
                <w:lang w:bidi="ar"/>
              </w:rPr>
              <w:br w:type="textWrapping"/>
            </w:r>
            <w:r>
              <w:rPr>
                <w:rStyle w:val="7"/>
                <w:rFonts w:hint="default"/>
                <w:sz w:val="24"/>
                <w:szCs w:val="24"/>
                <w:lang w:bidi="ar"/>
              </w:rPr>
              <w:t>12、肋木:使用与音板相同材质木材，数量不少于11根。</w:t>
            </w:r>
            <w:r>
              <w:rPr>
                <w:rStyle w:val="7"/>
                <w:rFonts w:hint="default"/>
                <w:sz w:val="24"/>
                <w:szCs w:val="24"/>
                <w:lang w:bidi="ar"/>
              </w:rPr>
              <w:br w:type="textWrapping"/>
            </w:r>
            <w:r>
              <w:rPr>
                <w:rStyle w:val="7"/>
                <w:rFonts w:hint="default"/>
                <w:sz w:val="24"/>
                <w:szCs w:val="24"/>
                <w:lang w:bidi="ar"/>
              </w:rPr>
              <w:t>13、弦轴板:由15-17层坚硬的榉木交错压榨制成。</w:t>
            </w:r>
            <w:r>
              <w:rPr>
                <w:rStyle w:val="7"/>
                <w:rFonts w:hint="default"/>
                <w:sz w:val="24"/>
                <w:szCs w:val="24"/>
                <w:lang w:bidi="ar"/>
              </w:rPr>
              <w:br w:type="textWrapping"/>
            </w:r>
            <w:r>
              <w:rPr>
                <w:rStyle w:val="7"/>
                <w:rFonts w:hint="default"/>
                <w:sz w:val="24"/>
                <w:szCs w:val="24"/>
                <w:lang w:bidi="ar"/>
              </w:rPr>
              <w:t>14、弦码:中高音弦码采用弯压工艺，使用多层榉木层叠弯压成型，最大程度保留木材原有纹理，利于音的传递；低音弦码采用实木制作。</w:t>
            </w:r>
            <w:r>
              <w:rPr>
                <w:rStyle w:val="7"/>
                <w:rFonts w:hint="default"/>
                <w:sz w:val="24"/>
                <w:szCs w:val="24"/>
                <w:lang w:bidi="ar"/>
              </w:rPr>
              <w:br w:type="textWrapping"/>
            </w:r>
            <w:r>
              <w:rPr>
                <w:rStyle w:val="7"/>
                <w:rFonts w:hint="default"/>
                <w:sz w:val="24"/>
                <w:szCs w:val="24"/>
                <w:lang w:bidi="ar"/>
              </w:rPr>
              <w:t>15、背柱:五根实木制作而成的背柱；中枋背柱截面尺寸不少于77*70mm；背柱整体严密牢固，无明显缝隙或粘贴痕迹。</w:t>
            </w:r>
            <w:r>
              <w:rPr>
                <w:rStyle w:val="7"/>
                <w:rFonts w:hint="default"/>
                <w:sz w:val="24"/>
                <w:szCs w:val="24"/>
                <w:lang w:bidi="ar"/>
              </w:rPr>
              <w:br w:type="textWrapping"/>
            </w:r>
            <w:r>
              <w:rPr>
                <w:rStyle w:val="7"/>
                <w:rFonts w:hint="default"/>
                <w:sz w:val="24"/>
                <w:szCs w:val="24"/>
                <w:lang w:bidi="ar"/>
              </w:rPr>
              <w:t>16、键盘材质:有机玻璃白键片，黑黄檀木黑键键顶；键板采用鱼鳞松制作，含水率要求：6-12%。</w:t>
            </w:r>
            <w:r>
              <w:rPr>
                <w:rStyle w:val="7"/>
                <w:rFonts w:hint="default"/>
                <w:sz w:val="24"/>
                <w:szCs w:val="24"/>
                <w:lang w:bidi="ar"/>
              </w:rPr>
              <w:br w:type="textWrapping"/>
            </w:r>
            <w:r>
              <w:rPr>
                <w:rStyle w:val="7"/>
                <w:rFonts w:hint="default"/>
                <w:sz w:val="24"/>
                <w:szCs w:val="24"/>
                <w:lang w:bidi="ar"/>
              </w:rPr>
              <w:t>17、键盘精度:八度音程白键宽度164-165mm范围内；白键前端长度51.0-51.5mm范围内；黑键上端面宽度9.5mm±0.2mm范围内；黑键底宽度11.5mm±0.2mm范围内；黑键长度95.0mm±0.2mm范围内；黑键前端距白键面11.5-12.5mm范围内；白键间隙0.6-1.0mm范围内；中盘底面距地面高度≥650mm。</w:t>
            </w:r>
            <w:r>
              <w:rPr>
                <w:rStyle w:val="7"/>
                <w:rFonts w:hint="default"/>
                <w:sz w:val="24"/>
                <w:szCs w:val="24"/>
                <w:lang w:bidi="ar"/>
              </w:rPr>
              <w:br w:type="textWrapping"/>
            </w:r>
            <w:r>
              <w:rPr>
                <w:rStyle w:val="7"/>
                <w:rFonts w:hint="default"/>
                <w:sz w:val="24"/>
                <w:szCs w:val="24"/>
                <w:lang w:bidi="ar"/>
              </w:rPr>
              <w:t>18、中盘:使用稳定不易变形的木材制作而成。除螺丝外中盘上面不加装任何金属加固或金属链接结构。</w:t>
            </w:r>
            <w:r>
              <w:rPr>
                <w:rStyle w:val="7"/>
                <w:rFonts w:hint="default"/>
                <w:sz w:val="24"/>
                <w:szCs w:val="24"/>
                <w:lang w:bidi="ar"/>
              </w:rPr>
              <w:br w:type="textWrapping"/>
            </w:r>
            <w:r>
              <w:rPr>
                <w:rStyle w:val="7"/>
                <w:rFonts w:hint="default"/>
                <w:sz w:val="24"/>
                <w:szCs w:val="24"/>
                <w:lang w:bidi="ar"/>
              </w:rPr>
              <w:t>19、弦槌:采用优质加厚纯羊毛毡制作的弦槌；蓝色内芯；木芯采用桃花芯木</w:t>
            </w:r>
            <w:r>
              <w:rPr>
                <w:rStyle w:val="7"/>
                <w:rFonts w:hint="eastAsia"/>
                <w:sz w:val="24"/>
                <w:szCs w:val="24"/>
                <w:lang w:eastAsia="zh-CN" w:bidi="ar"/>
              </w:rPr>
              <w:t>；</w:t>
            </w:r>
            <w:r>
              <w:rPr>
                <w:rStyle w:val="7"/>
                <w:rFonts w:hint="default"/>
                <w:sz w:val="24"/>
                <w:szCs w:val="24"/>
                <w:lang w:bidi="ar"/>
              </w:rPr>
              <w:br w:type="textWrapping"/>
            </w:r>
            <w:r>
              <w:rPr>
                <w:rStyle w:val="7"/>
                <w:rFonts w:hint="default"/>
                <w:sz w:val="24"/>
                <w:szCs w:val="24"/>
                <w:lang w:bidi="ar"/>
              </w:rPr>
              <w:t>20、击弦机木制部件:转击器、联动杆、制音杆、顶杆等运动部件要求使用鹅耳枥木制作。</w:t>
            </w:r>
            <w:r>
              <w:rPr>
                <w:rStyle w:val="7"/>
                <w:rFonts w:hint="default"/>
                <w:sz w:val="24"/>
                <w:szCs w:val="24"/>
                <w:lang w:bidi="ar"/>
              </w:rPr>
              <w:br w:type="textWrapping"/>
            </w:r>
            <w:r>
              <w:rPr>
                <w:rStyle w:val="7"/>
                <w:rFonts w:hint="default"/>
                <w:sz w:val="24"/>
                <w:szCs w:val="24"/>
                <w:lang w:bidi="ar"/>
              </w:rPr>
              <w:t>21、调节档:鹅耳枥木实木（非多层）制作的调节档，不得有金属包裹。</w:t>
            </w:r>
            <w:r>
              <w:rPr>
                <w:rStyle w:val="7"/>
                <w:rFonts w:hint="default"/>
                <w:sz w:val="24"/>
                <w:szCs w:val="24"/>
                <w:lang w:bidi="ar"/>
              </w:rPr>
              <w:br w:type="textWrapping"/>
            </w:r>
            <w:r>
              <w:rPr>
                <w:rStyle w:val="7"/>
                <w:rFonts w:hint="default"/>
                <w:sz w:val="24"/>
                <w:szCs w:val="24"/>
                <w:lang w:bidi="ar"/>
              </w:rPr>
              <w:t>22、制音器:采用纯羊毛制造制音毡，制音器木托为榉木实木。</w:t>
            </w:r>
            <w:r>
              <w:rPr>
                <w:rStyle w:val="7"/>
                <w:rFonts w:hint="default"/>
                <w:sz w:val="24"/>
                <w:szCs w:val="24"/>
                <w:lang w:bidi="ar"/>
              </w:rPr>
              <w:br w:type="textWrapping"/>
            </w:r>
            <w:r>
              <w:rPr>
                <w:rStyle w:val="7"/>
                <w:rFonts w:hint="default"/>
                <w:sz w:val="24"/>
                <w:szCs w:val="24"/>
                <w:lang w:bidi="ar"/>
              </w:rPr>
              <w:t>23、缓降功能:内置隐藏式键盘盖缓降器，非外露摆杆式。</w:t>
            </w:r>
            <w:r>
              <w:rPr>
                <w:rStyle w:val="7"/>
                <w:rFonts w:hint="default"/>
                <w:sz w:val="24"/>
                <w:szCs w:val="24"/>
                <w:lang w:bidi="ar"/>
              </w:rPr>
              <w:br w:type="textWrapping"/>
            </w:r>
            <w:r>
              <w:rPr>
                <w:rStyle w:val="7"/>
                <w:rFonts w:hint="default"/>
                <w:sz w:val="24"/>
                <w:szCs w:val="24"/>
                <w:lang w:bidi="ar"/>
              </w:rPr>
              <w:t>24、演奏性能:白键下沉深度10.0-10.5mm范围内；琴键下降负荷0.50-0.65N范围内；回升负荷0.20-0.35N范围内；琴键负荷超标数为零；琴键运动灵敏、不相互摩擦；弱音踏瓣与延音踏瓣之间的负荷差值≤3.0N。</w:t>
            </w:r>
            <w:r>
              <w:rPr>
                <w:rStyle w:val="7"/>
                <w:rFonts w:hint="default"/>
                <w:sz w:val="24"/>
                <w:szCs w:val="24"/>
                <w:lang w:bidi="ar"/>
              </w:rPr>
              <w:br w:type="textWrapping"/>
            </w:r>
            <w:r>
              <w:rPr>
                <w:rStyle w:val="7"/>
                <w:rFonts w:hint="default"/>
                <w:sz w:val="24"/>
                <w:szCs w:val="24"/>
                <w:lang w:bidi="ar"/>
              </w:rPr>
              <w:t>25、脚轮:采用双轮金属脚轮，具有转动灵活；设有脚轮调平装置，可根据地面26、情况调节脚轮高度，保证钢琴平稳放置。</w:t>
            </w:r>
            <w:r>
              <w:rPr>
                <w:rStyle w:val="7"/>
                <w:rFonts w:hint="default"/>
                <w:sz w:val="24"/>
                <w:szCs w:val="24"/>
                <w:lang w:bidi="ar"/>
              </w:rPr>
              <w:br w:type="textWrapping"/>
            </w:r>
            <w:r>
              <w:rPr>
                <w:rStyle w:val="7"/>
                <w:rFonts w:hint="default"/>
                <w:sz w:val="24"/>
                <w:szCs w:val="24"/>
                <w:lang w:bidi="ar"/>
              </w:rPr>
              <w:t>产品标准：除上述要求以外，钢琴其他方面需符合《钢琴》GB/T10159-2015标准</w:t>
            </w:r>
            <w:r>
              <w:rPr>
                <w:rStyle w:val="7"/>
                <w:rFonts w:hint="eastAsia"/>
                <w:sz w:val="24"/>
                <w:szCs w:val="24"/>
                <w:lang w:eastAsia="zh-CN" w:bidi="ar"/>
              </w:rPr>
              <w:t>，</w:t>
            </w:r>
            <w:r>
              <w:rPr>
                <w:rStyle w:val="7"/>
                <w:rFonts w:hint="eastAsia"/>
                <w:sz w:val="24"/>
                <w:szCs w:val="24"/>
                <w:lang w:val="en-US" w:eastAsia="zh-CN" w:bidi="ar"/>
              </w:rPr>
              <w:t>其他配件也须满足最新国家标准</w:t>
            </w:r>
            <w:r>
              <w:rPr>
                <w:rStyle w:val="7"/>
                <w:rFonts w:hint="default"/>
                <w:sz w:val="24"/>
                <w:szCs w:val="24"/>
                <w:lang w:bidi="ar"/>
              </w:rPr>
              <w:t>。</w:t>
            </w:r>
          </w:p>
        </w:tc>
        <w:tc>
          <w:tcPr>
            <w:tcW w:w="256" w:type="pct"/>
            <w:shd w:val="clear" w:color="auto" w:fill="auto"/>
            <w:vAlign w:val="center"/>
          </w:tcPr>
          <w:p w14:paraId="1576A008">
            <w:pPr>
              <w:widowControl/>
              <w:jc w:val="center"/>
              <w:textAlignment w:val="center"/>
              <w:rPr>
                <w:rFonts w:ascii="宋体" w:hAnsi="宋体" w:cs="宋体"/>
                <w:color w:val="000000"/>
                <w:sz w:val="24"/>
                <w:szCs w:val="24"/>
                <w:highlight w:val="none"/>
              </w:rPr>
            </w:pPr>
            <w:r>
              <w:rPr>
                <w:rFonts w:hint="eastAsia" w:ascii="宋体" w:hAnsi="宋体" w:cs="宋体"/>
                <w:color w:val="000000"/>
                <w:kern w:val="0"/>
                <w:sz w:val="24"/>
                <w:szCs w:val="24"/>
                <w:lang w:bidi="ar"/>
              </w:rPr>
              <w:t>1</w:t>
            </w:r>
          </w:p>
        </w:tc>
        <w:tc>
          <w:tcPr>
            <w:tcW w:w="311" w:type="pct"/>
            <w:shd w:val="clear" w:color="auto" w:fill="auto"/>
            <w:vAlign w:val="center"/>
          </w:tcPr>
          <w:p w14:paraId="44282F4A">
            <w:pPr>
              <w:widowControl/>
              <w:jc w:val="center"/>
              <w:textAlignment w:val="center"/>
              <w:rPr>
                <w:rFonts w:ascii="宋体" w:hAnsi="宋体" w:cs="宋体"/>
                <w:color w:val="000000"/>
                <w:sz w:val="24"/>
                <w:szCs w:val="24"/>
                <w:highlight w:val="none"/>
              </w:rPr>
            </w:pPr>
            <w:r>
              <w:rPr>
                <w:rFonts w:hint="eastAsia" w:ascii="宋体" w:hAnsi="宋体" w:cs="宋体"/>
                <w:color w:val="000000"/>
                <w:kern w:val="0"/>
                <w:sz w:val="24"/>
                <w:szCs w:val="24"/>
                <w:lang w:bidi="ar"/>
              </w:rPr>
              <w:t>台</w:t>
            </w:r>
          </w:p>
        </w:tc>
        <w:tc>
          <w:tcPr>
            <w:tcW w:w="647" w:type="pct"/>
            <w:shd w:val="clear" w:color="auto" w:fill="auto"/>
            <w:vAlign w:val="center"/>
          </w:tcPr>
          <w:p w14:paraId="28E3F479">
            <w:pPr>
              <w:jc w:val="center"/>
              <w:rPr>
                <w:rFonts w:ascii="宋体" w:hAnsi="宋体" w:cs="宋体"/>
                <w:color w:val="000000"/>
                <w:sz w:val="24"/>
                <w:szCs w:val="24"/>
                <w:highlight w:val="yellow"/>
              </w:rPr>
            </w:pPr>
            <w:r>
              <w:rPr>
                <w:rFonts w:hint="eastAsia" w:ascii="宋体" w:hAnsi="宋体" w:cs="宋体"/>
                <w:color w:val="000000"/>
                <w:kern w:val="0"/>
                <w:sz w:val="24"/>
                <w:szCs w:val="24"/>
                <w:bdr w:val="single" w:color="000000" w:sz="4" w:space="0"/>
              </w:rPr>
              <w:drawing>
                <wp:anchor distT="0" distB="0" distL="114300" distR="114300" simplePos="0" relativeHeight="251662336" behindDoc="0" locked="0" layoutInCell="1" allowOverlap="1">
                  <wp:simplePos x="0" y="0"/>
                  <wp:positionH relativeFrom="column">
                    <wp:posOffset>5080</wp:posOffset>
                  </wp:positionH>
                  <wp:positionV relativeFrom="paragraph">
                    <wp:posOffset>402590</wp:posOffset>
                  </wp:positionV>
                  <wp:extent cx="854710" cy="956945"/>
                  <wp:effectExtent l="0" t="0" r="2540" b="14605"/>
                  <wp:wrapNone/>
                  <wp:docPr id="41" name="ID_5FFEEBABF781458B8375D17F51221E99"/>
                  <wp:cNvGraphicFramePr/>
                  <a:graphic xmlns:a="http://schemas.openxmlformats.org/drawingml/2006/main">
                    <a:graphicData uri="http://schemas.openxmlformats.org/drawingml/2006/picture">
                      <pic:pic xmlns:pic="http://schemas.openxmlformats.org/drawingml/2006/picture">
                        <pic:nvPicPr>
                          <pic:cNvPr id="41" name="ID_5FFEEBABF781458B8375D17F51221E99"/>
                          <pic:cNvPicPr/>
                        </pic:nvPicPr>
                        <pic:blipFill>
                          <a:blip r:embed="rId8"/>
                          <a:stretch>
                            <a:fillRect/>
                          </a:stretch>
                        </pic:blipFill>
                        <pic:spPr>
                          <a:xfrm>
                            <a:off x="0" y="0"/>
                            <a:ext cx="854710" cy="956945"/>
                          </a:xfrm>
                          <a:prstGeom prst="rect">
                            <a:avLst/>
                          </a:prstGeom>
                          <a:noFill/>
                          <a:ln>
                            <a:noFill/>
                          </a:ln>
                        </pic:spPr>
                      </pic:pic>
                    </a:graphicData>
                  </a:graphic>
                </wp:anchor>
              </w:drawing>
            </w:r>
          </w:p>
        </w:tc>
        <w:tc>
          <w:tcPr>
            <w:tcW w:w="251" w:type="pct"/>
            <w:shd w:val="clear" w:color="auto" w:fill="auto"/>
            <w:noWrap/>
            <w:vAlign w:val="center"/>
          </w:tcPr>
          <w:p w14:paraId="47828E64">
            <w:pPr>
              <w:rPr>
                <w:rFonts w:ascii="宋体" w:hAnsi="宋体" w:cs="宋体"/>
                <w:color w:val="000000"/>
                <w:sz w:val="24"/>
                <w:szCs w:val="24"/>
              </w:rPr>
            </w:pPr>
          </w:p>
        </w:tc>
      </w:tr>
      <w:tr w14:paraId="67302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0" w:hRule="atLeast"/>
        </w:trPr>
        <w:tc>
          <w:tcPr>
            <w:tcW w:w="241" w:type="pct"/>
            <w:shd w:val="clear" w:color="auto" w:fill="auto"/>
            <w:vAlign w:val="center"/>
          </w:tcPr>
          <w:p w14:paraId="02BB6DD2">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val="en-US" w:eastAsia="zh-CN" w:bidi="ar"/>
              </w:rPr>
              <w:t>4</w:t>
            </w:r>
          </w:p>
        </w:tc>
        <w:tc>
          <w:tcPr>
            <w:tcW w:w="430" w:type="pct"/>
            <w:shd w:val="clear" w:color="auto" w:fill="auto"/>
            <w:vAlign w:val="center"/>
          </w:tcPr>
          <w:p w14:paraId="5787F08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液晶显示拉坯机</w:t>
            </w:r>
          </w:p>
        </w:tc>
        <w:tc>
          <w:tcPr>
            <w:tcW w:w="2861" w:type="pct"/>
            <w:shd w:val="clear" w:color="auto" w:fill="auto"/>
            <w:vAlign w:val="bottom"/>
          </w:tcPr>
          <w:p w14:paraId="7FFDE4A2">
            <w:pPr>
              <w:widowControl/>
              <w:jc w:val="left"/>
              <w:textAlignment w:val="bottom"/>
              <w:rPr>
                <w:rFonts w:ascii="宋体" w:hAnsi="宋体" w:cs="宋体"/>
                <w:color w:val="000000"/>
                <w:kern w:val="0"/>
                <w:sz w:val="24"/>
                <w:szCs w:val="24"/>
                <w:lang w:bidi="ar"/>
              </w:rPr>
            </w:pPr>
            <w:r>
              <w:rPr>
                <w:rFonts w:hint="eastAsia" w:ascii="宋体" w:hAnsi="宋体" w:cs="宋体"/>
                <w:color w:val="000000"/>
                <w:kern w:val="0"/>
                <w:sz w:val="24"/>
                <w:szCs w:val="24"/>
                <w:lang w:bidi="ar"/>
              </w:rPr>
              <w:t>材质：可拆卸塑料壳 铝制转盘 电压：220V</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功率：200W</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 xml:space="preserve">转盘直径：28cm  可拆卸塑料壳，方便清洗  串联电源设计，避免了杂乱插座的安全隐患  可手动调节速度和方向 配有合格证、说明书，水桶材质：防水牛津布                       </w:t>
            </w:r>
          </w:p>
          <w:p w14:paraId="35DE1D45">
            <w:pPr>
              <w:widowControl/>
              <w:jc w:val="left"/>
              <w:textAlignment w:val="bottom"/>
              <w:rPr>
                <w:rFonts w:ascii="宋体" w:hAnsi="宋体" w:cs="宋体"/>
                <w:color w:val="000000"/>
                <w:kern w:val="0"/>
                <w:sz w:val="24"/>
                <w:szCs w:val="24"/>
                <w:lang w:bidi="ar"/>
              </w:rPr>
            </w:pPr>
            <w:r>
              <w:rPr>
                <w:rFonts w:hint="eastAsia" w:ascii="宋体" w:hAnsi="宋体" w:cs="宋体"/>
                <w:color w:val="000000"/>
                <w:kern w:val="0"/>
                <w:sz w:val="24"/>
                <w:szCs w:val="24"/>
                <w:lang w:bidi="ar"/>
              </w:rPr>
              <w:t xml:space="preserve">规格：直径14cm，高度14cm               </w:t>
            </w:r>
          </w:p>
          <w:p w14:paraId="0C703DD8">
            <w:pPr>
              <w:widowControl/>
              <w:jc w:val="left"/>
              <w:textAlignment w:val="bottom"/>
              <w:rPr>
                <w:rFonts w:ascii="宋体" w:hAnsi="宋体" w:cs="宋体"/>
                <w:color w:val="000000"/>
                <w:kern w:val="0"/>
                <w:sz w:val="24"/>
                <w:szCs w:val="24"/>
                <w:lang w:bidi="ar"/>
              </w:rPr>
            </w:pPr>
            <w:r>
              <w:rPr>
                <w:rFonts w:hint="eastAsia" w:ascii="宋体" w:hAnsi="宋体" w:cs="宋体"/>
                <w:color w:val="000000"/>
                <w:kern w:val="0"/>
                <w:sz w:val="24"/>
                <w:szCs w:val="24"/>
                <w:lang w:bidi="ar"/>
              </w:rPr>
              <w:t xml:space="preserve">包装：自封袋                           </w:t>
            </w:r>
          </w:p>
          <w:p w14:paraId="4CA48D79">
            <w:pPr>
              <w:widowControl/>
              <w:jc w:val="left"/>
              <w:textAlignment w:val="bottom"/>
              <w:rPr>
                <w:rFonts w:ascii="宋体" w:hAnsi="宋体" w:cs="宋体"/>
                <w:color w:val="000000"/>
                <w:sz w:val="24"/>
                <w:szCs w:val="24"/>
              </w:rPr>
            </w:pPr>
            <w:r>
              <w:rPr>
                <w:rFonts w:hint="eastAsia" w:ascii="宋体" w:hAnsi="宋体" w:cs="宋体"/>
                <w:color w:val="000000"/>
                <w:kern w:val="0"/>
                <w:sz w:val="24"/>
                <w:szCs w:val="24"/>
                <w:lang w:bidi="ar"/>
              </w:rPr>
              <w:t>可折叠，方便保存和清洗</w:t>
            </w:r>
          </w:p>
        </w:tc>
        <w:tc>
          <w:tcPr>
            <w:tcW w:w="256" w:type="pct"/>
            <w:shd w:val="clear" w:color="auto" w:fill="auto"/>
            <w:vAlign w:val="center"/>
          </w:tcPr>
          <w:p w14:paraId="7C5E69B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4</w:t>
            </w:r>
          </w:p>
        </w:tc>
        <w:tc>
          <w:tcPr>
            <w:tcW w:w="311" w:type="pct"/>
            <w:shd w:val="clear" w:color="auto" w:fill="auto"/>
            <w:vAlign w:val="center"/>
          </w:tcPr>
          <w:p w14:paraId="23E4EF3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套</w:t>
            </w:r>
          </w:p>
        </w:tc>
        <w:tc>
          <w:tcPr>
            <w:tcW w:w="647" w:type="pct"/>
            <w:shd w:val="clear" w:color="auto" w:fill="auto"/>
            <w:vAlign w:val="center"/>
          </w:tcPr>
          <w:p w14:paraId="1088099B">
            <w:pPr>
              <w:widowControl/>
              <w:jc w:val="center"/>
              <w:textAlignment w:val="center"/>
              <w:rPr>
                <w:rFonts w:ascii="宋体" w:hAnsi="宋体" w:cs="宋体"/>
                <w:color w:val="000000"/>
                <w:sz w:val="24"/>
                <w:szCs w:val="24"/>
              </w:rPr>
            </w:pPr>
            <w:r>
              <w:rPr>
                <w:rFonts w:hint="eastAsia" w:ascii="宋体" w:hAnsi="宋体" w:cs="宋体"/>
                <w:b/>
                <w:bCs/>
                <w:color w:val="000000"/>
                <w:kern w:val="0"/>
                <w:sz w:val="24"/>
                <w:szCs w:val="24"/>
                <w:bdr w:val="single" w:color="000000" w:sz="4" w:space="0"/>
              </w:rPr>
              <w:drawing>
                <wp:anchor distT="0" distB="0" distL="114300" distR="114300" simplePos="0" relativeHeight="251663360" behindDoc="0" locked="0" layoutInCell="1" allowOverlap="1">
                  <wp:simplePos x="0" y="0"/>
                  <wp:positionH relativeFrom="column">
                    <wp:posOffset>56515</wp:posOffset>
                  </wp:positionH>
                  <wp:positionV relativeFrom="paragraph">
                    <wp:posOffset>864870</wp:posOffset>
                  </wp:positionV>
                  <wp:extent cx="1020445" cy="733425"/>
                  <wp:effectExtent l="0" t="0" r="8255" b="9525"/>
                  <wp:wrapNone/>
                  <wp:docPr id="42" name="ID_D19CCFE8EEE74EF5B4309D3D8B9ED43C"/>
                  <wp:cNvGraphicFramePr/>
                  <a:graphic xmlns:a="http://schemas.openxmlformats.org/drawingml/2006/main">
                    <a:graphicData uri="http://schemas.openxmlformats.org/drawingml/2006/picture">
                      <pic:pic xmlns:pic="http://schemas.openxmlformats.org/drawingml/2006/picture">
                        <pic:nvPicPr>
                          <pic:cNvPr id="42" name="ID_D19CCFE8EEE74EF5B4309D3D8B9ED43C"/>
                          <pic:cNvPicPr/>
                        </pic:nvPicPr>
                        <pic:blipFill>
                          <a:blip r:embed="rId9"/>
                          <a:stretch>
                            <a:fillRect/>
                          </a:stretch>
                        </pic:blipFill>
                        <pic:spPr>
                          <a:xfrm>
                            <a:off x="0" y="0"/>
                            <a:ext cx="1020445" cy="733425"/>
                          </a:xfrm>
                          <a:prstGeom prst="rect">
                            <a:avLst/>
                          </a:prstGeom>
                          <a:noFill/>
                          <a:ln>
                            <a:noFill/>
                          </a:ln>
                        </pic:spPr>
                      </pic:pic>
                    </a:graphicData>
                  </a:graphic>
                </wp:anchor>
              </w:drawing>
            </w:r>
          </w:p>
        </w:tc>
        <w:tc>
          <w:tcPr>
            <w:tcW w:w="251" w:type="pct"/>
            <w:shd w:val="clear" w:color="auto" w:fill="auto"/>
            <w:noWrap/>
            <w:vAlign w:val="center"/>
          </w:tcPr>
          <w:p w14:paraId="1FCC09D0">
            <w:pPr>
              <w:rPr>
                <w:rFonts w:ascii="宋体" w:hAnsi="宋体" w:cs="宋体"/>
                <w:color w:val="000000"/>
                <w:sz w:val="24"/>
                <w:szCs w:val="24"/>
              </w:rPr>
            </w:pPr>
          </w:p>
        </w:tc>
      </w:tr>
      <w:tr w14:paraId="0C2F3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0" w:hRule="atLeast"/>
        </w:trPr>
        <w:tc>
          <w:tcPr>
            <w:tcW w:w="241" w:type="pct"/>
            <w:shd w:val="clear" w:color="auto" w:fill="auto"/>
            <w:vAlign w:val="center"/>
          </w:tcPr>
          <w:p w14:paraId="5795ED2D">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val="en-US" w:eastAsia="zh-CN" w:bidi="ar"/>
              </w:rPr>
              <w:t>5</w:t>
            </w:r>
          </w:p>
        </w:tc>
        <w:tc>
          <w:tcPr>
            <w:tcW w:w="430" w:type="pct"/>
            <w:shd w:val="clear" w:color="auto" w:fill="auto"/>
            <w:vAlign w:val="center"/>
          </w:tcPr>
          <w:p w14:paraId="55B0A4F7">
            <w:pPr>
              <w:widowControl/>
              <w:jc w:val="center"/>
              <w:textAlignment w:val="center"/>
              <w:rPr>
                <w:rFonts w:ascii="宋体" w:hAnsi="宋体" w:cs="宋体"/>
                <w:color w:val="000000"/>
                <w:sz w:val="24"/>
                <w:szCs w:val="24"/>
                <w:highlight w:val="yellow"/>
              </w:rPr>
            </w:pPr>
            <w:r>
              <w:rPr>
                <w:rFonts w:hint="eastAsia" w:ascii="宋体" w:hAnsi="宋体" w:cs="宋体"/>
                <w:color w:val="000000"/>
                <w:kern w:val="0"/>
                <w:sz w:val="24"/>
                <w:szCs w:val="24"/>
                <w:lang w:bidi="ar"/>
              </w:rPr>
              <w:t>桌面吸灰器</w:t>
            </w:r>
          </w:p>
        </w:tc>
        <w:tc>
          <w:tcPr>
            <w:tcW w:w="2861" w:type="pct"/>
            <w:shd w:val="clear" w:color="auto" w:fill="auto"/>
            <w:vAlign w:val="center"/>
          </w:tcPr>
          <w:p w14:paraId="77292E96">
            <w:pPr>
              <w:widowControl/>
              <w:jc w:val="left"/>
              <w:textAlignment w:val="center"/>
              <w:rPr>
                <w:rFonts w:ascii="宋体" w:hAnsi="宋体" w:cs="宋体"/>
                <w:color w:val="000000"/>
                <w:sz w:val="24"/>
                <w:szCs w:val="24"/>
                <w:highlight w:val="yellow"/>
              </w:rPr>
            </w:pPr>
            <w:r>
              <w:rPr>
                <w:rFonts w:hint="eastAsia" w:ascii="宋体" w:hAnsi="宋体" w:cs="宋体"/>
                <w:color w:val="000000"/>
                <w:kern w:val="0"/>
                <w:sz w:val="24"/>
                <w:szCs w:val="24"/>
                <w:lang w:bidi="ar"/>
              </w:rPr>
              <w:t>1、尺寸65mm*85mm</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2、材质为A++级别优质ABS材质，安全防静电。</w:t>
            </w:r>
          </w:p>
        </w:tc>
        <w:tc>
          <w:tcPr>
            <w:tcW w:w="256" w:type="pct"/>
            <w:shd w:val="clear" w:color="auto" w:fill="auto"/>
            <w:noWrap/>
            <w:vAlign w:val="center"/>
          </w:tcPr>
          <w:p w14:paraId="1D7092B4">
            <w:pPr>
              <w:widowControl/>
              <w:jc w:val="center"/>
              <w:textAlignment w:val="center"/>
              <w:rPr>
                <w:rFonts w:ascii="宋体" w:hAnsi="宋体" w:cs="宋体"/>
                <w:color w:val="000000"/>
                <w:sz w:val="24"/>
                <w:szCs w:val="24"/>
                <w:highlight w:val="yellow"/>
              </w:rPr>
            </w:pPr>
            <w:r>
              <w:rPr>
                <w:rFonts w:hint="eastAsia" w:ascii="宋体" w:hAnsi="宋体" w:cs="宋体"/>
                <w:color w:val="000000"/>
                <w:kern w:val="0"/>
                <w:sz w:val="24"/>
                <w:szCs w:val="24"/>
                <w:lang w:bidi="ar"/>
              </w:rPr>
              <w:t>1</w:t>
            </w:r>
          </w:p>
        </w:tc>
        <w:tc>
          <w:tcPr>
            <w:tcW w:w="311" w:type="pct"/>
            <w:shd w:val="clear" w:color="auto" w:fill="auto"/>
            <w:noWrap/>
            <w:vAlign w:val="center"/>
          </w:tcPr>
          <w:p w14:paraId="14D75F1E">
            <w:pPr>
              <w:widowControl/>
              <w:jc w:val="center"/>
              <w:textAlignment w:val="center"/>
              <w:rPr>
                <w:rFonts w:ascii="宋体" w:hAnsi="宋体" w:cs="宋体"/>
                <w:color w:val="000000"/>
                <w:sz w:val="24"/>
                <w:szCs w:val="24"/>
                <w:highlight w:val="yellow"/>
              </w:rPr>
            </w:pPr>
            <w:r>
              <w:rPr>
                <w:rFonts w:hint="eastAsia" w:ascii="宋体" w:hAnsi="宋体" w:cs="宋体"/>
                <w:color w:val="000000"/>
                <w:kern w:val="0"/>
                <w:sz w:val="24"/>
                <w:szCs w:val="24"/>
                <w:lang w:bidi="ar"/>
              </w:rPr>
              <w:t>个</w:t>
            </w:r>
          </w:p>
        </w:tc>
        <w:tc>
          <w:tcPr>
            <w:tcW w:w="647" w:type="pct"/>
            <w:shd w:val="clear" w:color="auto" w:fill="auto"/>
            <w:noWrap/>
            <w:vAlign w:val="center"/>
          </w:tcPr>
          <w:p w14:paraId="1795B73A">
            <w:pPr>
              <w:widowControl/>
              <w:jc w:val="center"/>
              <w:textAlignment w:val="center"/>
              <w:rPr>
                <w:rFonts w:ascii="宋体" w:hAnsi="宋体" w:cs="宋体"/>
                <w:color w:val="000000"/>
                <w:sz w:val="24"/>
                <w:szCs w:val="24"/>
                <w:highlight w:val="yellow"/>
              </w:rPr>
            </w:pPr>
            <w:r>
              <w:rPr>
                <w:rFonts w:hint="eastAsia" w:ascii="宋体" w:hAnsi="宋体" w:cs="宋体"/>
                <w:color w:val="000000"/>
                <w:kern w:val="0"/>
                <w:sz w:val="24"/>
                <w:szCs w:val="24"/>
                <w:bdr w:val="single" w:color="000000" w:sz="4" w:space="0"/>
              </w:rPr>
              <w:drawing>
                <wp:anchor distT="0" distB="0" distL="114300" distR="114300" simplePos="0" relativeHeight="251664384" behindDoc="0" locked="0" layoutInCell="1" allowOverlap="1">
                  <wp:simplePos x="0" y="0"/>
                  <wp:positionH relativeFrom="column">
                    <wp:posOffset>254635</wp:posOffset>
                  </wp:positionH>
                  <wp:positionV relativeFrom="paragraph">
                    <wp:posOffset>94615</wp:posOffset>
                  </wp:positionV>
                  <wp:extent cx="537210" cy="280670"/>
                  <wp:effectExtent l="0" t="0" r="15240" b="5080"/>
                  <wp:wrapNone/>
                  <wp:docPr id="43" name="ID_84DAFA2037324F56B6CEC9C62ED09ACF"/>
                  <wp:cNvGraphicFramePr/>
                  <a:graphic xmlns:a="http://schemas.openxmlformats.org/drawingml/2006/main">
                    <a:graphicData uri="http://schemas.openxmlformats.org/drawingml/2006/picture">
                      <pic:pic xmlns:pic="http://schemas.openxmlformats.org/drawingml/2006/picture">
                        <pic:nvPicPr>
                          <pic:cNvPr id="43" name="ID_84DAFA2037324F56B6CEC9C62ED09ACF"/>
                          <pic:cNvPicPr/>
                        </pic:nvPicPr>
                        <pic:blipFill>
                          <a:blip r:embed="rId10"/>
                          <a:stretch>
                            <a:fillRect/>
                          </a:stretch>
                        </pic:blipFill>
                        <pic:spPr>
                          <a:xfrm>
                            <a:off x="0" y="0"/>
                            <a:ext cx="537210" cy="280670"/>
                          </a:xfrm>
                          <a:prstGeom prst="rect">
                            <a:avLst/>
                          </a:prstGeom>
                          <a:noFill/>
                          <a:ln>
                            <a:noFill/>
                          </a:ln>
                        </pic:spPr>
                      </pic:pic>
                    </a:graphicData>
                  </a:graphic>
                </wp:anchor>
              </w:drawing>
            </w:r>
          </w:p>
        </w:tc>
        <w:tc>
          <w:tcPr>
            <w:tcW w:w="251" w:type="pct"/>
            <w:shd w:val="clear" w:color="auto" w:fill="auto"/>
            <w:noWrap/>
            <w:vAlign w:val="center"/>
          </w:tcPr>
          <w:p w14:paraId="7CBDAA1B">
            <w:pPr>
              <w:rPr>
                <w:rFonts w:ascii="宋体" w:hAnsi="宋体" w:cs="宋体"/>
                <w:color w:val="000000"/>
                <w:sz w:val="24"/>
                <w:szCs w:val="24"/>
              </w:rPr>
            </w:pPr>
          </w:p>
        </w:tc>
      </w:tr>
      <w:tr w14:paraId="1AB33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89" w:hRule="atLeast"/>
        </w:trPr>
        <w:tc>
          <w:tcPr>
            <w:tcW w:w="241" w:type="pct"/>
            <w:shd w:val="clear" w:color="auto" w:fill="auto"/>
            <w:vAlign w:val="center"/>
          </w:tcPr>
          <w:p w14:paraId="0281F961">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val="en-US" w:eastAsia="zh-CN" w:bidi="ar"/>
              </w:rPr>
              <w:t>6</w:t>
            </w:r>
          </w:p>
        </w:tc>
        <w:tc>
          <w:tcPr>
            <w:tcW w:w="430" w:type="pct"/>
            <w:shd w:val="clear" w:color="auto" w:fill="auto"/>
            <w:vAlign w:val="center"/>
          </w:tcPr>
          <w:p w14:paraId="024074E3">
            <w:pPr>
              <w:widowControl/>
              <w:jc w:val="center"/>
              <w:textAlignment w:val="center"/>
              <w:rPr>
                <w:rFonts w:ascii="宋体" w:hAnsi="宋体" w:cs="宋体"/>
                <w:b/>
                <w:bCs/>
                <w:color w:val="000000"/>
                <w:sz w:val="24"/>
                <w:szCs w:val="24"/>
              </w:rPr>
            </w:pPr>
            <w:r>
              <w:rPr>
                <w:rFonts w:hint="eastAsia" w:ascii="宋体" w:hAnsi="宋体" w:cs="宋体"/>
                <w:color w:val="000000"/>
                <w:kern w:val="0"/>
                <w:sz w:val="24"/>
                <w:szCs w:val="24"/>
                <w:lang w:bidi="ar"/>
              </w:rPr>
              <w:t>融蜡器</w:t>
            </w:r>
          </w:p>
        </w:tc>
        <w:tc>
          <w:tcPr>
            <w:tcW w:w="2861" w:type="pct"/>
            <w:shd w:val="clear" w:color="auto" w:fill="auto"/>
            <w:vAlign w:val="center"/>
          </w:tcPr>
          <w:p w14:paraId="3226EDB7">
            <w:pPr>
              <w:widowControl/>
              <w:jc w:val="left"/>
              <w:textAlignment w:val="center"/>
              <w:rPr>
                <w:rFonts w:ascii="宋体" w:hAnsi="宋体" w:cs="宋体"/>
                <w:color w:val="000000"/>
                <w:sz w:val="18"/>
                <w:szCs w:val="18"/>
              </w:rPr>
            </w:pPr>
            <w:r>
              <w:rPr>
                <w:rFonts w:hint="eastAsia" w:ascii="宋体" w:hAnsi="宋体" w:cs="宋体"/>
                <w:color w:val="000000"/>
                <w:kern w:val="0"/>
                <w:sz w:val="24"/>
                <w:szCs w:val="24"/>
                <w:lang w:bidi="ar"/>
              </w:rPr>
              <w:t>1、材质：塑料，金属</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2、尺寸：长240mm宽180mm高184mm，内直径110mm（±5mm）</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 xml:space="preserve">3、功率：200W </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4、额定电压：220V</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5、额定功率：100W</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6</w:t>
            </w:r>
            <w:r>
              <w:rPr>
                <w:rFonts w:hint="eastAsia" w:ascii="宋体" w:hAnsi="宋体" w:cs="宋体"/>
                <w:color w:val="000000"/>
                <w:kern w:val="0"/>
                <w:sz w:val="24"/>
                <w:szCs w:val="24"/>
                <w:lang w:bidi="ar"/>
              </w:rPr>
              <w:t>、内胆容量：500CC</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7</w:t>
            </w:r>
            <w:r>
              <w:rPr>
                <w:rFonts w:hint="eastAsia" w:ascii="宋体" w:hAnsi="宋体" w:cs="宋体"/>
                <w:color w:val="000000"/>
                <w:kern w:val="0"/>
                <w:sz w:val="24"/>
                <w:szCs w:val="24"/>
                <w:lang w:bidi="ar"/>
              </w:rPr>
              <w:t>、可调温度：35-140℃ 与蜂蜡配套</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8</w:t>
            </w:r>
            <w:r>
              <w:rPr>
                <w:rFonts w:hint="eastAsia" w:ascii="宋体" w:hAnsi="宋体" w:cs="宋体"/>
                <w:color w:val="000000"/>
                <w:kern w:val="0"/>
                <w:sz w:val="24"/>
                <w:szCs w:val="24"/>
                <w:lang w:bidi="ar"/>
              </w:rPr>
              <w:t>、用途：融化蜡烛，用于蜡染，将大块固体蜂蜡融化，方便蜡染时使用</w:t>
            </w:r>
          </w:p>
        </w:tc>
        <w:tc>
          <w:tcPr>
            <w:tcW w:w="256" w:type="pct"/>
            <w:shd w:val="clear" w:color="auto" w:fill="auto"/>
            <w:noWrap/>
            <w:vAlign w:val="center"/>
          </w:tcPr>
          <w:p w14:paraId="6FD04EB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vAlign w:val="center"/>
          </w:tcPr>
          <w:p w14:paraId="44AA3D8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套</w:t>
            </w:r>
          </w:p>
        </w:tc>
        <w:tc>
          <w:tcPr>
            <w:tcW w:w="647" w:type="pct"/>
            <w:shd w:val="clear" w:color="auto" w:fill="auto"/>
            <w:noWrap/>
            <w:vAlign w:val="center"/>
          </w:tcPr>
          <w:p w14:paraId="5A55746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65408" behindDoc="0" locked="0" layoutInCell="1" allowOverlap="1">
                  <wp:simplePos x="0" y="0"/>
                  <wp:positionH relativeFrom="column">
                    <wp:posOffset>213995</wp:posOffset>
                  </wp:positionH>
                  <wp:positionV relativeFrom="paragraph">
                    <wp:posOffset>482600</wp:posOffset>
                  </wp:positionV>
                  <wp:extent cx="675640" cy="700405"/>
                  <wp:effectExtent l="0" t="0" r="10160" b="4445"/>
                  <wp:wrapNone/>
                  <wp:docPr id="44" name="ID_DA801CC61A5A4F349E0E58E750DBAC5D"/>
                  <wp:cNvGraphicFramePr/>
                  <a:graphic xmlns:a="http://schemas.openxmlformats.org/drawingml/2006/main">
                    <a:graphicData uri="http://schemas.openxmlformats.org/drawingml/2006/picture">
                      <pic:pic xmlns:pic="http://schemas.openxmlformats.org/drawingml/2006/picture">
                        <pic:nvPicPr>
                          <pic:cNvPr id="44" name="ID_DA801CC61A5A4F349E0E58E750DBAC5D"/>
                          <pic:cNvPicPr/>
                        </pic:nvPicPr>
                        <pic:blipFill>
                          <a:blip r:embed="rId11"/>
                          <a:stretch>
                            <a:fillRect/>
                          </a:stretch>
                        </pic:blipFill>
                        <pic:spPr>
                          <a:xfrm>
                            <a:off x="0" y="0"/>
                            <a:ext cx="675640" cy="700405"/>
                          </a:xfrm>
                          <a:prstGeom prst="rect">
                            <a:avLst/>
                          </a:prstGeom>
                          <a:noFill/>
                          <a:ln>
                            <a:noFill/>
                          </a:ln>
                        </pic:spPr>
                      </pic:pic>
                    </a:graphicData>
                  </a:graphic>
                </wp:anchor>
              </w:drawing>
            </w:r>
          </w:p>
        </w:tc>
        <w:tc>
          <w:tcPr>
            <w:tcW w:w="251" w:type="pct"/>
            <w:shd w:val="clear" w:color="auto" w:fill="auto"/>
            <w:vAlign w:val="center"/>
          </w:tcPr>
          <w:p w14:paraId="0DFD4388">
            <w:pPr>
              <w:rPr>
                <w:rFonts w:ascii="宋体" w:hAnsi="宋体" w:cs="宋体"/>
                <w:color w:val="000000"/>
                <w:sz w:val="24"/>
                <w:szCs w:val="24"/>
              </w:rPr>
            </w:pPr>
          </w:p>
        </w:tc>
      </w:tr>
      <w:tr w14:paraId="2A8BC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2" w:hRule="atLeast"/>
        </w:trPr>
        <w:tc>
          <w:tcPr>
            <w:tcW w:w="241" w:type="pct"/>
            <w:shd w:val="clear" w:color="auto" w:fill="auto"/>
            <w:vAlign w:val="center"/>
          </w:tcPr>
          <w:p w14:paraId="647B42B0">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val="en-US" w:eastAsia="zh-CN" w:bidi="ar"/>
              </w:rPr>
              <w:t>7</w:t>
            </w:r>
          </w:p>
        </w:tc>
        <w:tc>
          <w:tcPr>
            <w:tcW w:w="430" w:type="pct"/>
            <w:shd w:val="clear" w:color="auto" w:fill="auto"/>
            <w:vAlign w:val="center"/>
          </w:tcPr>
          <w:p w14:paraId="22F49005">
            <w:pPr>
              <w:widowControl/>
              <w:jc w:val="center"/>
              <w:textAlignment w:val="center"/>
              <w:rPr>
                <w:rFonts w:hint="eastAsia" w:ascii="宋体" w:hAnsi="宋体" w:cs="宋体"/>
                <w:color w:val="000000"/>
                <w:kern w:val="0"/>
                <w:sz w:val="24"/>
                <w:szCs w:val="24"/>
                <w:lang w:bidi="ar"/>
              </w:rPr>
            </w:pPr>
          </w:p>
          <w:p w14:paraId="3295F4E8">
            <w:pPr>
              <w:widowControl/>
              <w:jc w:val="center"/>
              <w:textAlignment w:val="center"/>
              <w:rPr>
                <w:rFonts w:hint="eastAsia" w:ascii="宋体" w:hAnsi="宋体" w:cs="宋体"/>
                <w:color w:val="000000"/>
                <w:kern w:val="0"/>
                <w:sz w:val="24"/>
                <w:szCs w:val="24"/>
                <w:lang w:bidi="ar"/>
              </w:rPr>
            </w:pPr>
          </w:p>
          <w:p w14:paraId="45391AE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66432" behindDoc="0" locked="0" layoutInCell="1" allowOverlap="1">
                  <wp:simplePos x="0" y="0"/>
                  <wp:positionH relativeFrom="column">
                    <wp:posOffset>215900</wp:posOffset>
                  </wp:positionH>
                  <wp:positionV relativeFrom="paragraph">
                    <wp:posOffset>535940</wp:posOffset>
                  </wp:positionV>
                  <wp:extent cx="539750" cy="539750"/>
                  <wp:effectExtent l="0" t="0" r="0" b="0"/>
                  <wp:wrapNone/>
                  <wp:docPr id="45" name="ID_DE30F36150474A4AB6E9D264D9905890"/>
                  <wp:cNvGraphicFramePr/>
                  <a:graphic xmlns:a="http://schemas.openxmlformats.org/drawingml/2006/main">
                    <a:graphicData uri="http://schemas.openxmlformats.org/drawingml/2006/picture">
                      <pic:pic xmlns:pic="http://schemas.openxmlformats.org/drawingml/2006/picture">
                        <pic:nvPicPr>
                          <pic:cNvPr id="45" name="ID_DE30F36150474A4AB6E9D264D9905890"/>
                          <pic:cNvPicPr/>
                        </pic:nvPicPr>
                        <pic:blipFill>
                          <a:blip r:embed="rId12"/>
                          <a:stretch>
                            <a:fillRect/>
                          </a:stretch>
                        </pic:blipFill>
                        <pic:spPr>
                          <a:xfrm>
                            <a:off x="0" y="0"/>
                            <a:ext cx="539750" cy="539750"/>
                          </a:xfrm>
                          <a:prstGeom prst="rect">
                            <a:avLst/>
                          </a:prstGeom>
                          <a:noFill/>
                          <a:ln>
                            <a:noFill/>
                          </a:ln>
                        </pic:spPr>
                      </pic:pic>
                    </a:graphicData>
                  </a:graphic>
                </wp:anchor>
              </w:drawing>
            </w:r>
            <w:r>
              <w:rPr>
                <w:rFonts w:hint="eastAsia" w:ascii="宋体" w:hAnsi="宋体" w:cs="宋体"/>
                <w:color w:val="000000"/>
                <w:kern w:val="0"/>
                <w:sz w:val="24"/>
                <w:szCs w:val="24"/>
                <w:lang w:bidi="ar"/>
              </w:rPr>
              <w:t>触屏语音高功率高温电窑</w:t>
            </w:r>
          </w:p>
        </w:tc>
        <w:tc>
          <w:tcPr>
            <w:tcW w:w="2861" w:type="pct"/>
            <w:shd w:val="clear" w:color="auto" w:fill="auto"/>
            <w:vAlign w:val="center"/>
          </w:tcPr>
          <w:p w14:paraId="1871C51E">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67456" behindDoc="0" locked="0" layoutInCell="1" allowOverlap="1">
                  <wp:simplePos x="0" y="0"/>
                  <wp:positionH relativeFrom="column">
                    <wp:posOffset>215900</wp:posOffset>
                  </wp:positionH>
                  <wp:positionV relativeFrom="paragraph">
                    <wp:posOffset>535940</wp:posOffset>
                  </wp:positionV>
                  <wp:extent cx="539750" cy="539750"/>
                  <wp:effectExtent l="0" t="0" r="0" b="0"/>
                  <wp:wrapNone/>
                  <wp:docPr id="46" name="ID_DE30F36150474A4AB6E9D264D9905890_SpCnt_1"/>
                  <wp:cNvGraphicFramePr/>
                  <a:graphic xmlns:a="http://schemas.openxmlformats.org/drawingml/2006/main">
                    <a:graphicData uri="http://schemas.openxmlformats.org/drawingml/2006/picture">
                      <pic:pic xmlns:pic="http://schemas.openxmlformats.org/drawingml/2006/picture">
                        <pic:nvPicPr>
                          <pic:cNvPr id="46" name="ID_DE30F36150474A4AB6E9D264D9905890_SpCnt_1"/>
                          <pic:cNvPicPr/>
                        </pic:nvPicPr>
                        <pic:blipFill>
                          <a:blip r:embed="rId13"/>
                          <a:stretch>
                            <a:fillRect/>
                          </a:stretch>
                        </pic:blipFill>
                        <pic:spPr>
                          <a:xfrm>
                            <a:off x="0" y="0"/>
                            <a:ext cx="539750" cy="539750"/>
                          </a:xfrm>
                          <a:prstGeom prst="rect">
                            <a:avLst/>
                          </a:prstGeom>
                          <a:noFill/>
                          <a:ln>
                            <a:noFill/>
                          </a:ln>
                        </pic:spPr>
                      </pic:pic>
                    </a:graphicData>
                  </a:graphic>
                </wp:anchor>
              </w:drawing>
            </w:r>
            <w:r>
              <w:rPr>
                <w:rFonts w:hint="eastAsia" w:ascii="宋体" w:hAnsi="宋体" w:cs="宋体"/>
                <w:color w:val="000000"/>
                <w:kern w:val="0"/>
                <w:sz w:val="24"/>
                <w:szCs w:val="24"/>
                <w:lang w:bidi="ar"/>
              </w:rPr>
              <w:t>1、电压：AC220V。功率：节能电窑</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2、使用温度：0-1245℃</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3、特性：智能32段控温，全自动模式，可自动降温。进线要求：6平方或以上。最高温度1400度，常用1280度。窑身表面温度：最高55度</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4、内部材质：耐火砖，莫来石纤维棉。</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5、外部材质：金属。</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6、落地方式：可推动滑轮式。</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7</w:t>
            </w:r>
            <w:r>
              <w:rPr>
                <w:rFonts w:hint="eastAsia" w:ascii="宋体" w:hAnsi="宋体" w:cs="宋体"/>
                <w:color w:val="000000"/>
                <w:kern w:val="0"/>
                <w:sz w:val="24"/>
                <w:szCs w:val="24"/>
                <w:lang w:bidi="ar"/>
              </w:rPr>
              <w:t>、标配：全自动电窑1个，标牌1个，合格证1张。</w:t>
            </w:r>
          </w:p>
        </w:tc>
        <w:tc>
          <w:tcPr>
            <w:tcW w:w="256" w:type="pct"/>
            <w:shd w:val="clear" w:color="auto" w:fill="auto"/>
            <w:noWrap/>
            <w:vAlign w:val="center"/>
          </w:tcPr>
          <w:p w14:paraId="44D6D8E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noWrap/>
            <w:vAlign w:val="center"/>
          </w:tcPr>
          <w:p w14:paraId="0443DBB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noWrap/>
            <w:vAlign w:val="center"/>
          </w:tcPr>
          <w:p w14:paraId="6828AA83">
            <w:pPr>
              <w:widowControl/>
              <w:jc w:val="center"/>
              <w:textAlignment w:val="center"/>
              <w:rPr>
                <w:rFonts w:ascii="宋体" w:hAnsi="宋体" w:cs="宋体"/>
                <w:b/>
                <w:bCs/>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68480" behindDoc="0" locked="0" layoutInCell="1" allowOverlap="1">
                  <wp:simplePos x="0" y="0"/>
                  <wp:positionH relativeFrom="column">
                    <wp:posOffset>68580</wp:posOffset>
                  </wp:positionH>
                  <wp:positionV relativeFrom="paragraph">
                    <wp:posOffset>1104900</wp:posOffset>
                  </wp:positionV>
                  <wp:extent cx="690880" cy="504190"/>
                  <wp:effectExtent l="0" t="0" r="13970" b="10160"/>
                  <wp:wrapNone/>
                  <wp:docPr id="47" name="ID_4EA7E2C0140F4627A16720925677BB39"/>
                  <wp:cNvGraphicFramePr/>
                  <a:graphic xmlns:a="http://schemas.openxmlformats.org/drawingml/2006/main">
                    <a:graphicData uri="http://schemas.openxmlformats.org/drawingml/2006/picture">
                      <pic:pic xmlns:pic="http://schemas.openxmlformats.org/drawingml/2006/picture">
                        <pic:nvPicPr>
                          <pic:cNvPr id="47" name="ID_4EA7E2C0140F4627A16720925677BB39"/>
                          <pic:cNvPicPr/>
                        </pic:nvPicPr>
                        <pic:blipFill>
                          <a:blip r:embed="rId14"/>
                          <a:stretch>
                            <a:fillRect/>
                          </a:stretch>
                        </pic:blipFill>
                        <pic:spPr>
                          <a:xfrm>
                            <a:off x="0" y="0"/>
                            <a:ext cx="690880" cy="504190"/>
                          </a:xfrm>
                          <a:prstGeom prst="rect">
                            <a:avLst/>
                          </a:prstGeom>
                          <a:noFill/>
                          <a:ln>
                            <a:noFill/>
                          </a:ln>
                        </pic:spPr>
                      </pic:pic>
                    </a:graphicData>
                  </a:graphic>
                </wp:anchor>
              </w:drawing>
            </w:r>
          </w:p>
        </w:tc>
        <w:tc>
          <w:tcPr>
            <w:tcW w:w="251" w:type="pct"/>
            <w:shd w:val="clear" w:color="auto" w:fill="auto"/>
            <w:vAlign w:val="center"/>
          </w:tcPr>
          <w:p w14:paraId="7A7452E2">
            <w:pPr>
              <w:rPr>
                <w:rFonts w:ascii="宋体" w:hAnsi="宋体" w:cs="宋体"/>
                <w:color w:val="000000"/>
                <w:sz w:val="24"/>
                <w:szCs w:val="24"/>
              </w:rPr>
            </w:pPr>
          </w:p>
        </w:tc>
      </w:tr>
      <w:tr w14:paraId="00064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241" w:type="pct"/>
            <w:shd w:val="clear" w:color="auto" w:fill="auto"/>
            <w:vAlign w:val="center"/>
          </w:tcPr>
          <w:p w14:paraId="669972B9">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val="en-US" w:eastAsia="zh-CN" w:bidi="ar"/>
              </w:rPr>
              <w:t>8</w:t>
            </w:r>
          </w:p>
        </w:tc>
        <w:tc>
          <w:tcPr>
            <w:tcW w:w="430" w:type="pct"/>
            <w:shd w:val="clear" w:color="auto" w:fill="auto"/>
            <w:vAlign w:val="center"/>
          </w:tcPr>
          <w:p w14:paraId="2E13DD25">
            <w:pPr>
              <w:widowControl/>
              <w:jc w:val="center"/>
              <w:textAlignment w:val="center"/>
              <w:rPr>
                <w:rFonts w:hint="eastAsia" w:ascii="宋体" w:hAnsi="宋体" w:cs="宋体"/>
                <w:color w:val="000000"/>
                <w:kern w:val="0"/>
                <w:sz w:val="24"/>
                <w:szCs w:val="24"/>
                <w:lang w:bidi="ar"/>
              </w:rPr>
            </w:pPr>
          </w:p>
          <w:p w14:paraId="1C70AF12">
            <w:pPr>
              <w:widowControl/>
              <w:jc w:val="center"/>
              <w:textAlignment w:val="center"/>
              <w:rPr>
                <w:rFonts w:hint="eastAsia" w:ascii="宋体" w:hAnsi="宋体" w:cs="宋体"/>
                <w:color w:val="000000"/>
                <w:kern w:val="0"/>
                <w:sz w:val="24"/>
                <w:szCs w:val="24"/>
                <w:lang w:bidi="ar"/>
              </w:rPr>
            </w:pPr>
          </w:p>
          <w:p w14:paraId="027FD292">
            <w:pPr>
              <w:widowControl/>
              <w:jc w:val="center"/>
              <w:textAlignment w:val="center"/>
              <w:rPr>
                <w:rFonts w:hint="eastAsia" w:ascii="宋体" w:hAnsi="宋体" w:cs="宋体"/>
                <w:color w:val="000000"/>
                <w:kern w:val="0"/>
                <w:sz w:val="24"/>
                <w:szCs w:val="24"/>
                <w:lang w:bidi="ar"/>
              </w:rPr>
            </w:pPr>
          </w:p>
          <w:p w14:paraId="77720463">
            <w:pPr>
              <w:widowControl/>
              <w:jc w:val="center"/>
              <w:textAlignment w:val="center"/>
              <w:rPr>
                <w:rFonts w:hint="eastAsia" w:ascii="宋体" w:hAnsi="宋体" w:cs="宋体"/>
                <w:color w:val="000000"/>
                <w:kern w:val="0"/>
                <w:sz w:val="24"/>
                <w:szCs w:val="24"/>
                <w:lang w:bidi="ar"/>
              </w:rPr>
            </w:pPr>
          </w:p>
          <w:p w14:paraId="45FCE4F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69504" behindDoc="0" locked="0" layoutInCell="1" allowOverlap="1">
                  <wp:simplePos x="0" y="0"/>
                  <wp:positionH relativeFrom="column">
                    <wp:posOffset>169545</wp:posOffset>
                  </wp:positionH>
                  <wp:positionV relativeFrom="paragraph">
                    <wp:posOffset>564515</wp:posOffset>
                  </wp:positionV>
                  <wp:extent cx="539750" cy="539750"/>
                  <wp:effectExtent l="0" t="0" r="0" b="0"/>
                  <wp:wrapNone/>
                  <wp:docPr id="48" name="ID_CA84F577829B4E3FB5F4FECBABB604BC"/>
                  <wp:cNvGraphicFramePr/>
                  <a:graphic xmlns:a="http://schemas.openxmlformats.org/drawingml/2006/main">
                    <a:graphicData uri="http://schemas.openxmlformats.org/drawingml/2006/picture">
                      <pic:pic xmlns:pic="http://schemas.openxmlformats.org/drawingml/2006/picture">
                        <pic:nvPicPr>
                          <pic:cNvPr id="48" name="ID_CA84F577829B4E3FB5F4FECBABB604BC"/>
                          <pic:cNvPicPr/>
                        </pic:nvPicPr>
                        <pic:blipFill>
                          <a:blip r:embed="rId15"/>
                          <a:stretch>
                            <a:fillRect/>
                          </a:stretch>
                        </pic:blipFill>
                        <pic:spPr>
                          <a:xfrm>
                            <a:off x="0" y="0"/>
                            <a:ext cx="539750" cy="539750"/>
                          </a:xfrm>
                          <a:prstGeom prst="rect">
                            <a:avLst/>
                          </a:prstGeom>
                          <a:noFill/>
                          <a:ln>
                            <a:noFill/>
                          </a:ln>
                        </pic:spPr>
                      </pic:pic>
                    </a:graphicData>
                  </a:graphic>
                </wp:anchor>
              </w:drawing>
            </w:r>
            <w:r>
              <w:rPr>
                <w:rFonts w:hint="eastAsia" w:ascii="宋体" w:hAnsi="宋体" w:cs="宋体"/>
                <w:color w:val="000000"/>
                <w:kern w:val="0"/>
                <w:sz w:val="24"/>
                <w:szCs w:val="24"/>
                <w:lang w:bidi="ar"/>
              </w:rPr>
              <w:t>无极变速拉坯机</w:t>
            </w:r>
          </w:p>
        </w:tc>
        <w:tc>
          <w:tcPr>
            <w:tcW w:w="2861" w:type="pct"/>
            <w:shd w:val="clear" w:color="auto" w:fill="auto"/>
            <w:vAlign w:val="center"/>
          </w:tcPr>
          <w:p w14:paraId="78667E97">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70528" behindDoc="0" locked="0" layoutInCell="1" allowOverlap="1">
                  <wp:simplePos x="0" y="0"/>
                  <wp:positionH relativeFrom="column">
                    <wp:posOffset>169545</wp:posOffset>
                  </wp:positionH>
                  <wp:positionV relativeFrom="paragraph">
                    <wp:posOffset>564515</wp:posOffset>
                  </wp:positionV>
                  <wp:extent cx="539750" cy="539750"/>
                  <wp:effectExtent l="0" t="0" r="0" b="0"/>
                  <wp:wrapNone/>
                  <wp:docPr id="49" name="ID_CA84F577829B4E3FB5F4FECBABB604BC_SpCnt_1"/>
                  <wp:cNvGraphicFramePr/>
                  <a:graphic xmlns:a="http://schemas.openxmlformats.org/drawingml/2006/main">
                    <a:graphicData uri="http://schemas.openxmlformats.org/drawingml/2006/picture">
                      <pic:pic xmlns:pic="http://schemas.openxmlformats.org/drawingml/2006/picture">
                        <pic:nvPicPr>
                          <pic:cNvPr id="49" name="ID_CA84F577829B4E3FB5F4FECBABB604BC_SpCnt_1"/>
                          <pic:cNvPicPr/>
                        </pic:nvPicPr>
                        <pic:blipFill>
                          <a:blip r:embed="rId16"/>
                          <a:stretch>
                            <a:fillRect/>
                          </a:stretch>
                        </pic:blipFill>
                        <pic:spPr>
                          <a:xfrm>
                            <a:off x="0" y="0"/>
                            <a:ext cx="539750" cy="539750"/>
                          </a:xfrm>
                          <a:prstGeom prst="rect">
                            <a:avLst/>
                          </a:prstGeom>
                          <a:noFill/>
                          <a:ln>
                            <a:noFill/>
                          </a:ln>
                        </pic:spPr>
                      </pic:pic>
                    </a:graphicData>
                  </a:graphic>
                </wp:anchor>
              </w:drawing>
            </w:r>
            <w:r>
              <w:rPr>
                <w:rFonts w:hint="eastAsia" w:ascii="宋体" w:hAnsi="宋体" w:cs="宋体"/>
                <w:color w:val="000000"/>
                <w:kern w:val="0"/>
                <w:sz w:val="24"/>
                <w:szCs w:val="24"/>
                <w:lang w:bidi="ar"/>
              </w:rPr>
              <w:t>1、电压：AC220V。功率：200W。</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2、材质：ABS可拆卸高压注塑水盆，优质铝合金转盘</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3、转速：0-250转/min</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4、旋转方向：正反可转</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5、按钮：防水按钮</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7、特性：品牌电机，安全漏电保护装置，设置串联接口，便于连接，模块设计，便于维修，采用静电喷塑工艺</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8、标配：液晶显示拉坯机1台</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9、可拆卸水盆1副，1.55m带漏电保护开关电源线1根。</w:t>
            </w:r>
          </w:p>
        </w:tc>
        <w:tc>
          <w:tcPr>
            <w:tcW w:w="256" w:type="pct"/>
            <w:shd w:val="clear" w:color="auto" w:fill="auto"/>
            <w:noWrap/>
            <w:vAlign w:val="center"/>
          </w:tcPr>
          <w:p w14:paraId="7FF7467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4</w:t>
            </w:r>
          </w:p>
        </w:tc>
        <w:tc>
          <w:tcPr>
            <w:tcW w:w="311" w:type="pct"/>
            <w:shd w:val="clear" w:color="auto" w:fill="auto"/>
            <w:noWrap/>
            <w:vAlign w:val="center"/>
          </w:tcPr>
          <w:p w14:paraId="6A833F6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noWrap/>
            <w:vAlign w:val="center"/>
          </w:tcPr>
          <w:p w14:paraId="0843F86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71552" behindDoc="0" locked="0" layoutInCell="1" allowOverlap="1">
                  <wp:simplePos x="0" y="0"/>
                  <wp:positionH relativeFrom="column">
                    <wp:posOffset>101600</wp:posOffset>
                  </wp:positionH>
                  <wp:positionV relativeFrom="paragraph">
                    <wp:posOffset>727075</wp:posOffset>
                  </wp:positionV>
                  <wp:extent cx="690880" cy="504190"/>
                  <wp:effectExtent l="0" t="0" r="13970" b="10160"/>
                  <wp:wrapNone/>
                  <wp:docPr id="50" name="ID_5AF361D1F295420682211329CF0C4E69"/>
                  <wp:cNvGraphicFramePr/>
                  <a:graphic xmlns:a="http://schemas.openxmlformats.org/drawingml/2006/main">
                    <a:graphicData uri="http://schemas.openxmlformats.org/drawingml/2006/picture">
                      <pic:pic xmlns:pic="http://schemas.openxmlformats.org/drawingml/2006/picture">
                        <pic:nvPicPr>
                          <pic:cNvPr id="50" name="ID_5AF361D1F295420682211329CF0C4E69"/>
                          <pic:cNvPicPr/>
                        </pic:nvPicPr>
                        <pic:blipFill>
                          <a:blip r:embed="rId17"/>
                          <a:stretch>
                            <a:fillRect/>
                          </a:stretch>
                        </pic:blipFill>
                        <pic:spPr>
                          <a:xfrm>
                            <a:off x="0" y="0"/>
                            <a:ext cx="690880" cy="504190"/>
                          </a:xfrm>
                          <a:prstGeom prst="rect">
                            <a:avLst/>
                          </a:prstGeom>
                          <a:noFill/>
                          <a:ln>
                            <a:noFill/>
                          </a:ln>
                        </pic:spPr>
                      </pic:pic>
                    </a:graphicData>
                  </a:graphic>
                </wp:anchor>
              </w:drawing>
            </w:r>
          </w:p>
        </w:tc>
        <w:tc>
          <w:tcPr>
            <w:tcW w:w="251" w:type="pct"/>
            <w:shd w:val="clear" w:color="auto" w:fill="auto"/>
            <w:noWrap/>
            <w:vAlign w:val="center"/>
          </w:tcPr>
          <w:p w14:paraId="54096698">
            <w:pPr>
              <w:rPr>
                <w:rFonts w:ascii="宋体" w:hAnsi="宋体" w:cs="宋体"/>
                <w:color w:val="000000"/>
                <w:sz w:val="24"/>
                <w:szCs w:val="24"/>
              </w:rPr>
            </w:pPr>
          </w:p>
        </w:tc>
      </w:tr>
      <w:tr w14:paraId="1A6E8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5" w:hRule="atLeast"/>
        </w:trPr>
        <w:tc>
          <w:tcPr>
            <w:tcW w:w="241" w:type="pct"/>
            <w:shd w:val="clear" w:color="auto" w:fill="auto"/>
            <w:vAlign w:val="center"/>
          </w:tcPr>
          <w:p w14:paraId="69749C3D">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val="en-US" w:eastAsia="zh-CN" w:bidi="ar"/>
              </w:rPr>
              <w:t>9</w:t>
            </w:r>
          </w:p>
        </w:tc>
        <w:tc>
          <w:tcPr>
            <w:tcW w:w="430" w:type="pct"/>
            <w:shd w:val="clear" w:color="auto" w:fill="auto"/>
            <w:vAlign w:val="center"/>
          </w:tcPr>
          <w:p w14:paraId="2427734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机器人</w:t>
            </w:r>
          </w:p>
        </w:tc>
        <w:tc>
          <w:tcPr>
            <w:tcW w:w="2861" w:type="pct"/>
            <w:shd w:val="clear" w:color="auto" w:fill="auto"/>
            <w:vAlign w:val="center"/>
          </w:tcPr>
          <w:p w14:paraId="4B0077F2">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工程塑料QZW材质，应用生物形态学制作，头部、手和脚部配有感应器，可以编程，眼部、手部会闪灯，能够接受人的指令做出反应，如抓取玩具筒、走路、跳舞等几十个动作，可以智能对话、唱歌、跳舞、说外语、科普知识学习等，配玩具桶和遥控器各1支；了解机器人硬件结构、功能与应用等方面的基本知识。</w:t>
            </w:r>
          </w:p>
        </w:tc>
        <w:tc>
          <w:tcPr>
            <w:tcW w:w="256" w:type="pct"/>
            <w:shd w:val="clear" w:color="auto" w:fill="auto"/>
            <w:vAlign w:val="center"/>
          </w:tcPr>
          <w:p w14:paraId="68383C1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vAlign w:val="center"/>
          </w:tcPr>
          <w:p w14:paraId="38666AF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套</w:t>
            </w:r>
          </w:p>
        </w:tc>
        <w:tc>
          <w:tcPr>
            <w:tcW w:w="647" w:type="pct"/>
            <w:shd w:val="clear" w:color="auto" w:fill="auto"/>
            <w:vAlign w:val="center"/>
          </w:tcPr>
          <w:p w14:paraId="61B0ECC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rPr>
              <w:drawing>
                <wp:inline distT="0" distB="0" distL="114300" distR="114300">
                  <wp:extent cx="1076325" cy="1076325"/>
                  <wp:effectExtent l="0" t="0" r="9525" b="9525"/>
                  <wp:docPr id="51" name="图片 22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226" descr="IMG_256"/>
                          <pic:cNvPicPr>
                            <a:picLocks noChangeAspect="1"/>
                          </pic:cNvPicPr>
                        </pic:nvPicPr>
                        <pic:blipFill>
                          <a:blip r:embed="rId18"/>
                          <a:stretch>
                            <a:fillRect/>
                          </a:stretch>
                        </pic:blipFill>
                        <pic:spPr>
                          <a:xfrm>
                            <a:off x="0" y="0"/>
                            <a:ext cx="1076325" cy="1076325"/>
                          </a:xfrm>
                          <a:prstGeom prst="rect">
                            <a:avLst/>
                          </a:prstGeom>
                          <a:noFill/>
                          <a:ln w="9525">
                            <a:noFill/>
                          </a:ln>
                        </pic:spPr>
                      </pic:pic>
                    </a:graphicData>
                  </a:graphic>
                </wp:inline>
              </w:drawing>
            </w:r>
          </w:p>
        </w:tc>
        <w:tc>
          <w:tcPr>
            <w:tcW w:w="251" w:type="pct"/>
            <w:shd w:val="clear" w:color="auto" w:fill="auto"/>
            <w:noWrap/>
            <w:vAlign w:val="center"/>
          </w:tcPr>
          <w:p w14:paraId="759109F5">
            <w:pPr>
              <w:rPr>
                <w:rFonts w:ascii="宋体" w:hAnsi="宋体" w:cs="宋体"/>
                <w:color w:val="000000"/>
                <w:sz w:val="24"/>
                <w:szCs w:val="24"/>
              </w:rPr>
            </w:pPr>
          </w:p>
        </w:tc>
      </w:tr>
      <w:tr w14:paraId="33CDD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0" w:hRule="atLeast"/>
        </w:trPr>
        <w:tc>
          <w:tcPr>
            <w:tcW w:w="241" w:type="pct"/>
            <w:shd w:val="clear" w:color="auto" w:fill="auto"/>
            <w:vAlign w:val="center"/>
          </w:tcPr>
          <w:p w14:paraId="327396B6">
            <w:pPr>
              <w:widowControl/>
              <w:jc w:val="center"/>
              <w:textAlignment w:val="center"/>
              <w:rPr>
                <w:rFonts w:hint="default" w:ascii="宋体" w:hAnsi="宋体" w:eastAsia="宋体" w:cs="宋体"/>
                <w:color w:val="000000"/>
                <w:sz w:val="24"/>
                <w:szCs w:val="24"/>
                <w:lang w:val="en-US" w:eastAsia="zh-CN"/>
              </w:rPr>
            </w:pPr>
            <w:r>
              <w:rPr>
                <w:rFonts w:hint="eastAsia" w:ascii="宋体" w:hAnsi="宋体" w:cs="宋体"/>
                <w:color w:val="000000"/>
                <w:kern w:val="0"/>
                <w:sz w:val="24"/>
                <w:szCs w:val="24"/>
                <w:lang w:val="en-US" w:eastAsia="zh-CN" w:bidi="ar"/>
              </w:rPr>
              <w:t>10</w:t>
            </w:r>
          </w:p>
        </w:tc>
        <w:tc>
          <w:tcPr>
            <w:tcW w:w="430" w:type="pct"/>
            <w:shd w:val="clear" w:color="auto" w:fill="auto"/>
            <w:vAlign w:val="center"/>
          </w:tcPr>
          <w:p w14:paraId="3DE16C3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点读地球仪</w:t>
            </w:r>
          </w:p>
        </w:tc>
        <w:tc>
          <w:tcPr>
            <w:tcW w:w="2861" w:type="pct"/>
            <w:shd w:val="clear" w:color="auto" w:fill="auto"/>
            <w:vAlign w:val="center"/>
          </w:tcPr>
          <w:p w14:paraId="2CA716B0">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ABS+金属材质，高40cm,地球仪直径32cm，采用增强现实技术，通过手机下载软件，摄像头对准该AR地球仪，即可显示3D立体的图像，包括航天模式、森林模式、海洋模式等，可以更加直观地了解地球风貌。</w:t>
            </w:r>
          </w:p>
        </w:tc>
        <w:tc>
          <w:tcPr>
            <w:tcW w:w="256" w:type="pct"/>
            <w:shd w:val="clear" w:color="auto" w:fill="auto"/>
            <w:vAlign w:val="center"/>
          </w:tcPr>
          <w:p w14:paraId="177388D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vAlign w:val="center"/>
          </w:tcPr>
          <w:p w14:paraId="2A4F221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套</w:t>
            </w:r>
          </w:p>
        </w:tc>
        <w:tc>
          <w:tcPr>
            <w:tcW w:w="647" w:type="pct"/>
            <w:shd w:val="clear" w:color="auto" w:fill="auto"/>
            <w:vAlign w:val="center"/>
          </w:tcPr>
          <w:p w14:paraId="1D8A4AFF">
            <w:pPr>
              <w:widowControl/>
              <w:jc w:val="center"/>
              <w:textAlignment w:val="center"/>
              <w:rPr>
                <w:rFonts w:ascii="宋体" w:hAnsi="宋体" w:cs="宋体"/>
                <w:color w:val="000000"/>
                <w:sz w:val="24"/>
                <w:szCs w:val="24"/>
              </w:rPr>
            </w:pPr>
          </w:p>
        </w:tc>
        <w:tc>
          <w:tcPr>
            <w:tcW w:w="251" w:type="pct"/>
            <w:shd w:val="clear" w:color="auto" w:fill="auto"/>
            <w:noWrap/>
            <w:vAlign w:val="center"/>
          </w:tcPr>
          <w:p w14:paraId="06C5FD36">
            <w:pPr>
              <w:rPr>
                <w:rFonts w:ascii="宋体" w:hAnsi="宋体" w:cs="宋体"/>
                <w:color w:val="000000"/>
                <w:sz w:val="24"/>
                <w:szCs w:val="24"/>
              </w:rPr>
            </w:pPr>
          </w:p>
        </w:tc>
      </w:tr>
      <w:tr w14:paraId="06899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0" w:hRule="atLeast"/>
        </w:trPr>
        <w:tc>
          <w:tcPr>
            <w:tcW w:w="241" w:type="pct"/>
            <w:shd w:val="clear" w:color="auto" w:fill="auto"/>
            <w:vAlign w:val="center"/>
          </w:tcPr>
          <w:p w14:paraId="6F463195">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1</w:t>
            </w:r>
            <w:r>
              <w:rPr>
                <w:rFonts w:hint="eastAsia" w:ascii="宋体" w:hAnsi="宋体" w:cs="宋体"/>
                <w:color w:val="000000"/>
                <w:kern w:val="0"/>
                <w:sz w:val="24"/>
                <w:szCs w:val="24"/>
                <w:lang w:val="en-US" w:eastAsia="zh-CN" w:bidi="ar"/>
              </w:rPr>
              <w:t>1</w:t>
            </w:r>
          </w:p>
        </w:tc>
        <w:tc>
          <w:tcPr>
            <w:tcW w:w="430" w:type="pct"/>
            <w:shd w:val="clear" w:color="auto" w:fill="auto"/>
            <w:vAlign w:val="center"/>
          </w:tcPr>
          <w:p w14:paraId="31EF0A2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造纸机</w:t>
            </w:r>
          </w:p>
        </w:tc>
        <w:tc>
          <w:tcPr>
            <w:tcW w:w="2861" w:type="pct"/>
            <w:shd w:val="clear" w:color="auto" w:fill="auto"/>
            <w:vAlign w:val="center"/>
          </w:tcPr>
          <w:p w14:paraId="320BE85E">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38*11.5*28.5cm，配有磨浆筒、造纸机身、滚印筒、夹板、滤网等，用废纸造出纸张，附送颜料、彩笔与造纸工具若干，用于幼儿了解造纸术原理。</w:t>
            </w:r>
          </w:p>
        </w:tc>
        <w:tc>
          <w:tcPr>
            <w:tcW w:w="256" w:type="pct"/>
            <w:shd w:val="clear" w:color="auto" w:fill="auto"/>
            <w:vAlign w:val="center"/>
          </w:tcPr>
          <w:p w14:paraId="5D5FEC8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vAlign w:val="center"/>
          </w:tcPr>
          <w:p w14:paraId="3D85424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vAlign w:val="center"/>
          </w:tcPr>
          <w:p w14:paraId="11ED6D3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rPr>
              <w:drawing>
                <wp:inline distT="0" distB="0" distL="114300" distR="114300">
                  <wp:extent cx="1076325" cy="1076325"/>
                  <wp:effectExtent l="0" t="0" r="9525" b="9525"/>
                  <wp:docPr id="52" name="图片 228"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228" descr="IMG_258"/>
                          <pic:cNvPicPr>
                            <a:picLocks noChangeAspect="1"/>
                          </pic:cNvPicPr>
                        </pic:nvPicPr>
                        <pic:blipFill>
                          <a:blip r:embed="rId19"/>
                          <a:stretch>
                            <a:fillRect/>
                          </a:stretch>
                        </pic:blipFill>
                        <pic:spPr>
                          <a:xfrm>
                            <a:off x="0" y="0"/>
                            <a:ext cx="1076325" cy="1076325"/>
                          </a:xfrm>
                          <a:prstGeom prst="rect">
                            <a:avLst/>
                          </a:prstGeom>
                          <a:noFill/>
                          <a:ln w="9525">
                            <a:noFill/>
                          </a:ln>
                        </pic:spPr>
                      </pic:pic>
                    </a:graphicData>
                  </a:graphic>
                </wp:inline>
              </w:drawing>
            </w:r>
          </w:p>
        </w:tc>
        <w:tc>
          <w:tcPr>
            <w:tcW w:w="251" w:type="pct"/>
            <w:shd w:val="clear" w:color="auto" w:fill="auto"/>
            <w:noWrap/>
            <w:vAlign w:val="center"/>
          </w:tcPr>
          <w:p w14:paraId="748FDDC7">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61312" behindDoc="0" locked="0" layoutInCell="1" allowOverlap="1">
                  <wp:simplePos x="0" y="0"/>
                  <wp:positionH relativeFrom="column">
                    <wp:posOffset>0</wp:posOffset>
                  </wp:positionH>
                  <wp:positionV relativeFrom="paragraph">
                    <wp:posOffset>564515</wp:posOffset>
                  </wp:positionV>
                  <wp:extent cx="615315" cy="539750"/>
                  <wp:effectExtent l="0" t="0" r="0" b="0"/>
                  <wp:wrapNone/>
                  <wp:docPr id="951" name="ID_CA84F577829B4E3FB5F4FECBABB604BC_SpCnt_2"/>
                  <wp:cNvGraphicFramePr/>
                  <a:graphic xmlns:a="http://schemas.openxmlformats.org/drawingml/2006/main">
                    <a:graphicData uri="http://schemas.openxmlformats.org/drawingml/2006/picture">
                      <pic:pic xmlns:pic="http://schemas.openxmlformats.org/drawingml/2006/picture">
                        <pic:nvPicPr>
                          <pic:cNvPr id="951" name="ID_CA84F577829B4E3FB5F4FECBABB604BC_SpCnt_2"/>
                          <pic:cNvPicPr/>
                        </pic:nvPicPr>
                        <pic:blipFill>
                          <a:blip r:embed="rId20"/>
                          <a:stretch>
                            <a:fillRect/>
                          </a:stretch>
                        </pic:blipFill>
                        <pic:spPr>
                          <a:xfrm>
                            <a:off x="0" y="0"/>
                            <a:ext cx="615315" cy="539750"/>
                          </a:xfrm>
                          <a:prstGeom prst="rect">
                            <a:avLst/>
                          </a:prstGeom>
                          <a:noFill/>
                          <a:ln>
                            <a:noFill/>
                          </a:ln>
                        </pic:spPr>
                      </pic:pic>
                    </a:graphicData>
                  </a:graphic>
                </wp:anchor>
              </w:drawing>
            </w:r>
          </w:p>
        </w:tc>
      </w:tr>
      <w:tr w14:paraId="14434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8" w:hRule="atLeast"/>
        </w:trPr>
        <w:tc>
          <w:tcPr>
            <w:tcW w:w="241" w:type="pct"/>
            <w:shd w:val="clear" w:color="auto" w:fill="auto"/>
            <w:vAlign w:val="center"/>
          </w:tcPr>
          <w:p w14:paraId="30A91F11">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1</w:t>
            </w:r>
            <w:r>
              <w:rPr>
                <w:rFonts w:hint="eastAsia" w:ascii="宋体" w:hAnsi="宋体" w:cs="宋体"/>
                <w:color w:val="000000"/>
                <w:kern w:val="0"/>
                <w:sz w:val="24"/>
                <w:szCs w:val="24"/>
                <w:lang w:val="en-US" w:eastAsia="zh-CN" w:bidi="ar"/>
              </w:rPr>
              <w:t>2</w:t>
            </w:r>
          </w:p>
        </w:tc>
        <w:tc>
          <w:tcPr>
            <w:tcW w:w="430" w:type="pct"/>
            <w:shd w:val="clear" w:color="auto" w:fill="auto"/>
            <w:vAlign w:val="center"/>
          </w:tcPr>
          <w:p w14:paraId="1C4AC6D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电蒸锅</w:t>
            </w:r>
          </w:p>
        </w:tc>
        <w:tc>
          <w:tcPr>
            <w:tcW w:w="2861" w:type="pct"/>
            <w:shd w:val="clear" w:color="auto" w:fill="auto"/>
            <w:vAlign w:val="center"/>
          </w:tcPr>
          <w:p w14:paraId="112027D9">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1、规格：34.5*34.1*36.5cm</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2、蒸笼面积：10L</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3、额定功率：1500W电压：220V</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4、材质：不锈钢</w:t>
            </w:r>
          </w:p>
        </w:tc>
        <w:tc>
          <w:tcPr>
            <w:tcW w:w="256" w:type="pct"/>
            <w:shd w:val="clear" w:color="auto" w:fill="auto"/>
            <w:vAlign w:val="center"/>
          </w:tcPr>
          <w:p w14:paraId="7576E0C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4</w:t>
            </w:r>
          </w:p>
        </w:tc>
        <w:tc>
          <w:tcPr>
            <w:tcW w:w="311" w:type="pct"/>
            <w:shd w:val="clear" w:color="auto" w:fill="auto"/>
            <w:noWrap/>
            <w:vAlign w:val="center"/>
          </w:tcPr>
          <w:p w14:paraId="413945F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noWrap/>
            <w:vAlign w:val="center"/>
          </w:tcPr>
          <w:p w14:paraId="6D2B6873">
            <w:pPr>
              <w:widowControl/>
              <w:jc w:val="center"/>
              <w:textAlignment w:val="center"/>
              <w:rPr>
                <w:rFonts w:ascii="宋体" w:hAnsi="宋体" w:cs="宋体"/>
                <w:color w:val="000000"/>
                <w:sz w:val="24"/>
                <w:szCs w:val="24"/>
              </w:rPr>
            </w:pPr>
          </w:p>
        </w:tc>
        <w:tc>
          <w:tcPr>
            <w:tcW w:w="251" w:type="pct"/>
            <w:shd w:val="clear" w:color="auto" w:fill="auto"/>
            <w:noWrap/>
            <w:vAlign w:val="center"/>
          </w:tcPr>
          <w:p w14:paraId="0F4E84FB">
            <w:pPr>
              <w:rPr>
                <w:rFonts w:ascii="宋体" w:hAnsi="宋体" w:cs="宋体"/>
                <w:color w:val="000000"/>
                <w:sz w:val="24"/>
                <w:szCs w:val="24"/>
              </w:rPr>
            </w:pPr>
          </w:p>
        </w:tc>
      </w:tr>
      <w:tr w14:paraId="7E6A3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3" w:hRule="atLeast"/>
        </w:trPr>
        <w:tc>
          <w:tcPr>
            <w:tcW w:w="241" w:type="pct"/>
            <w:shd w:val="clear" w:color="auto" w:fill="auto"/>
            <w:vAlign w:val="center"/>
          </w:tcPr>
          <w:p w14:paraId="3A04B39D">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1</w:t>
            </w:r>
            <w:r>
              <w:rPr>
                <w:rFonts w:hint="eastAsia" w:ascii="宋体" w:hAnsi="宋体" w:cs="宋体"/>
                <w:color w:val="000000"/>
                <w:kern w:val="0"/>
                <w:sz w:val="24"/>
                <w:szCs w:val="24"/>
                <w:lang w:val="en-US" w:eastAsia="zh-CN" w:bidi="ar"/>
              </w:rPr>
              <w:t>3</w:t>
            </w:r>
          </w:p>
        </w:tc>
        <w:tc>
          <w:tcPr>
            <w:tcW w:w="430" w:type="pct"/>
            <w:shd w:val="clear" w:color="auto" w:fill="auto"/>
            <w:vAlign w:val="center"/>
          </w:tcPr>
          <w:p w14:paraId="22E828F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智能搅拌机</w:t>
            </w:r>
          </w:p>
        </w:tc>
        <w:tc>
          <w:tcPr>
            <w:tcW w:w="2861" w:type="pct"/>
            <w:shd w:val="clear" w:color="auto" w:fill="auto"/>
            <w:vAlign w:val="center"/>
          </w:tcPr>
          <w:p w14:paraId="4CB3A77C">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1、尺寸：高26.5cm</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2、额定功率：300W电压：220V</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3、容量：2kg</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4、全钢机身，快慢双档位，加厚玻璃</w:t>
            </w:r>
          </w:p>
        </w:tc>
        <w:tc>
          <w:tcPr>
            <w:tcW w:w="256" w:type="pct"/>
            <w:shd w:val="clear" w:color="auto" w:fill="auto"/>
            <w:vAlign w:val="center"/>
          </w:tcPr>
          <w:p w14:paraId="565FD4B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noWrap/>
            <w:vAlign w:val="center"/>
          </w:tcPr>
          <w:p w14:paraId="2D2DC2F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noWrap/>
            <w:vAlign w:val="center"/>
          </w:tcPr>
          <w:p w14:paraId="484C2C24">
            <w:pPr>
              <w:widowControl/>
              <w:jc w:val="center"/>
              <w:textAlignment w:val="center"/>
              <w:rPr>
                <w:rFonts w:ascii="宋体" w:hAnsi="宋体" w:cs="宋体"/>
                <w:color w:val="000000"/>
                <w:sz w:val="24"/>
                <w:szCs w:val="24"/>
              </w:rPr>
            </w:pPr>
          </w:p>
        </w:tc>
        <w:tc>
          <w:tcPr>
            <w:tcW w:w="251" w:type="pct"/>
            <w:shd w:val="clear" w:color="auto" w:fill="auto"/>
            <w:noWrap/>
            <w:vAlign w:val="center"/>
          </w:tcPr>
          <w:p w14:paraId="7B0EE137">
            <w:pPr>
              <w:rPr>
                <w:rFonts w:ascii="宋体" w:hAnsi="宋体" w:cs="宋体"/>
                <w:color w:val="000000"/>
                <w:sz w:val="24"/>
                <w:szCs w:val="24"/>
              </w:rPr>
            </w:pPr>
          </w:p>
        </w:tc>
      </w:tr>
      <w:tr w14:paraId="2FE55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trPr>
        <w:tc>
          <w:tcPr>
            <w:tcW w:w="241" w:type="pct"/>
            <w:shd w:val="clear" w:color="auto" w:fill="auto"/>
            <w:vAlign w:val="center"/>
          </w:tcPr>
          <w:p w14:paraId="141C06BE">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1</w:t>
            </w:r>
            <w:r>
              <w:rPr>
                <w:rFonts w:hint="eastAsia" w:ascii="宋体" w:hAnsi="宋体" w:cs="宋体"/>
                <w:color w:val="000000"/>
                <w:kern w:val="0"/>
                <w:sz w:val="24"/>
                <w:szCs w:val="24"/>
                <w:lang w:val="en-US" w:eastAsia="zh-CN" w:bidi="ar"/>
              </w:rPr>
              <w:t>4</w:t>
            </w:r>
          </w:p>
        </w:tc>
        <w:tc>
          <w:tcPr>
            <w:tcW w:w="430" w:type="pct"/>
            <w:shd w:val="clear" w:color="auto" w:fill="auto"/>
            <w:vAlign w:val="center"/>
          </w:tcPr>
          <w:p w14:paraId="4D8181E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幼儿专用爆米花车</w:t>
            </w:r>
          </w:p>
        </w:tc>
        <w:tc>
          <w:tcPr>
            <w:tcW w:w="2861" w:type="pct"/>
            <w:shd w:val="clear" w:color="auto" w:fill="auto"/>
            <w:vAlign w:val="center"/>
          </w:tcPr>
          <w:p w14:paraId="671AA7E9">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1、外形尺寸：27*31CM</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2、功率：500w</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3、电压：220v</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4、材质：金属+无毒PP</w:t>
            </w:r>
          </w:p>
        </w:tc>
        <w:tc>
          <w:tcPr>
            <w:tcW w:w="256" w:type="pct"/>
            <w:shd w:val="clear" w:color="auto" w:fill="auto"/>
            <w:vAlign w:val="center"/>
          </w:tcPr>
          <w:p w14:paraId="03D2859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noWrap/>
            <w:vAlign w:val="center"/>
          </w:tcPr>
          <w:p w14:paraId="6237D03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noWrap/>
            <w:vAlign w:val="center"/>
          </w:tcPr>
          <w:p w14:paraId="6362DB5A">
            <w:pPr>
              <w:widowControl/>
              <w:jc w:val="center"/>
              <w:textAlignment w:val="center"/>
              <w:rPr>
                <w:rFonts w:ascii="宋体" w:hAnsi="宋体" w:cs="宋体"/>
                <w:color w:val="000000"/>
                <w:sz w:val="24"/>
                <w:szCs w:val="24"/>
              </w:rPr>
            </w:pPr>
          </w:p>
        </w:tc>
        <w:tc>
          <w:tcPr>
            <w:tcW w:w="251" w:type="pct"/>
            <w:shd w:val="clear" w:color="auto" w:fill="auto"/>
            <w:noWrap/>
            <w:vAlign w:val="center"/>
          </w:tcPr>
          <w:p w14:paraId="12477587">
            <w:pPr>
              <w:rPr>
                <w:rFonts w:ascii="宋体" w:hAnsi="宋体" w:cs="宋体"/>
                <w:color w:val="000000"/>
                <w:sz w:val="24"/>
                <w:szCs w:val="24"/>
              </w:rPr>
            </w:pPr>
          </w:p>
        </w:tc>
      </w:tr>
      <w:tr w14:paraId="2E85D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0" w:hRule="atLeast"/>
        </w:trPr>
        <w:tc>
          <w:tcPr>
            <w:tcW w:w="241" w:type="pct"/>
            <w:shd w:val="clear" w:color="auto" w:fill="auto"/>
            <w:vAlign w:val="center"/>
          </w:tcPr>
          <w:p w14:paraId="661FE977">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1</w:t>
            </w:r>
            <w:r>
              <w:rPr>
                <w:rFonts w:hint="eastAsia" w:ascii="宋体" w:hAnsi="宋体" w:cs="宋体"/>
                <w:color w:val="000000"/>
                <w:kern w:val="0"/>
                <w:sz w:val="24"/>
                <w:szCs w:val="24"/>
                <w:lang w:val="en-US" w:eastAsia="zh-CN" w:bidi="ar"/>
              </w:rPr>
              <w:t>5</w:t>
            </w:r>
          </w:p>
        </w:tc>
        <w:tc>
          <w:tcPr>
            <w:tcW w:w="430" w:type="pct"/>
            <w:shd w:val="clear" w:color="auto" w:fill="auto"/>
            <w:vAlign w:val="center"/>
          </w:tcPr>
          <w:p w14:paraId="3A129E8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幼儿专用棉花糖机</w:t>
            </w:r>
          </w:p>
        </w:tc>
        <w:tc>
          <w:tcPr>
            <w:tcW w:w="2861" w:type="pct"/>
            <w:shd w:val="clear" w:color="auto" w:fill="auto"/>
            <w:vAlign w:val="center"/>
          </w:tcPr>
          <w:p w14:paraId="5C88F532">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1、外形尺寸：25*25*19CM</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2、功率：400w</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3、电压：220v</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4</w:t>
            </w:r>
            <w:r>
              <w:rPr>
                <w:rFonts w:hint="eastAsia" w:ascii="宋体" w:hAnsi="宋体" w:cs="宋体"/>
                <w:color w:val="000000"/>
                <w:kern w:val="0"/>
                <w:sz w:val="24"/>
                <w:szCs w:val="24"/>
                <w:lang w:bidi="ar"/>
              </w:rPr>
              <w:t>、材质：金属+无毒PP</w:t>
            </w:r>
          </w:p>
        </w:tc>
        <w:tc>
          <w:tcPr>
            <w:tcW w:w="256" w:type="pct"/>
            <w:shd w:val="clear" w:color="auto" w:fill="auto"/>
            <w:vAlign w:val="center"/>
          </w:tcPr>
          <w:p w14:paraId="67F70EE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noWrap/>
            <w:vAlign w:val="center"/>
          </w:tcPr>
          <w:p w14:paraId="0C3AAA6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noWrap/>
            <w:vAlign w:val="center"/>
          </w:tcPr>
          <w:p w14:paraId="40D0653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72576" behindDoc="0" locked="0" layoutInCell="1" allowOverlap="1">
                  <wp:simplePos x="0" y="0"/>
                  <wp:positionH relativeFrom="column">
                    <wp:posOffset>10160</wp:posOffset>
                  </wp:positionH>
                  <wp:positionV relativeFrom="paragraph">
                    <wp:posOffset>73025</wp:posOffset>
                  </wp:positionV>
                  <wp:extent cx="855345" cy="852805"/>
                  <wp:effectExtent l="0" t="0" r="1905" b="4445"/>
                  <wp:wrapNone/>
                  <wp:docPr id="53" name="ID_41E854C2A53D4E958B2B92DE1C58D16B"/>
                  <wp:cNvGraphicFramePr/>
                  <a:graphic xmlns:a="http://schemas.openxmlformats.org/drawingml/2006/main">
                    <a:graphicData uri="http://schemas.openxmlformats.org/drawingml/2006/picture">
                      <pic:pic xmlns:pic="http://schemas.openxmlformats.org/drawingml/2006/picture">
                        <pic:nvPicPr>
                          <pic:cNvPr id="53" name="ID_41E854C2A53D4E958B2B92DE1C58D16B"/>
                          <pic:cNvPicPr/>
                        </pic:nvPicPr>
                        <pic:blipFill>
                          <a:blip r:embed="rId21"/>
                          <a:stretch>
                            <a:fillRect/>
                          </a:stretch>
                        </pic:blipFill>
                        <pic:spPr>
                          <a:xfrm>
                            <a:off x="0" y="0"/>
                            <a:ext cx="855345" cy="852805"/>
                          </a:xfrm>
                          <a:prstGeom prst="rect">
                            <a:avLst/>
                          </a:prstGeom>
                          <a:noFill/>
                          <a:ln>
                            <a:noFill/>
                          </a:ln>
                        </pic:spPr>
                      </pic:pic>
                    </a:graphicData>
                  </a:graphic>
                </wp:anchor>
              </w:drawing>
            </w:r>
          </w:p>
        </w:tc>
        <w:tc>
          <w:tcPr>
            <w:tcW w:w="251" w:type="pct"/>
            <w:shd w:val="clear" w:color="auto" w:fill="auto"/>
            <w:noWrap/>
            <w:vAlign w:val="center"/>
          </w:tcPr>
          <w:p w14:paraId="57D57B6A">
            <w:pPr>
              <w:rPr>
                <w:rFonts w:ascii="宋体" w:hAnsi="宋体" w:cs="宋体"/>
                <w:color w:val="000000"/>
                <w:sz w:val="24"/>
                <w:szCs w:val="24"/>
              </w:rPr>
            </w:pPr>
          </w:p>
        </w:tc>
      </w:tr>
      <w:tr w14:paraId="456AA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0" w:hRule="atLeast"/>
        </w:trPr>
        <w:tc>
          <w:tcPr>
            <w:tcW w:w="241" w:type="pct"/>
            <w:shd w:val="clear" w:color="auto" w:fill="auto"/>
            <w:vAlign w:val="center"/>
          </w:tcPr>
          <w:p w14:paraId="2A2465EF">
            <w:pPr>
              <w:widowControl/>
              <w:jc w:val="center"/>
              <w:textAlignment w:val="center"/>
              <w:rPr>
                <w:rFonts w:hint="default" w:ascii="宋体" w:hAnsi="宋体" w:eastAsia="宋体" w:cs="宋体"/>
                <w:color w:val="000000"/>
                <w:sz w:val="24"/>
                <w:szCs w:val="24"/>
                <w:lang w:val="en-US" w:eastAsia="zh-CN"/>
              </w:rPr>
            </w:pPr>
            <w:r>
              <w:rPr>
                <w:rFonts w:hint="eastAsia" w:ascii="宋体" w:hAnsi="宋体" w:cs="宋体"/>
                <w:color w:val="000000"/>
                <w:sz w:val="24"/>
                <w:szCs w:val="24"/>
                <w:lang w:val="en-US" w:eastAsia="zh-CN"/>
              </w:rPr>
              <w:t>16</w:t>
            </w:r>
          </w:p>
        </w:tc>
        <w:tc>
          <w:tcPr>
            <w:tcW w:w="430" w:type="pct"/>
            <w:shd w:val="clear" w:color="auto" w:fill="auto"/>
            <w:vAlign w:val="center"/>
          </w:tcPr>
          <w:p w14:paraId="1864696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幼儿专用华夫饼机</w:t>
            </w:r>
          </w:p>
        </w:tc>
        <w:tc>
          <w:tcPr>
            <w:tcW w:w="2861" w:type="pct"/>
            <w:shd w:val="clear" w:color="auto" w:fill="auto"/>
            <w:vAlign w:val="center"/>
          </w:tcPr>
          <w:p w14:paraId="2F24873F">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1、外形尺寸：27*31CM</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2、功率：500w</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3、电压：220v</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4</w:t>
            </w:r>
            <w:r>
              <w:rPr>
                <w:rFonts w:hint="eastAsia" w:ascii="宋体" w:hAnsi="宋体" w:cs="宋体"/>
                <w:color w:val="000000"/>
                <w:kern w:val="0"/>
                <w:sz w:val="24"/>
                <w:szCs w:val="24"/>
                <w:lang w:bidi="ar"/>
              </w:rPr>
              <w:t>、材质：金属+无毒PP</w:t>
            </w:r>
          </w:p>
        </w:tc>
        <w:tc>
          <w:tcPr>
            <w:tcW w:w="256" w:type="pct"/>
            <w:shd w:val="clear" w:color="auto" w:fill="auto"/>
            <w:vAlign w:val="center"/>
          </w:tcPr>
          <w:p w14:paraId="7265275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noWrap/>
            <w:vAlign w:val="center"/>
          </w:tcPr>
          <w:p w14:paraId="7474DC8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noWrap/>
            <w:vAlign w:val="center"/>
          </w:tcPr>
          <w:p w14:paraId="3A9B7F8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73600" behindDoc="0" locked="0" layoutInCell="1" allowOverlap="1">
                  <wp:simplePos x="0" y="0"/>
                  <wp:positionH relativeFrom="column">
                    <wp:posOffset>106680</wp:posOffset>
                  </wp:positionH>
                  <wp:positionV relativeFrom="paragraph">
                    <wp:posOffset>-170180</wp:posOffset>
                  </wp:positionV>
                  <wp:extent cx="443230" cy="443230"/>
                  <wp:effectExtent l="0" t="0" r="13970" b="13970"/>
                  <wp:wrapNone/>
                  <wp:docPr id="54" name="ID_1E3B975138544049AB00E92222D6961D"/>
                  <wp:cNvGraphicFramePr/>
                  <a:graphic xmlns:a="http://schemas.openxmlformats.org/drawingml/2006/main">
                    <a:graphicData uri="http://schemas.openxmlformats.org/drawingml/2006/picture">
                      <pic:pic xmlns:pic="http://schemas.openxmlformats.org/drawingml/2006/picture">
                        <pic:nvPicPr>
                          <pic:cNvPr id="54" name="ID_1E3B975138544049AB00E92222D6961D"/>
                          <pic:cNvPicPr/>
                        </pic:nvPicPr>
                        <pic:blipFill>
                          <a:blip r:embed="rId22"/>
                          <a:stretch>
                            <a:fillRect/>
                          </a:stretch>
                        </pic:blipFill>
                        <pic:spPr>
                          <a:xfrm>
                            <a:off x="0" y="0"/>
                            <a:ext cx="443230" cy="443230"/>
                          </a:xfrm>
                          <a:prstGeom prst="rect">
                            <a:avLst/>
                          </a:prstGeom>
                          <a:noFill/>
                          <a:ln>
                            <a:noFill/>
                          </a:ln>
                        </pic:spPr>
                      </pic:pic>
                    </a:graphicData>
                  </a:graphic>
                </wp:anchor>
              </w:drawing>
            </w:r>
          </w:p>
        </w:tc>
        <w:tc>
          <w:tcPr>
            <w:tcW w:w="251" w:type="pct"/>
            <w:shd w:val="clear" w:color="auto" w:fill="auto"/>
            <w:noWrap/>
            <w:vAlign w:val="center"/>
          </w:tcPr>
          <w:p w14:paraId="63875C4A">
            <w:pPr>
              <w:rPr>
                <w:rFonts w:ascii="宋体" w:hAnsi="宋体" w:cs="宋体"/>
                <w:color w:val="000000"/>
                <w:sz w:val="24"/>
                <w:szCs w:val="24"/>
              </w:rPr>
            </w:pPr>
          </w:p>
        </w:tc>
      </w:tr>
      <w:tr w14:paraId="77A03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0" w:hRule="atLeast"/>
        </w:trPr>
        <w:tc>
          <w:tcPr>
            <w:tcW w:w="241" w:type="pct"/>
            <w:shd w:val="clear" w:color="auto" w:fill="auto"/>
            <w:vAlign w:val="center"/>
          </w:tcPr>
          <w:p w14:paraId="45648B58">
            <w:pPr>
              <w:widowControl/>
              <w:jc w:val="center"/>
              <w:textAlignment w:val="center"/>
              <w:rPr>
                <w:rFonts w:hint="default" w:ascii="宋体" w:hAnsi="宋体" w:eastAsia="宋体" w:cs="宋体"/>
                <w:color w:val="000000"/>
                <w:sz w:val="24"/>
                <w:szCs w:val="24"/>
                <w:lang w:val="en-US" w:eastAsia="zh-CN"/>
              </w:rPr>
            </w:pPr>
            <w:r>
              <w:rPr>
                <w:rFonts w:hint="eastAsia" w:ascii="宋体" w:hAnsi="宋体" w:cs="宋体"/>
                <w:color w:val="000000"/>
                <w:kern w:val="0"/>
                <w:sz w:val="24"/>
                <w:szCs w:val="24"/>
                <w:lang w:val="en-US" w:eastAsia="zh-CN" w:bidi="ar"/>
              </w:rPr>
              <w:t>17</w:t>
            </w:r>
          </w:p>
        </w:tc>
        <w:tc>
          <w:tcPr>
            <w:tcW w:w="430" w:type="pct"/>
            <w:shd w:val="clear" w:color="auto" w:fill="auto"/>
            <w:vAlign w:val="center"/>
          </w:tcPr>
          <w:p w14:paraId="6AA23326">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幼儿专用榨汁机</w:t>
            </w:r>
          </w:p>
        </w:tc>
        <w:tc>
          <w:tcPr>
            <w:tcW w:w="2861" w:type="pct"/>
            <w:shd w:val="clear" w:color="auto" w:fill="auto"/>
            <w:vAlign w:val="center"/>
          </w:tcPr>
          <w:p w14:paraId="641B3BF1">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1、功率：1600W</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 xml:space="preserve">2、容量：1750ml </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3、8叶不锈钢刀头</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4、人性化手柄凹位设计，精钢轴承，均匀破壁。NSKLTD精工制作确保机器高速运转时使钢刀旋转平衡稳定。另加儿童防漏电装置。</w:t>
            </w:r>
          </w:p>
        </w:tc>
        <w:tc>
          <w:tcPr>
            <w:tcW w:w="256" w:type="pct"/>
            <w:shd w:val="clear" w:color="auto" w:fill="auto"/>
            <w:vAlign w:val="center"/>
          </w:tcPr>
          <w:p w14:paraId="369A3BC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w:t>
            </w:r>
          </w:p>
        </w:tc>
        <w:tc>
          <w:tcPr>
            <w:tcW w:w="311" w:type="pct"/>
            <w:shd w:val="clear" w:color="auto" w:fill="auto"/>
            <w:noWrap/>
            <w:vAlign w:val="center"/>
          </w:tcPr>
          <w:p w14:paraId="1AC9DC1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noWrap/>
            <w:vAlign w:val="center"/>
          </w:tcPr>
          <w:p w14:paraId="7C57782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74624" behindDoc="0" locked="0" layoutInCell="1" allowOverlap="1">
                  <wp:simplePos x="0" y="0"/>
                  <wp:positionH relativeFrom="column">
                    <wp:posOffset>125730</wp:posOffset>
                  </wp:positionH>
                  <wp:positionV relativeFrom="paragraph">
                    <wp:posOffset>-36830</wp:posOffset>
                  </wp:positionV>
                  <wp:extent cx="443230" cy="443230"/>
                  <wp:effectExtent l="0" t="0" r="13970" b="13970"/>
                  <wp:wrapNone/>
                  <wp:docPr id="55" name="ID_0F89A5107C234EC28E4791DF1827E407"/>
                  <wp:cNvGraphicFramePr/>
                  <a:graphic xmlns:a="http://schemas.openxmlformats.org/drawingml/2006/main">
                    <a:graphicData uri="http://schemas.openxmlformats.org/drawingml/2006/picture">
                      <pic:pic xmlns:pic="http://schemas.openxmlformats.org/drawingml/2006/picture">
                        <pic:nvPicPr>
                          <pic:cNvPr id="55" name="ID_0F89A5107C234EC28E4791DF1827E407"/>
                          <pic:cNvPicPr/>
                        </pic:nvPicPr>
                        <pic:blipFill>
                          <a:blip r:embed="rId23"/>
                          <a:stretch>
                            <a:fillRect/>
                          </a:stretch>
                        </pic:blipFill>
                        <pic:spPr>
                          <a:xfrm>
                            <a:off x="0" y="0"/>
                            <a:ext cx="443230" cy="443230"/>
                          </a:xfrm>
                          <a:prstGeom prst="rect">
                            <a:avLst/>
                          </a:prstGeom>
                          <a:noFill/>
                          <a:ln>
                            <a:noFill/>
                          </a:ln>
                        </pic:spPr>
                      </pic:pic>
                    </a:graphicData>
                  </a:graphic>
                </wp:anchor>
              </w:drawing>
            </w:r>
          </w:p>
        </w:tc>
        <w:tc>
          <w:tcPr>
            <w:tcW w:w="251" w:type="pct"/>
            <w:shd w:val="clear" w:color="auto" w:fill="auto"/>
            <w:noWrap/>
            <w:vAlign w:val="center"/>
          </w:tcPr>
          <w:p w14:paraId="40A551D8">
            <w:pPr>
              <w:rPr>
                <w:rFonts w:ascii="宋体" w:hAnsi="宋体" w:cs="宋体"/>
                <w:color w:val="000000"/>
                <w:sz w:val="24"/>
                <w:szCs w:val="24"/>
              </w:rPr>
            </w:pPr>
          </w:p>
        </w:tc>
      </w:tr>
      <w:tr w14:paraId="7ED09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0" w:hRule="atLeast"/>
        </w:trPr>
        <w:tc>
          <w:tcPr>
            <w:tcW w:w="241" w:type="pct"/>
            <w:shd w:val="clear" w:color="auto" w:fill="auto"/>
            <w:vAlign w:val="center"/>
          </w:tcPr>
          <w:p w14:paraId="3AABEE31">
            <w:pPr>
              <w:widowControl/>
              <w:jc w:val="center"/>
              <w:textAlignment w:val="center"/>
              <w:rPr>
                <w:rFonts w:hint="default" w:ascii="宋体" w:hAnsi="宋体" w:eastAsia="宋体" w:cs="宋体"/>
                <w:color w:val="000000"/>
                <w:sz w:val="24"/>
                <w:szCs w:val="24"/>
                <w:lang w:val="en-US" w:eastAsia="zh-CN"/>
              </w:rPr>
            </w:pPr>
            <w:r>
              <w:rPr>
                <w:rFonts w:hint="eastAsia" w:ascii="宋体" w:hAnsi="宋体" w:cs="宋体"/>
                <w:color w:val="000000"/>
                <w:kern w:val="0"/>
                <w:sz w:val="24"/>
                <w:szCs w:val="24"/>
                <w:lang w:val="en-US" w:eastAsia="zh-CN" w:bidi="ar"/>
              </w:rPr>
              <w:t>18</w:t>
            </w:r>
          </w:p>
        </w:tc>
        <w:tc>
          <w:tcPr>
            <w:tcW w:w="430" w:type="pct"/>
            <w:shd w:val="clear" w:color="auto" w:fill="auto"/>
            <w:vAlign w:val="center"/>
          </w:tcPr>
          <w:p w14:paraId="68C5F5A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幼儿专用全自动多功能烘焙 箱</w:t>
            </w:r>
          </w:p>
        </w:tc>
        <w:tc>
          <w:tcPr>
            <w:tcW w:w="2861" w:type="pct"/>
            <w:shd w:val="clear" w:color="auto" w:fill="auto"/>
            <w:vAlign w:val="center"/>
          </w:tcPr>
          <w:p w14:paraId="7EE27092">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1、容量：38L</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2、功率：1800w，电压：220v</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3、产品重量：7KG</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4、尺寸：535x395x355mm</w:t>
            </w:r>
          </w:p>
        </w:tc>
        <w:tc>
          <w:tcPr>
            <w:tcW w:w="256" w:type="pct"/>
            <w:shd w:val="clear" w:color="auto" w:fill="auto"/>
            <w:vAlign w:val="center"/>
          </w:tcPr>
          <w:p w14:paraId="2BF76A6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w:t>
            </w:r>
          </w:p>
        </w:tc>
        <w:tc>
          <w:tcPr>
            <w:tcW w:w="311" w:type="pct"/>
            <w:shd w:val="clear" w:color="auto" w:fill="auto"/>
            <w:noWrap/>
            <w:vAlign w:val="center"/>
          </w:tcPr>
          <w:p w14:paraId="0DD825C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noWrap/>
            <w:vAlign w:val="center"/>
          </w:tcPr>
          <w:p w14:paraId="7DBE2D6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75648" behindDoc="0" locked="0" layoutInCell="1" allowOverlap="1">
                  <wp:simplePos x="0" y="0"/>
                  <wp:positionH relativeFrom="column">
                    <wp:posOffset>116205</wp:posOffset>
                  </wp:positionH>
                  <wp:positionV relativeFrom="paragraph">
                    <wp:posOffset>149225</wp:posOffset>
                  </wp:positionV>
                  <wp:extent cx="852805" cy="852805"/>
                  <wp:effectExtent l="0" t="0" r="4445" b="4445"/>
                  <wp:wrapNone/>
                  <wp:docPr id="56" name="ID_27997CDD169940F994CC6859B2F8F36B"/>
                  <wp:cNvGraphicFramePr/>
                  <a:graphic xmlns:a="http://schemas.openxmlformats.org/drawingml/2006/main">
                    <a:graphicData uri="http://schemas.openxmlformats.org/drawingml/2006/picture">
                      <pic:pic xmlns:pic="http://schemas.openxmlformats.org/drawingml/2006/picture">
                        <pic:nvPicPr>
                          <pic:cNvPr id="56" name="ID_27997CDD169940F994CC6859B2F8F36B"/>
                          <pic:cNvPicPr/>
                        </pic:nvPicPr>
                        <pic:blipFill>
                          <a:blip r:embed="rId24"/>
                          <a:stretch>
                            <a:fillRect/>
                          </a:stretch>
                        </pic:blipFill>
                        <pic:spPr>
                          <a:xfrm>
                            <a:off x="0" y="0"/>
                            <a:ext cx="852805" cy="852805"/>
                          </a:xfrm>
                          <a:prstGeom prst="rect">
                            <a:avLst/>
                          </a:prstGeom>
                          <a:noFill/>
                          <a:ln>
                            <a:noFill/>
                          </a:ln>
                        </pic:spPr>
                      </pic:pic>
                    </a:graphicData>
                  </a:graphic>
                </wp:anchor>
              </w:drawing>
            </w:r>
          </w:p>
        </w:tc>
        <w:tc>
          <w:tcPr>
            <w:tcW w:w="251" w:type="pct"/>
            <w:shd w:val="clear" w:color="auto" w:fill="auto"/>
            <w:noWrap/>
            <w:vAlign w:val="center"/>
          </w:tcPr>
          <w:p w14:paraId="6FE6169A">
            <w:pPr>
              <w:rPr>
                <w:rFonts w:ascii="宋体" w:hAnsi="宋体" w:cs="宋体"/>
                <w:color w:val="000000"/>
                <w:sz w:val="24"/>
                <w:szCs w:val="24"/>
              </w:rPr>
            </w:pPr>
          </w:p>
        </w:tc>
      </w:tr>
      <w:tr w14:paraId="60082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0" w:hRule="atLeast"/>
        </w:trPr>
        <w:tc>
          <w:tcPr>
            <w:tcW w:w="241" w:type="pct"/>
            <w:shd w:val="clear" w:color="auto" w:fill="auto"/>
            <w:vAlign w:val="center"/>
          </w:tcPr>
          <w:p w14:paraId="111DD9E7">
            <w:pPr>
              <w:widowControl/>
              <w:jc w:val="center"/>
              <w:textAlignment w:val="center"/>
              <w:rPr>
                <w:rFonts w:hint="default" w:ascii="宋体" w:hAnsi="宋体" w:eastAsia="宋体" w:cs="宋体"/>
                <w:color w:val="000000"/>
                <w:sz w:val="24"/>
                <w:szCs w:val="24"/>
                <w:lang w:val="en-US" w:eastAsia="zh-CN"/>
              </w:rPr>
            </w:pPr>
            <w:r>
              <w:rPr>
                <w:rFonts w:hint="eastAsia" w:ascii="宋体" w:hAnsi="宋体" w:cs="宋体"/>
                <w:color w:val="000000"/>
                <w:kern w:val="0"/>
                <w:sz w:val="24"/>
                <w:szCs w:val="24"/>
                <w:lang w:val="en-US" w:eastAsia="zh-CN" w:bidi="ar"/>
              </w:rPr>
              <w:t>19</w:t>
            </w:r>
          </w:p>
        </w:tc>
        <w:tc>
          <w:tcPr>
            <w:tcW w:w="430" w:type="pct"/>
            <w:shd w:val="clear" w:color="auto" w:fill="auto"/>
            <w:vAlign w:val="center"/>
          </w:tcPr>
          <w:p w14:paraId="2E8056F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全自动智能压面机</w:t>
            </w:r>
          </w:p>
        </w:tc>
        <w:tc>
          <w:tcPr>
            <w:tcW w:w="2861" w:type="pct"/>
            <w:shd w:val="clear" w:color="auto" w:fill="auto"/>
            <w:vAlign w:val="center"/>
          </w:tcPr>
          <w:p w14:paraId="37D2F809">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1</w:t>
            </w:r>
            <w:r>
              <w:rPr>
                <w:rFonts w:hint="eastAsia" w:ascii="宋体" w:hAnsi="宋体" w:cs="宋体"/>
                <w:color w:val="000000"/>
                <w:kern w:val="0"/>
                <w:sz w:val="24"/>
                <w:szCs w:val="24"/>
                <w:lang w:bidi="ar"/>
              </w:rPr>
              <w:t>、功率：150w，电压：220w</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2</w:t>
            </w:r>
            <w:r>
              <w:rPr>
                <w:rFonts w:hint="eastAsia" w:ascii="宋体" w:hAnsi="宋体" w:cs="宋体"/>
                <w:color w:val="000000"/>
                <w:kern w:val="0"/>
                <w:sz w:val="24"/>
                <w:szCs w:val="24"/>
                <w:lang w:bidi="ar"/>
              </w:rPr>
              <w:t>、尺寸：445x280x331mm</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3</w:t>
            </w:r>
            <w:r>
              <w:rPr>
                <w:rFonts w:hint="eastAsia" w:ascii="宋体" w:hAnsi="宋体" w:cs="宋体"/>
                <w:color w:val="000000"/>
                <w:kern w:val="0"/>
                <w:sz w:val="24"/>
                <w:szCs w:val="24"/>
                <w:lang w:bidi="ar"/>
              </w:rPr>
              <w:t>、摒弃任何图层工艺采用食品级材质直接与食物接触，环保卫生，清洗方便。电动设计，操作简单。用于各种面条的制作</w:t>
            </w:r>
          </w:p>
        </w:tc>
        <w:tc>
          <w:tcPr>
            <w:tcW w:w="256" w:type="pct"/>
            <w:shd w:val="clear" w:color="auto" w:fill="auto"/>
            <w:vAlign w:val="center"/>
          </w:tcPr>
          <w:p w14:paraId="3BC0E75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noWrap/>
            <w:vAlign w:val="center"/>
          </w:tcPr>
          <w:p w14:paraId="3515FBE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noWrap/>
            <w:vAlign w:val="center"/>
          </w:tcPr>
          <w:p w14:paraId="742CD22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76672" behindDoc="0" locked="0" layoutInCell="1" allowOverlap="1">
                  <wp:simplePos x="0" y="0"/>
                  <wp:positionH relativeFrom="column">
                    <wp:posOffset>85725</wp:posOffset>
                  </wp:positionH>
                  <wp:positionV relativeFrom="paragraph">
                    <wp:posOffset>-73660</wp:posOffset>
                  </wp:positionV>
                  <wp:extent cx="443230" cy="395605"/>
                  <wp:effectExtent l="0" t="0" r="13970" b="4445"/>
                  <wp:wrapNone/>
                  <wp:docPr id="57" name="ID_956B0C1BA38944BE847BAFEA9BDD3628"/>
                  <wp:cNvGraphicFramePr/>
                  <a:graphic xmlns:a="http://schemas.openxmlformats.org/drawingml/2006/main">
                    <a:graphicData uri="http://schemas.openxmlformats.org/drawingml/2006/picture">
                      <pic:pic xmlns:pic="http://schemas.openxmlformats.org/drawingml/2006/picture">
                        <pic:nvPicPr>
                          <pic:cNvPr id="57" name="ID_956B0C1BA38944BE847BAFEA9BDD3628"/>
                          <pic:cNvPicPr/>
                        </pic:nvPicPr>
                        <pic:blipFill>
                          <a:blip r:embed="rId25"/>
                          <a:stretch>
                            <a:fillRect/>
                          </a:stretch>
                        </pic:blipFill>
                        <pic:spPr>
                          <a:xfrm>
                            <a:off x="0" y="0"/>
                            <a:ext cx="443230" cy="395605"/>
                          </a:xfrm>
                          <a:prstGeom prst="rect">
                            <a:avLst/>
                          </a:prstGeom>
                          <a:noFill/>
                          <a:ln>
                            <a:noFill/>
                          </a:ln>
                        </pic:spPr>
                      </pic:pic>
                    </a:graphicData>
                  </a:graphic>
                </wp:anchor>
              </w:drawing>
            </w:r>
          </w:p>
        </w:tc>
        <w:tc>
          <w:tcPr>
            <w:tcW w:w="251" w:type="pct"/>
            <w:shd w:val="clear" w:color="auto" w:fill="auto"/>
            <w:noWrap/>
            <w:vAlign w:val="center"/>
          </w:tcPr>
          <w:p w14:paraId="2687F495">
            <w:pPr>
              <w:rPr>
                <w:rFonts w:ascii="宋体" w:hAnsi="宋体" w:cs="宋体"/>
                <w:color w:val="000000"/>
                <w:sz w:val="24"/>
                <w:szCs w:val="24"/>
              </w:rPr>
            </w:pPr>
          </w:p>
        </w:tc>
      </w:tr>
      <w:tr w14:paraId="0EA6D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0" w:hRule="atLeast"/>
        </w:trPr>
        <w:tc>
          <w:tcPr>
            <w:tcW w:w="241" w:type="pct"/>
            <w:shd w:val="clear" w:color="auto" w:fill="auto"/>
            <w:vAlign w:val="center"/>
          </w:tcPr>
          <w:p w14:paraId="25963153">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2</w:t>
            </w:r>
            <w:r>
              <w:rPr>
                <w:rFonts w:hint="eastAsia" w:ascii="宋体" w:hAnsi="宋体" w:cs="宋体"/>
                <w:color w:val="000000"/>
                <w:kern w:val="0"/>
                <w:sz w:val="24"/>
                <w:szCs w:val="24"/>
                <w:lang w:val="en-US" w:eastAsia="zh-CN" w:bidi="ar"/>
              </w:rPr>
              <w:t>0</w:t>
            </w:r>
          </w:p>
        </w:tc>
        <w:tc>
          <w:tcPr>
            <w:tcW w:w="430" w:type="pct"/>
            <w:shd w:val="clear" w:color="auto" w:fill="auto"/>
            <w:vAlign w:val="center"/>
          </w:tcPr>
          <w:p w14:paraId="06CDB258">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自动智能厨师机</w:t>
            </w:r>
          </w:p>
        </w:tc>
        <w:tc>
          <w:tcPr>
            <w:tcW w:w="2861" w:type="pct"/>
            <w:shd w:val="clear" w:color="auto" w:fill="auto"/>
            <w:vAlign w:val="center"/>
          </w:tcPr>
          <w:p w14:paraId="78AF9208">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val="en-US" w:eastAsia="zh-CN" w:bidi="ar"/>
              </w:rPr>
              <w:t>1</w:t>
            </w:r>
            <w:r>
              <w:rPr>
                <w:rFonts w:hint="eastAsia" w:ascii="宋体" w:hAnsi="宋体" w:cs="宋体"/>
                <w:color w:val="000000"/>
                <w:kern w:val="0"/>
                <w:sz w:val="24"/>
                <w:szCs w:val="24"/>
                <w:lang w:bidi="ar"/>
              </w:rPr>
              <w:t>、功率：600w，电压：220v</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2</w:t>
            </w:r>
            <w:r>
              <w:rPr>
                <w:rFonts w:hint="eastAsia" w:ascii="宋体" w:hAnsi="宋体" w:cs="宋体"/>
                <w:color w:val="000000"/>
                <w:kern w:val="0"/>
                <w:sz w:val="24"/>
                <w:szCs w:val="24"/>
                <w:lang w:bidi="ar"/>
              </w:rPr>
              <w:t>、尺寸：290x155x285mm</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3</w:t>
            </w:r>
            <w:r>
              <w:rPr>
                <w:rFonts w:hint="eastAsia" w:ascii="宋体" w:hAnsi="宋体" w:cs="宋体"/>
                <w:color w:val="000000"/>
                <w:kern w:val="0"/>
                <w:sz w:val="24"/>
                <w:szCs w:val="24"/>
                <w:lang w:bidi="ar"/>
              </w:rPr>
              <w:t>、全金属机身，食品级全不锈钢配件，全粉末冶金钢齿轮组，密封降噪，风道降温另加儿童防漏电装置。用于和面</w:t>
            </w:r>
          </w:p>
        </w:tc>
        <w:tc>
          <w:tcPr>
            <w:tcW w:w="256" w:type="pct"/>
            <w:shd w:val="clear" w:color="auto" w:fill="auto"/>
            <w:vAlign w:val="center"/>
          </w:tcPr>
          <w:p w14:paraId="6028202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noWrap/>
            <w:vAlign w:val="center"/>
          </w:tcPr>
          <w:p w14:paraId="477B9C8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noWrap/>
            <w:vAlign w:val="center"/>
          </w:tcPr>
          <w:p w14:paraId="579778FC">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77696" behindDoc="0" locked="0" layoutInCell="1" allowOverlap="1">
                  <wp:simplePos x="0" y="0"/>
                  <wp:positionH relativeFrom="column">
                    <wp:posOffset>78740</wp:posOffset>
                  </wp:positionH>
                  <wp:positionV relativeFrom="paragraph">
                    <wp:posOffset>109855</wp:posOffset>
                  </wp:positionV>
                  <wp:extent cx="852805" cy="757555"/>
                  <wp:effectExtent l="0" t="0" r="4445" b="4445"/>
                  <wp:wrapNone/>
                  <wp:docPr id="58" name="ID_8F07E423D6C4415283E35DE586453AFA"/>
                  <wp:cNvGraphicFramePr/>
                  <a:graphic xmlns:a="http://schemas.openxmlformats.org/drawingml/2006/main">
                    <a:graphicData uri="http://schemas.openxmlformats.org/drawingml/2006/picture">
                      <pic:pic xmlns:pic="http://schemas.openxmlformats.org/drawingml/2006/picture">
                        <pic:nvPicPr>
                          <pic:cNvPr id="58" name="ID_8F07E423D6C4415283E35DE586453AFA"/>
                          <pic:cNvPicPr/>
                        </pic:nvPicPr>
                        <pic:blipFill>
                          <a:blip r:embed="rId26"/>
                          <a:stretch>
                            <a:fillRect/>
                          </a:stretch>
                        </pic:blipFill>
                        <pic:spPr>
                          <a:xfrm>
                            <a:off x="0" y="0"/>
                            <a:ext cx="852805" cy="757555"/>
                          </a:xfrm>
                          <a:prstGeom prst="rect">
                            <a:avLst/>
                          </a:prstGeom>
                          <a:noFill/>
                          <a:ln>
                            <a:noFill/>
                          </a:ln>
                        </pic:spPr>
                      </pic:pic>
                    </a:graphicData>
                  </a:graphic>
                </wp:anchor>
              </w:drawing>
            </w:r>
          </w:p>
        </w:tc>
        <w:tc>
          <w:tcPr>
            <w:tcW w:w="251" w:type="pct"/>
            <w:shd w:val="clear" w:color="auto" w:fill="auto"/>
            <w:noWrap/>
            <w:vAlign w:val="center"/>
          </w:tcPr>
          <w:p w14:paraId="11FA6FBA">
            <w:pPr>
              <w:rPr>
                <w:rFonts w:ascii="宋体" w:hAnsi="宋体" w:cs="宋体"/>
                <w:color w:val="000000"/>
                <w:sz w:val="24"/>
                <w:szCs w:val="24"/>
              </w:rPr>
            </w:pPr>
          </w:p>
        </w:tc>
      </w:tr>
      <w:tr w14:paraId="11D3F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0" w:hRule="atLeast"/>
        </w:trPr>
        <w:tc>
          <w:tcPr>
            <w:tcW w:w="241" w:type="pct"/>
            <w:shd w:val="clear" w:color="auto" w:fill="auto"/>
            <w:vAlign w:val="center"/>
          </w:tcPr>
          <w:p w14:paraId="0265457D">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2</w:t>
            </w:r>
            <w:r>
              <w:rPr>
                <w:rFonts w:hint="eastAsia" w:ascii="宋体" w:hAnsi="宋体" w:cs="宋体"/>
                <w:color w:val="000000"/>
                <w:kern w:val="0"/>
                <w:sz w:val="24"/>
                <w:szCs w:val="24"/>
                <w:lang w:val="en-US" w:eastAsia="zh-CN" w:bidi="ar"/>
              </w:rPr>
              <w:t>1</w:t>
            </w:r>
          </w:p>
        </w:tc>
        <w:tc>
          <w:tcPr>
            <w:tcW w:w="430" w:type="pct"/>
            <w:shd w:val="clear" w:color="auto" w:fill="auto"/>
            <w:vAlign w:val="center"/>
          </w:tcPr>
          <w:p w14:paraId="56CA214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豆芽机</w:t>
            </w:r>
          </w:p>
        </w:tc>
        <w:tc>
          <w:tcPr>
            <w:tcW w:w="2861" w:type="pct"/>
            <w:shd w:val="clear" w:color="auto" w:fill="auto"/>
            <w:vAlign w:val="center"/>
          </w:tcPr>
          <w:p w14:paraId="6FCA3499">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1、外观：青绿色，双层+蓄水压盘</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2、尺寸：350*260mm</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3、材质：食品级PP材质</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4、功率：20W</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5、控制方式：智能微电脑发芽</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6、时间：2.5~4天</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7、说明：360°旋转式全自动水循环喷洒；水电分离更安全；可视化种植；四季模式可选择</w:t>
            </w:r>
          </w:p>
        </w:tc>
        <w:tc>
          <w:tcPr>
            <w:tcW w:w="256" w:type="pct"/>
            <w:shd w:val="clear" w:color="auto" w:fill="auto"/>
            <w:vAlign w:val="center"/>
          </w:tcPr>
          <w:p w14:paraId="1E6EE74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w:t>
            </w:r>
          </w:p>
        </w:tc>
        <w:tc>
          <w:tcPr>
            <w:tcW w:w="311" w:type="pct"/>
            <w:shd w:val="clear" w:color="auto" w:fill="auto"/>
            <w:noWrap/>
            <w:vAlign w:val="center"/>
          </w:tcPr>
          <w:p w14:paraId="6F52BAA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台</w:t>
            </w:r>
          </w:p>
        </w:tc>
        <w:tc>
          <w:tcPr>
            <w:tcW w:w="647" w:type="pct"/>
            <w:shd w:val="clear" w:color="auto" w:fill="auto"/>
            <w:noWrap/>
            <w:vAlign w:val="center"/>
          </w:tcPr>
          <w:p w14:paraId="654ED1D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78720" behindDoc="0" locked="0" layoutInCell="1" allowOverlap="1">
                  <wp:simplePos x="0" y="0"/>
                  <wp:positionH relativeFrom="column">
                    <wp:posOffset>144780</wp:posOffset>
                  </wp:positionH>
                  <wp:positionV relativeFrom="paragraph">
                    <wp:posOffset>739775</wp:posOffset>
                  </wp:positionV>
                  <wp:extent cx="852805" cy="852805"/>
                  <wp:effectExtent l="0" t="0" r="4445" b="4445"/>
                  <wp:wrapNone/>
                  <wp:docPr id="59" name="ID_B20EE3DF650B44CD9EA2C0DB67766D7D"/>
                  <wp:cNvGraphicFramePr/>
                  <a:graphic xmlns:a="http://schemas.openxmlformats.org/drawingml/2006/main">
                    <a:graphicData uri="http://schemas.openxmlformats.org/drawingml/2006/picture">
                      <pic:pic xmlns:pic="http://schemas.openxmlformats.org/drawingml/2006/picture">
                        <pic:nvPicPr>
                          <pic:cNvPr id="59" name="ID_B20EE3DF650B44CD9EA2C0DB67766D7D"/>
                          <pic:cNvPicPr/>
                        </pic:nvPicPr>
                        <pic:blipFill>
                          <a:blip r:embed="rId27"/>
                          <a:stretch>
                            <a:fillRect/>
                          </a:stretch>
                        </pic:blipFill>
                        <pic:spPr>
                          <a:xfrm>
                            <a:off x="0" y="0"/>
                            <a:ext cx="852805" cy="852805"/>
                          </a:xfrm>
                          <a:prstGeom prst="rect">
                            <a:avLst/>
                          </a:prstGeom>
                          <a:noFill/>
                          <a:ln>
                            <a:noFill/>
                          </a:ln>
                        </pic:spPr>
                      </pic:pic>
                    </a:graphicData>
                  </a:graphic>
                </wp:anchor>
              </w:drawing>
            </w:r>
          </w:p>
        </w:tc>
        <w:tc>
          <w:tcPr>
            <w:tcW w:w="251" w:type="pct"/>
            <w:shd w:val="clear" w:color="auto" w:fill="auto"/>
            <w:noWrap/>
            <w:vAlign w:val="center"/>
          </w:tcPr>
          <w:p w14:paraId="3CDF4F70">
            <w:pPr>
              <w:rPr>
                <w:rFonts w:ascii="宋体" w:hAnsi="宋体" w:cs="宋体"/>
                <w:color w:val="000000"/>
                <w:sz w:val="24"/>
                <w:szCs w:val="24"/>
              </w:rPr>
            </w:pPr>
          </w:p>
        </w:tc>
      </w:tr>
      <w:tr w14:paraId="51ECB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5" w:hRule="atLeast"/>
        </w:trPr>
        <w:tc>
          <w:tcPr>
            <w:tcW w:w="241" w:type="pct"/>
            <w:shd w:val="clear" w:color="auto" w:fill="auto"/>
            <w:vAlign w:val="center"/>
          </w:tcPr>
          <w:p w14:paraId="69E43517">
            <w:pPr>
              <w:widowControl/>
              <w:jc w:val="center"/>
              <w:textAlignment w:val="center"/>
              <w:rPr>
                <w:rFonts w:hint="default" w:ascii="宋体" w:hAnsi="宋体" w:eastAsia="宋体" w:cs="宋体"/>
                <w:color w:val="000000"/>
                <w:sz w:val="24"/>
                <w:szCs w:val="24"/>
                <w:lang w:val="en-US" w:eastAsia="zh-CN"/>
              </w:rPr>
            </w:pPr>
            <w:r>
              <w:rPr>
                <w:rFonts w:hint="eastAsia" w:ascii="宋体" w:hAnsi="宋体" w:cs="宋体"/>
                <w:color w:val="000000"/>
                <w:kern w:val="0"/>
                <w:sz w:val="24"/>
                <w:szCs w:val="24"/>
                <w:lang w:val="en-US" w:eastAsia="zh-CN" w:bidi="ar"/>
              </w:rPr>
              <w:t>22</w:t>
            </w:r>
          </w:p>
        </w:tc>
        <w:tc>
          <w:tcPr>
            <w:tcW w:w="430" w:type="pct"/>
            <w:shd w:val="clear" w:color="auto" w:fill="auto"/>
            <w:vAlign w:val="center"/>
          </w:tcPr>
          <w:p w14:paraId="0637D59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电子体重秤</w:t>
            </w:r>
          </w:p>
        </w:tc>
        <w:tc>
          <w:tcPr>
            <w:tcW w:w="2861" w:type="pct"/>
            <w:shd w:val="clear" w:color="auto" w:fill="auto"/>
            <w:vAlign w:val="center"/>
          </w:tcPr>
          <w:p w14:paraId="449DC8DE">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尺寸长260mm，款260mm，钢化玻璃面，液晶显示屏，配usb充电接头，用于幼儿测量体重，探究重量。</w:t>
            </w:r>
          </w:p>
        </w:tc>
        <w:tc>
          <w:tcPr>
            <w:tcW w:w="256" w:type="pct"/>
            <w:shd w:val="clear" w:color="auto" w:fill="auto"/>
            <w:vAlign w:val="center"/>
          </w:tcPr>
          <w:p w14:paraId="502F134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vAlign w:val="center"/>
          </w:tcPr>
          <w:p w14:paraId="412244D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个</w:t>
            </w:r>
          </w:p>
        </w:tc>
        <w:tc>
          <w:tcPr>
            <w:tcW w:w="647" w:type="pct"/>
            <w:shd w:val="clear" w:color="auto" w:fill="auto"/>
            <w:vAlign w:val="center"/>
          </w:tcPr>
          <w:p w14:paraId="13D1523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rPr>
              <w:drawing>
                <wp:inline distT="0" distB="0" distL="114300" distR="114300">
                  <wp:extent cx="714375" cy="723900"/>
                  <wp:effectExtent l="0" t="0" r="9525" b="0"/>
                  <wp:docPr id="70" name="图片 230"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230" descr="IMG_260"/>
                          <pic:cNvPicPr>
                            <a:picLocks noChangeAspect="1"/>
                          </pic:cNvPicPr>
                        </pic:nvPicPr>
                        <pic:blipFill>
                          <a:blip r:embed="rId28"/>
                          <a:stretch>
                            <a:fillRect/>
                          </a:stretch>
                        </pic:blipFill>
                        <pic:spPr>
                          <a:xfrm>
                            <a:off x="0" y="0"/>
                            <a:ext cx="714375" cy="723900"/>
                          </a:xfrm>
                          <a:prstGeom prst="rect">
                            <a:avLst/>
                          </a:prstGeom>
                          <a:noFill/>
                          <a:ln w="9525">
                            <a:noFill/>
                          </a:ln>
                        </pic:spPr>
                      </pic:pic>
                    </a:graphicData>
                  </a:graphic>
                </wp:inline>
              </w:drawing>
            </w:r>
          </w:p>
        </w:tc>
        <w:tc>
          <w:tcPr>
            <w:tcW w:w="251" w:type="pct"/>
            <w:shd w:val="clear" w:color="auto" w:fill="auto"/>
            <w:noWrap/>
            <w:vAlign w:val="center"/>
          </w:tcPr>
          <w:p w14:paraId="00BB9D2A">
            <w:pPr>
              <w:rPr>
                <w:rFonts w:ascii="宋体" w:hAnsi="宋体" w:cs="宋体"/>
                <w:color w:val="000000"/>
                <w:sz w:val="24"/>
                <w:szCs w:val="24"/>
              </w:rPr>
            </w:pPr>
          </w:p>
        </w:tc>
      </w:tr>
      <w:tr w14:paraId="4C3AF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5" w:hRule="atLeast"/>
        </w:trPr>
        <w:tc>
          <w:tcPr>
            <w:tcW w:w="241" w:type="pct"/>
            <w:shd w:val="clear" w:color="auto" w:fill="auto"/>
            <w:vAlign w:val="center"/>
          </w:tcPr>
          <w:p w14:paraId="213E1272">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2</w:t>
            </w:r>
            <w:r>
              <w:rPr>
                <w:rFonts w:hint="eastAsia" w:ascii="宋体" w:hAnsi="宋体" w:cs="宋体"/>
                <w:color w:val="000000"/>
                <w:kern w:val="0"/>
                <w:sz w:val="24"/>
                <w:szCs w:val="24"/>
                <w:lang w:val="en-US" w:eastAsia="zh-CN" w:bidi="ar"/>
              </w:rPr>
              <w:t>3</w:t>
            </w:r>
          </w:p>
        </w:tc>
        <w:tc>
          <w:tcPr>
            <w:tcW w:w="430" w:type="pct"/>
            <w:shd w:val="clear" w:color="auto" w:fill="auto"/>
            <w:vAlign w:val="center"/>
          </w:tcPr>
          <w:p w14:paraId="5CE86F4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卡通手电筒</w:t>
            </w:r>
          </w:p>
        </w:tc>
        <w:tc>
          <w:tcPr>
            <w:tcW w:w="2861" w:type="pct"/>
            <w:shd w:val="clear" w:color="auto" w:fill="auto"/>
            <w:vAlign w:val="center"/>
          </w:tcPr>
          <w:p w14:paraId="2201CDC8">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安全塑胶材质，彩色造型，1颗LED灯泡，含插口充电装置；11*4*4cm，用于探究光和电。</w:t>
            </w:r>
          </w:p>
        </w:tc>
        <w:tc>
          <w:tcPr>
            <w:tcW w:w="256" w:type="pct"/>
            <w:shd w:val="clear" w:color="auto" w:fill="auto"/>
            <w:vAlign w:val="center"/>
          </w:tcPr>
          <w:p w14:paraId="676B15D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w:t>
            </w:r>
          </w:p>
        </w:tc>
        <w:tc>
          <w:tcPr>
            <w:tcW w:w="311" w:type="pct"/>
            <w:shd w:val="clear" w:color="auto" w:fill="auto"/>
            <w:vAlign w:val="center"/>
          </w:tcPr>
          <w:p w14:paraId="50761B5A">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个</w:t>
            </w:r>
          </w:p>
        </w:tc>
        <w:tc>
          <w:tcPr>
            <w:tcW w:w="647" w:type="pct"/>
            <w:shd w:val="clear" w:color="auto" w:fill="auto"/>
            <w:vAlign w:val="center"/>
          </w:tcPr>
          <w:p w14:paraId="26117AEC">
            <w:pPr>
              <w:widowControl/>
              <w:jc w:val="center"/>
              <w:textAlignment w:val="center"/>
              <w:rPr>
                <w:rFonts w:ascii="宋体" w:hAnsi="宋体" w:cs="宋体"/>
                <w:color w:val="000000"/>
                <w:sz w:val="24"/>
                <w:szCs w:val="24"/>
              </w:rPr>
            </w:pPr>
          </w:p>
        </w:tc>
        <w:tc>
          <w:tcPr>
            <w:tcW w:w="251" w:type="pct"/>
            <w:shd w:val="clear" w:color="auto" w:fill="auto"/>
            <w:noWrap/>
            <w:vAlign w:val="center"/>
          </w:tcPr>
          <w:p w14:paraId="20BC5873">
            <w:pPr>
              <w:rPr>
                <w:rFonts w:ascii="宋体" w:hAnsi="宋体" w:cs="宋体"/>
                <w:color w:val="000000"/>
                <w:sz w:val="24"/>
                <w:szCs w:val="24"/>
              </w:rPr>
            </w:pPr>
          </w:p>
        </w:tc>
      </w:tr>
      <w:tr w14:paraId="17463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7" w:hRule="atLeast"/>
        </w:trPr>
        <w:tc>
          <w:tcPr>
            <w:tcW w:w="241" w:type="pct"/>
            <w:shd w:val="clear" w:color="auto" w:fill="auto"/>
            <w:vAlign w:val="center"/>
          </w:tcPr>
          <w:p w14:paraId="5D7E0150">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2</w:t>
            </w:r>
            <w:r>
              <w:rPr>
                <w:rFonts w:hint="eastAsia" w:ascii="宋体" w:hAnsi="宋体" w:cs="宋体"/>
                <w:color w:val="000000"/>
                <w:kern w:val="0"/>
                <w:sz w:val="24"/>
                <w:szCs w:val="24"/>
                <w:lang w:val="en-US" w:eastAsia="zh-CN" w:bidi="ar"/>
              </w:rPr>
              <w:t>4</w:t>
            </w:r>
          </w:p>
        </w:tc>
        <w:tc>
          <w:tcPr>
            <w:tcW w:w="430" w:type="pct"/>
            <w:shd w:val="clear" w:color="auto" w:fill="auto"/>
            <w:vAlign w:val="center"/>
          </w:tcPr>
          <w:p w14:paraId="4E00CE5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儿童光学显微镜</w:t>
            </w:r>
          </w:p>
        </w:tc>
        <w:tc>
          <w:tcPr>
            <w:tcW w:w="2861" w:type="pct"/>
            <w:shd w:val="clear" w:color="auto" w:fill="auto"/>
            <w:vAlign w:val="center"/>
          </w:tcPr>
          <w:p w14:paraId="708D8659">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产品规格：28*16.3*10CM，产品材质：优质塑料，目镜支持10倍，20倍切换，含5种颜色聚光孔，探究更有趣，物镜支持10倍、20倍、40倍放大，手提式设计方便拿取。LED光源。</w:t>
            </w:r>
          </w:p>
        </w:tc>
        <w:tc>
          <w:tcPr>
            <w:tcW w:w="256" w:type="pct"/>
            <w:shd w:val="clear" w:color="auto" w:fill="auto"/>
            <w:vAlign w:val="center"/>
          </w:tcPr>
          <w:p w14:paraId="3F60E17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w:t>
            </w:r>
          </w:p>
        </w:tc>
        <w:tc>
          <w:tcPr>
            <w:tcW w:w="311" w:type="pct"/>
            <w:shd w:val="clear" w:color="auto" w:fill="auto"/>
            <w:vAlign w:val="center"/>
          </w:tcPr>
          <w:p w14:paraId="727E450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套</w:t>
            </w:r>
          </w:p>
        </w:tc>
        <w:tc>
          <w:tcPr>
            <w:tcW w:w="647" w:type="pct"/>
            <w:shd w:val="clear" w:color="auto" w:fill="auto"/>
            <w:vAlign w:val="center"/>
          </w:tcPr>
          <w:p w14:paraId="7948EE40">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rPr>
              <w:drawing>
                <wp:inline distT="0" distB="0" distL="114300" distR="114300">
                  <wp:extent cx="1076325" cy="1076325"/>
                  <wp:effectExtent l="0" t="0" r="9525" b="9525"/>
                  <wp:docPr id="71" name="图片 232"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232" descr="IMG_262"/>
                          <pic:cNvPicPr>
                            <a:picLocks noChangeAspect="1"/>
                          </pic:cNvPicPr>
                        </pic:nvPicPr>
                        <pic:blipFill>
                          <a:blip r:embed="rId29"/>
                          <a:stretch>
                            <a:fillRect/>
                          </a:stretch>
                        </pic:blipFill>
                        <pic:spPr>
                          <a:xfrm>
                            <a:off x="0" y="0"/>
                            <a:ext cx="1076325" cy="1076325"/>
                          </a:xfrm>
                          <a:prstGeom prst="rect">
                            <a:avLst/>
                          </a:prstGeom>
                          <a:noFill/>
                          <a:ln w="9525">
                            <a:noFill/>
                          </a:ln>
                        </pic:spPr>
                      </pic:pic>
                    </a:graphicData>
                  </a:graphic>
                </wp:inline>
              </w:drawing>
            </w:r>
          </w:p>
        </w:tc>
        <w:tc>
          <w:tcPr>
            <w:tcW w:w="251" w:type="pct"/>
            <w:shd w:val="clear" w:color="auto" w:fill="auto"/>
            <w:noWrap/>
            <w:vAlign w:val="center"/>
          </w:tcPr>
          <w:p w14:paraId="54F1AEA7">
            <w:pPr>
              <w:jc w:val="center"/>
              <w:rPr>
                <w:rFonts w:ascii="宋体" w:hAnsi="宋体" w:cs="宋体"/>
                <w:color w:val="000000"/>
                <w:sz w:val="24"/>
                <w:szCs w:val="24"/>
              </w:rPr>
            </w:pPr>
          </w:p>
        </w:tc>
      </w:tr>
      <w:tr w14:paraId="4DFFF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6" w:hRule="atLeast"/>
        </w:trPr>
        <w:tc>
          <w:tcPr>
            <w:tcW w:w="241" w:type="pct"/>
            <w:shd w:val="clear" w:color="auto" w:fill="auto"/>
            <w:vAlign w:val="center"/>
          </w:tcPr>
          <w:p w14:paraId="118879A9">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2</w:t>
            </w:r>
            <w:r>
              <w:rPr>
                <w:rFonts w:hint="eastAsia" w:ascii="宋体" w:hAnsi="宋体" w:cs="宋体"/>
                <w:color w:val="000000"/>
                <w:kern w:val="0"/>
                <w:sz w:val="24"/>
                <w:szCs w:val="24"/>
                <w:lang w:val="en-US" w:eastAsia="zh-CN" w:bidi="ar"/>
              </w:rPr>
              <w:t>5</w:t>
            </w:r>
          </w:p>
        </w:tc>
        <w:tc>
          <w:tcPr>
            <w:tcW w:w="430" w:type="pct"/>
            <w:shd w:val="clear" w:color="auto" w:fill="auto"/>
            <w:vAlign w:val="center"/>
          </w:tcPr>
          <w:p w14:paraId="67DD9F23">
            <w:pPr>
              <w:widowControl/>
              <w:jc w:val="center"/>
              <w:textAlignment w:val="center"/>
              <w:rPr>
                <w:rFonts w:ascii="宋体" w:hAnsi="宋体" w:cs="宋体"/>
                <w:color w:val="000000"/>
                <w:sz w:val="24"/>
                <w:szCs w:val="24"/>
                <w:highlight w:val="yellow"/>
              </w:rPr>
            </w:pPr>
            <w:r>
              <w:rPr>
                <w:rFonts w:hint="eastAsia" w:ascii="宋体" w:hAnsi="宋体" w:cs="宋体"/>
                <w:color w:val="000000"/>
                <w:kern w:val="0"/>
                <w:sz w:val="24"/>
                <w:szCs w:val="24"/>
                <w:lang w:bidi="ar"/>
              </w:rPr>
              <w:t>手持显微镜</w:t>
            </w:r>
          </w:p>
        </w:tc>
        <w:tc>
          <w:tcPr>
            <w:tcW w:w="2861" w:type="pct"/>
            <w:shd w:val="clear" w:color="auto" w:fill="auto"/>
            <w:vAlign w:val="center"/>
          </w:tcPr>
          <w:p w14:paraId="641C1F1D">
            <w:pPr>
              <w:widowControl/>
              <w:jc w:val="left"/>
              <w:textAlignment w:val="center"/>
              <w:rPr>
                <w:rFonts w:ascii="宋体" w:hAnsi="宋体" w:cs="宋体"/>
                <w:color w:val="000000"/>
                <w:sz w:val="24"/>
                <w:szCs w:val="24"/>
                <w:highlight w:val="yellow"/>
              </w:rPr>
            </w:pPr>
            <w:r>
              <w:rPr>
                <w:rFonts w:hint="eastAsia" w:ascii="宋体" w:hAnsi="宋体" w:cs="宋体"/>
                <w:color w:val="000000"/>
                <w:kern w:val="0"/>
                <w:sz w:val="24"/>
                <w:szCs w:val="24"/>
                <w:lang w:bidi="ar"/>
              </w:rPr>
              <w:t>产品规格：高11.3CM，宽7cm，产品材质：优质塑料,支持20倍40倍变焦，附带LED光源。</w:t>
            </w:r>
          </w:p>
        </w:tc>
        <w:tc>
          <w:tcPr>
            <w:tcW w:w="256" w:type="pct"/>
            <w:shd w:val="clear" w:color="auto" w:fill="auto"/>
            <w:vAlign w:val="center"/>
          </w:tcPr>
          <w:p w14:paraId="3AAC4DA4">
            <w:pPr>
              <w:widowControl/>
              <w:jc w:val="center"/>
              <w:textAlignment w:val="center"/>
              <w:rPr>
                <w:rFonts w:ascii="宋体" w:hAnsi="宋体" w:cs="宋体"/>
                <w:color w:val="000000"/>
                <w:sz w:val="24"/>
                <w:szCs w:val="24"/>
                <w:highlight w:val="yellow"/>
              </w:rPr>
            </w:pPr>
            <w:r>
              <w:rPr>
                <w:rFonts w:hint="eastAsia" w:ascii="宋体" w:hAnsi="宋体" w:cs="宋体"/>
                <w:color w:val="000000"/>
                <w:kern w:val="0"/>
                <w:sz w:val="24"/>
                <w:szCs w:val="24"/>
                <w:lang w:bidi="ar"/>
              </w:rPr>
              <w:t>2</w:t>
            </w:r>
          </w:p>
        </w:tc>
        <w:tc>
          <w:tcPr>
            <w:tcW w:w="311" w:type="pct"/>
            <w:shd w:val="clear" w:color="auto" w:fill="auto"/>
            <w:vAlign w:val="center"/>
          </w:tcPr>
          <w:p w14:paraId="26A0CA2F">
            <w:pPr>
              <w:widowControl/>
              <w:jc w:val="center"/>
              <w:textAlignment w:val="center"/>
              <w:rPr>
                <w:rFonts w:ascii="宋体" w:hAnsi="宋体" w:cs="宋体"/>
                <w:color w:val="000000"/>
                <w:sz w:val="24"/>
                <w:szCs w:val="24"/>
                <w:highlight w:val="yellow"/>
              </w:rPr>
            </w:pPr>
            <w:r>
              <w:rPr>
                <w:rFonts w:hint="eastAsia" w:ascii="宋体" w:hAnsi="宋体" w:cs="宋体"/>
                <w:color w:val="000000"/>
                <w:kern w:val="0"/>
                <w:sz w:val="24"/>
                <w:szCs w:val="24"/>
                <w:lang w:bidi="ar"/>
              </w:rPr>
              <w:t>个</w:t>
            </w:r>
          </w:p>
        </w:tc>
        <w:tc>
          <w:tcPr>
            <w:tcW w:w="647" w:type="pct"/>
            <w:shd w:val="clear" w:color="auto" w:fill="auto"/>
            <w:vAlign w:val="center"/>
          </w:tcPr>
          <w:p w14:paraId="12CC8CD0">
            <w:pPr>
              <w:widowControl/>
              <w:jc w:val="center"/>
              <w:textAlignment w:val="center"/>
              <w:rPr>
                <w:rFonts w:ascii="宋体" w:hAnsi="宋体" w:cs="宋体"/>
                <w:color w:val="000000"/>
                <w:sz w:val="24"/>
                <w:szCs w:val="24"/>
                <w:highlight w:val="yellow"/>
              </w:rPr>
            </w:pPr>
            <w:r>
              <w:rPr>
                <w:rFonts w:hint="eastAsia" w:ascii="宋体" w:hAnsi="宋体" w:cs="宋体"/>
                <w:color w:val="000000"/>
                <w:kern w:val="0"/>
                <w:sz w:val="24"/>
                <w:szCs w:val="24"/>
              </w:rPr>
              <w:drawing>
                <wp:inline distT="0" distB="0" distL="114300" distR="114300">
                  <wp:extent cx="1076325" cy="1076325"/>
                  <wp:effectExtent l="0" t="0" r="9525" b="9525"/>
                  <wp:docPr id="72" name="图片 233"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233" descr="IMG_263"/>
                          <pic:cNvPicPr>
                            <a:picLocks noChangeAspect="1"/>
                          </pic:cNvPicPr>
                        </pic:nvPicPr>
                        <pic:blipFill>
                          <a:blip r:embed="rId30"/>
                          <a:stretch>
                            <a:fillRect/>
                          </a:stretch>
                        </pic:blipFill>
                        <pic:spPr>
                          <a:xfrm>
                            <a:off x="0" y="0"/>
                            <a:ext cx="1076325" cy="1076325"/>
                          </a:xfrm>
                          <a:prstGeom prst="rect">
                            <a:avLst/>
                          </a:prstGeom>
                          <a:noFill/>
                          <a:ln w="9525">
                            <a:noFill/>
                          </a:ln>
                        </pic:spPr>
                      </pic:pic>
                    </a:graphicData>
                  </a:graphic>
                </wp:inline>
              </w:drawing>
            </w:r>
          </w:p>
        </w:tc>
        <w:tc>
          <w:tcPr>
            <w:tcW w:w="251" w:type="pct"/>
            <w:shd w:val="clear" w:color="auto" w:fill="auto"/>
            <w:noWrap/>
            <w:vAlign w:val="center"/>
          </w:tcPr>
          <w:p w14:paraId="73961970">
            <w:pPr>
              <w:rPr>
                <w:rFonts w:ascii="宋体" w:hAnsi="宋体" w:cs="宋体"/>
                <w:color w:val="000000"/>
                <w:sz w:val="24"/>
                <w:szCs w:val="24"/>
              </w:rPr>
            </w:pPr>
          </w:p>
        </w:tc>
      </w:tr>
      <w:tr w14:paraId="345E7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0" w:hRule="atLeast"/>
        </w:trPr>
        <w:tc>
          <w:tcPr>
            <w:tcW w:w="241" w:type="pct"/>
            <w:shd w:val="clear" w:color="auto" w:fill="auto"/>
            <w:vAlign w:val="center"/>
          </w:tcPr>
          <w:p w14:paraId="17E01231">
            <w:pPr>
              <w:widowControl/>
              <w:jc w:val="center"/>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4"/>
                <w:szCs w:val="24"/>
                <w:lang w:bidi="ar"/>
              </w:rPr>
              <w:t>2</w:t>
            </w:r>
            <w:r>
              <w:rPr>
                <w:rFonts w:hint="eastAsia" w:ascii="宋体" w:hAnsi="宋体" w:cs="宋体"/>
                <w:color w:val="000000"/>
                <w:kern w:val="0"/>
                <w:sz w:val="24"/>
                <w:szCs w:val="24"/>
                <w:lang w:val="en-US" w:eastAsia="zh-CN" w:bidi="ar"/>
              </w:rPr>
              <w:t>6</w:t>
            </w:r>
          </w:p>
        </w:tc>
        <w:tc>
          <w:tcPr>
            <w:tcW w:w="430" w:type="pct"/>
            <w:shd w:val="clear" w:color="auto" w:fill="auto"/>
            <w:vAlign w:val="center"/>
          </w:tcPr>
          <w:p w14:paraId="4F814C73">
            <w:pPr>
              <w:widowControl/>
              <w:jc w:val="center"/>
              <w:textAlignment w:val="center"/>
              <w:rPr>
                <w:rFonts w:ascii="宋体" w:hAnsi="宋体" w:cs="宋体"/>
                <w:color w:val="000000"/>
                <w:sz w:val="24"/>
                <w:szCs w:val="24"/>
                <w:highlight w:val="yellow"/>
              </w:rPr>
            </w:pPr>
            <w:r>
              <w:rPr>
                <w:rFonts w:hint="eastAsia" w:ascii="宋体" w:hAnsi="宋体" w:cs="宋体"/>
                <w:color w:val="000000"/>
                <w:kern w:val="0"/>
                <w:sz w:val="24"/>
                <w:szCs w:val="24"/>
                <w:lang w:bidi="ar"/>
              </w:rPr>
              <w:t>电子称</w:t>
            </w:r>
          </w:p>
        </w:tc>
        <w:tc>
          <w:tcPr>
            <w:tcW w:w="2861" w:type="pct"/>
            <w:shd w:val="clear" w:color="auto" w:fill="auto"/>
            <w:vAlign w:val="center"/>
          </w:tcPr>
          <w:p w14:paraId="5826162D">
            <w:pPr>
              <w:widowControl/>
              <w:jc w:val="left"/>
              <w:textAlignment w:val="center"/>
              <w:rPr>
                <w:rFonts w:ascii="宋体" w:hAnsi="宋体" w:cs="宋体"/>
                <w:color w:val="000000"/>
                <w:sz w:val="24"/>
                <w:szCs w:val="24"/>
                <w:highlight w:val="yellow"/>
              </w:rPr>
            </w:pPr>
            <w:r>
              <w:rPr>
                <w:rFonts w:hint="eastAsia" w:ascii="宋体" w:hAnsi="宋体" w:cs="宋体"/>
                <w:color w:val="000000"/>
                <w:kern w:val="0"/>
                <w:sz w:val="24"/>
                <w:szCs w:val="24"/>
                <w:lang w:bidi="ar"/>
              </w:rPr>
              <w:t>1、厨房电子称，材质：不锈钢拉丝</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2、规格：18*14*1.7cm，电子显示，精准方便。</w:t>
            </w:r>
          </w:p>
        </w:tc>
        <w:tc>
          <w:tcPr>
            <w:tcW w:w="256" w:type="pct"/>
            <w:shd w:val="clear" w:color="auto" w:fill="auto"/>
            <w:vAlign w:val="center"/>
          </w:tcPr>
          <w:p w14:paraId="0D9E345C">
            <w:pPr>
              <w:widowControl/>
              <w:jc w:val="center"/>
              <w:textAlignment w:val="center"/>
              <w:rPr>
                <w:rFonts w:ascii="宋体" w:hAnsi="宋体" w:cs="宋体"/>
                <w:color w:val="000000"/>
                <w:sz w:val="24"/>
                <w:szCs w:val="24"/>
                <w:highlight w:val="yellow"/>
              </w:rPr>
            </w:pPr>
            <w:r>
              <w:rPr>
                <w:rFonts w:hint="eastAsia" w:ascii="宋体" w:hAnsi="宋体" w:cs="宋体"/>
                <w:color w:val="000000"/>
                <w:kern w:val="0"/>
                <w:sz w:val="24"/>
                <w:szCs w:val="24"/>
                <w:lang w:bidi="ar"/>
              </w:rPr>
              <w:t>6</w:t>
            </w:r>
          </w:p>
        </w:tc>
        <w:tc>
          <w:tcPr>
            <w:tcW w:w="311" w:type="pct"/>
            <w:shd w:val="clear" w:color="auto" w:fill="auto"/>
            <w:noWrap/>
            <w:vAlign w:val="center"/>
          </w:tcPr>
          <w:p w14:paraId="3E49FE6C">
            <w:pPr>
              <w:widowControl/>
              <w:jc w:val="center"/>
              <w:textAlignment w:val="center"/>
              <w:rPr>
                <w:rFonts w:ascii="宋体" w:hAnsi="宋体" w:cs="宋体"/>
                <w:color w:val="000000"/>
                <w:sz w:val="24"/>
                <w:szCs w:val="24"/>
                <w:highlight w:val="yellow"/>
              </w:rPr>
            </w:pPr>
            <w:r>
              <w:rPr>
                <w:rFonts w:hint="eastAsia" w:ascii="宋体" w:hAnsi="宋体" w:cs="宋体"/>
                <w:color w:val="000000"/>
                <w:kern w:val="0"/>
                <w:sz w:val="24"/>
                <w:szCs w:val="24"/>
                <w:lang w:bidi="ar"/>
              </w:rPr>
              <w:t>台</w:t>
            </w:r>
          </w:p>
        </w:tc>
        <w:tc>
          <w:tcPr>
            <w:tcW w:w="647" w:type="pct"/>
            <w:shd w:val="clear" w:color="auto" w:fill="auto"/>
            <w:vAlign w:val="center"/>
          </w:tcPr>
          <w:p w14:paraId="69569098">
            <w:pPr>
              <w:widowControl/>
              <w:jc w:val="center"/>
              <w:textAlignment w:val="center"/>
              <w:rPr>
                <w:rFonts w:ascii="宋体" w:hAnsi="宋体" w:cs="宋体"/>
                <w:color w:val="000000"/>
                <w:sz w:val="24"/>
                <w:szCs w:val="24"/>
                <w:highlight w:val="yellow"/>
              </w:rPr>
            </w:pPr>
            <w:r>
              <w:rPr>
                <w:rFonts w:hint="eastAsia" w:ascii="宋体" w:hAnsi="宋体" w:cs="宋体"/>
                <w:color w:val="000000"/>
                <w:kern w:val="0"/>
                <w:sz w:val="24"/>
                <w:szCs w:val="24"/>
                <w:bdr w:val="single" w:color="000000" w:sz="4" w:space="0"/>
              </w:rPr>
              <w:drawing>
                <wp:anchor distT="0" distB="0" distL="114300" distR="114300" simplePos="0" relativeHeight="251679744" behindDoc="0" locked="0" layoutInCell="1" allowOverlap="1">
                  <wp:simplePos x="0" y="0"/>
                  <wp:positionH relativeFrom="column">
                    <wp:posOffset>211455</wp:posOffset>
                  </wp:positionH>
                  <wp:positionV relativeFrom="paragraph">
                    <wp:posOffset>25400</wp:posOffset>
                  </wp:positionV>
                  <wp:extent cx="832485" cy="657225"/>
                  <wp:effectExtent l="0" t="0" r="5715" b="9525"/>
                  <wp:wrapNone/>
                  <wp:docPr id="73" name="ID_B285ADA3E3C54D7D9EB119FAE5B7E79F"/>
                  <wp:cNvGraphicFramePr/>
                  <a:graphic xmlns:a="http://schemas.openxmlformats.org/drawingml/2006/main">
                    <a:graphicData uri="http://schemas.openxmlformats.org/drawingml/2006/picture">
                      <pic:pic xmlns:pic="http://schemas.openxmlformats.org/drawingml/2006/picture">
                        <pic:nvPicPr>
                          <pic:cNvPr id="73" name="ID_B285ADA3E3C54D7D9EB119FAE5B7E79F"/>
                          <pic:cNvPicPr/>
                        </pic:nvPicPr>
                        <pic:blipFill>
                          <a:blip r:embed="rId31"/>
                          <a:stretch>
                            <a:fillRect/>
                          </a:stretch>
                        </pic:blipFill>
                        <pic:spPr>
                          <a:xfrm>
                            <a:off x="0" y="0"/>
                            <a:ext cx="832485" cy="657225"/>
                          </a:xfrm>
                          <a:prstGeom prst="rect">
                            <a:avLst/>
                          </a:prstGeom>
                          <a:noFill/>
                          <a:ln>
                            <a:noFill/>
                          </a:ln>
                        </pic:spPr>
                      </pic:pic>
                    </a:graphicData>
                  </a:graphic>
                </wp:anchor>
              </w:drawing>
            </w:r>
          </w:p>
        </w:tc>
        <w:tc>
          <w:tcPr>
            <w:tcW w:w="251" w:type="pct"/>
            <w:shd w:val="clear" w:color="auto" w:fill="auto"/>
            <w:noWrap/>
            <w:vAlign w:val="center"/>
          </w:tcPr>
          <w:p w14:paraId="0FC139A0">
            <w:pPr>
              <w:rPr>
                <w:rFonts w:ascii="宋体" w:hAnsi="宋体" w:cs="宋体"/>
                <w:color w:val="000000"/>
                <w:sz w:val="24"/>
                <w:szCs w:val="24"/>
              </w:rPr>
            </w:pPr>
          </w:p>
        </w:tc>
      </w:tr>
      <w:tr w14:paraId="10C41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0" w:hRule="atLeast"/>
        </w:trPr>
        <w:tc>
          <w:tcPr>
            <w:tcW w:w="4100" w:type="pct"/>
            <w:gridSpan w:val="5"/>
            <w:shd w:val="clear" w:color="auto" w:fill="auto"/>
            <w:vAlign w:val="center"/>
          </w:tcPr>
          <w:p w14:paraId="206CE3B2">
            <w:pPr>
              <w:jc w:val="center"/>
              <w:rPr>
                <w:rFonts w:ascii="宋体" w:hAnsi="宋体" w:cs="宋体"/>
                <w:color w:val="000000"/>
                <w:sz w:val="24"/>
                <w:szCs w:val="24"/>
              </w:rPr>
            </w:pPr>
            <w:r>
              <w:rPr>
                <w:rFonts w:hint="eastAsia" w:ascii="宋体" w:hAnsi="宋体" w:cs="宋体"/>
                <w:b/>
                <w:bCs/>
                <w:color w:val="000000"/>
                <w:kern w:val="0"/>
                <w:sz w:val="24"/>
                <w:szCs w:val="24"/>
                <w:lang w:bidi="ar"/>
              </w:rPr>
              <w:t>3D打印设备及材料</w:t>
            </w:r>
          </w:p>
        </w:tc>
        <w:tc>
          <w:tcPr>
            <w:tcW w:w="647" w:type="pct"/>
            <w:shd w:val="clear" w:color="auto" w:fill="auto"/>
            <w:vAlign w:val="center"/>
          </w:tcPr>
          <w:p w14:paraId="46CBDBBB">
            <w:pPr>
              <w:widowControl/>
              <w:jc w:val="center"/>
              <w:textAlignment w:val="center"/>
              <w:rPr>
                <w:rFonts w:ascii="宋体" w:hAnsi="宋体" w:cs="宋体"/>
                <w:color w:val="000000"/>
                <w:sz w:val="24"/>
                <w:szCs w:val="24"/>
              </w:rPr>
            </w:pPr>
          </w:p>
        </w:tc>
        <w:tc>
          <w:tcPr>
            <w:tcW w:w="251" w:type="pct"/>
            <w:shd w:val="clear" w:color="auto" w:fill="auto"/>
            <w:noWrap/>
            <w:vAlign w:val="center"/>
          </w:tcPr>
          <w:p w14:paraId="58AE0E1A">
            <w:pPr>
              <w:rPr>
                <w:rFonts w:ascii="宋体" w:hAnsi="宋体" w:cs="宋体"/>
                <w:color w:val="000000"/>
                <w:sz w:val="24"/>
                <w:szCs w:val="24"/>
              </w:rPr>
            </w:pPr>
          </w:p>
        </w:tc>
      </w:tr>
      <w:tr w14:paraId="7D564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0" w:hRule="atLeast"/>
        </w:trPr>
        <w:tc>
          <w:tcPr>
            <w:tcW w:w="241" w:type="pct"/>
            <w:shd w:val="clear" w:color="auto" w:fill="auto"/>
            <w:vAlign w:val="center"/>
          </w:tcPr>
          <w:p w14:paraId="1B8AE308">
            <w:pPr>
              <w:widowControl/>
              <w:jc w:val="center"/>
              <w:textAlignment w:val="center"/>
              <w:rPr>
                <w:rFonts w:hint="default" w:ascii="宋体" w:hAnsi="宋体" w:eastAsia="宋体" w:cs="宋体"/>
                <w:color w:val="000000"/>
                <w:sz w:val="24"/>
                <w:szCs w:val="24"/>
                <w:lang w:val="en-US" w:eastAsia="zh-CN"/>
              </w:rPr>
            </w:pPr>
            <w:r>
              <w:rPr>
                <w:rFonts w:hint="eastAsia" w:ascii="宋体" w:hAnsi="宋体" w:cs="宋体"/>
                <w:color w:val="000000"/>
                <w:kern w:val="0"/>
                <w:sz w:val="24"/>
                <w:szCs w:val="24"/>
                <w:lang w:val="en-US" w:eastAsia="zh-CN" w:bidi="ar"/>
              </w:rPr>
              <w:t>1</w:t>
            </w:r>
          </w:p>
        </w:tc>
        <w:tc>
          <w:tcPr>
            <w:tcW w:w="430" w:type="pct"/>
            <w:shd w:val="clear" w:color="auto" w:fill="auto"/>
            <w:vAlign w:val="center"/>
          </w:tcPr>
          <w:p w14:paraId="34F4AC01">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3D打印机</w:t>
            </w:r>
          </w:p>
        </w:tc>
        <w:tc>
          <w:tcPr>
            <w:tcW w:w="2861" w:type="pct"/>
            <w:shd w:val="clear" w:color="auto" w:fill="auto"/>
            <w:vAlign w:val="center"/>
          </w:tcPr>
          <w:p w14:paraId="21ED7C40">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val="en-US" w:eastAsia="zh-CN" w:bidi="ar"/>
              </w:rPr>
              <w:t>1</w:t>
            </w:r>
            <w:r>
              <w:rPr>
                <w:rFonts w:hint="eastAsia" w:ascii="宋体" w:hAnsi="宋体" w:cs="宋体"/>
                <w:color w:val="000000"/>
                <w:kern w:val="0"/>
                <w:sz w:val="24"/>
                <w:szCs w:val="24"/>
                <w:lang w:bidi="ar"/>
              </w:rPr>
              <w:t>、功率：310w</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2</w:t>
            </w:r>
            <w:r>
              <w:rPr>
                <w:rFonts w:hint="eastAsia" w:ascii="宋体" w:hAnsi="宋体" w:cs="宋体"/>
                <w:color w:val="000000"/>
                <w:kern w:val="0"/>
                <w:sz w:val="24"/>
                <w:szCs w:val="24"/>
                <w:lang w:bidi="ar"/>
              </w:rPr>
              <w:t>、打印速度：500mm/S</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val="en-US" w:eastAsia="zh-CN" w:bidi="ar"/>
              </w:rPr>
              <w:t>3</w:t>
            </w:r>
            <w:r>
              <w:rPr>
                <w:rFonts w:hint="eastAsia" w:ascii="宋体" w:hAnsi="宋体" w:cs="宋体"/>
                <w:color w:val="000000"/>
                <w:kern w:val="0"/>
                <w:sz w:val="24"/>
                <w:szCs w:val="24"/>
                <w:lang w:bidi="ar"/>
              </w:rPr>
              <w:t>、喉管材质：纯铜+钛合金</w:t>
            </w:r>
          </w:p>
        </w:tc>
        <w:tc>
          <w:tcPr>
            <w:tcW w:w="256" w:type="pct"/>
            <w:shd w:val="clear" w:color="auto" w:fill="auto"/>
            <w:noWrap/>
            <w:vAlign w:val="center"/>
          </w:tcPr>
          <w:p w14:paraId="5A6100C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2</w:t>
            </w:r>
          </w:p>
        </w:tc>
        <w:tc>
          <w:tcPr>
            <w:tcW w:w="311" w:type="pct"/>
            <w:shd w:val="clear" w:color="auto" w:fill="auto"/>
            <w:vAlign w:val="center"/>
          </w:tcPr>
          <w:p w14:paraId="5B21B4E4">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块</w:t>
            </w:r>
          </w:p>
        </w:tc>
        <w:tc>
          <w:tcPr>
            <w:tcW w:w="647" w:type="pct"/>
            <w:shd w:val="clear" w:color="auto" w:fill="auto"/>
            <w:noWrap/>
            <w:vAlign w:val="center"/>
          </w:tcPr>
          <w:p w14:paraId="682F4D8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80768" behindDoc="0" locked="0" layoutInCell="1" allowOverlap="1">
                  <wp:simplePos x="0" y="0"/>
                  <wp:positionH relativeFrom="column">
                    <wp:posOffset>389890</wp:posOffset>
                  </wp:positionH>
                  <wp:positionV relativeFrom="paragraph">
                    <wp:posOffset>-66040</wp:posOffset>
                  </wp:positionV>
                  <wp:extent cx="346710" cy="770255"/>
                  <wp:effectExtent l="0" t="0" r="15240" b="10795"/>
                  <wp:wrapNone/>
                  <wp:docPr id="74" name="ID_E08929B97D8344EFA7A85F0DCAE5584F"/>
                  <wp:cNvGraphicFramePr/>
                  <a:graphic xmlns:a="http://schemas.openxmlformats.org/drawingml/2006/main">
                    <a:graphicData uri="http://schemas.openxmlformats.org/drawingml/2006/picture">
                      <pic:pic xmlns:pic="http://schemas.openxmlformats.org/drawingml/2006/picture">
                        <pic:nvPicPr>
                          <pic:cNvPr id="74" name="ID_E08929B97D8344EFA7A85F0DCAE5584F"/>
                          <pic:cNvPicPr/>
                        </pic:nvPicPr>
                        <pic:blipFill>
                          <a:blip r:embed="rId32"/>
                          <a:stretch>
                            <a:fillRect/>
                          </a:stretch>
                        </pic:blipFill>
                        <pic:spPr>
                          <a:xfrm>
                            <a:off x="0" y="0"/>
                            <a:ext cx="346710" cy="770255"/>
                          </a:xfrm>
                          <a:prstGeom prst="rect">
                            <a:avLst/>
                          </a:prstGeom>
                          <a:noFill/>
                          <a:ln>
                            <a:noFill/>
                          </a:ln>
                        </pic:spPr>
                      </pic:pic>
                    </a:graphicData>
                  </a:graphic>
                </wp:anchor>
              </w:drawing>
            </w:r>
          </w:p>
        </w:tc>
        <w:tc>
          <w:tcPr>
            <w:tcW w:w="251" w:type="pct"/>
            <w:shd w:val="clear" w:color="auto" w:fill="auto"/>
            <w:noWrap/>
            <w:vAlign w:val="center"/>
          </w:tcPr>
          <w:p w14:paraId="0075EDD7">
            <w:pPr>
              <w:rPr>
                <w:rFonts w:ascii="宋体" w:hAnsi="宋体" w:cs="宋体"/>
                <w:color w:val="000000"/>
                <w:sz w:val="24"/>
                <w:szCs w:val="24"/>
              </w:rPr>
            </w:pPr>
          </w:p>
        </w:tc>
      </w:tr>
      <w:tr w14:paraId="73950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5" w:hRule="atLeast"/>
        </w:trPr>
        <w:tc>
          <w:tcPr>
            <w:tcW w:w="241" w:type="pct"/>
            <w:shd w:val="clear" w:color="auto" w:fill="auto"/>
            <w:vAlign w:val="center"/>
          </w:tcPr>
          <w:p w14:paraId="42CDD4B6">
            <w:pPr>
              <w:widowControl/>
              <w:jc w:val="center"/>
              <w:textAlignment w:val="center"/>
              <w:rPr>
                <w:rFonts w:hint="default" w:ascii="宋体" w:hAnsi="宋体" w:eastAsia="宋体" w:cs="宋体"/>
                <w:color w:val="000000"/>
                <w:sz w:val="24"/>
                <w:szCs w:val="24"/>
                <w:lang w:val="en-US" w:eastAsia="zh-CN"/>
              </w:rPr>
            </w:pPr>
            <w:r>
              <w:rPr>
                <w:rFonts w:hint="eastAsia" w:ascii="宋体" w:hAnsi="宋体" w:cs="宋体"/>
                <w:color w:val="000000"/>
                <w:sz w:val="24"/>
                <w:szCs w:val="24"/>
                <w:lang w:val="en-US" w:eastAsia="zh-CN"/>
              </w:rPr>
              <w:t>2</w:t>
            </w:r>
          </w:p>
        </w:tc>
        <w:tc>
          <w:tcPr>
            <w:tcW w:w="430" w:type="pct"/>
            <w:shd w:val="clear" w:color="auto" w:fill="auto"/>
            <w:vAlign w:val="center"/>
          </w:tcPr>
          <w:p w14:paraId="4A7B56D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耗材</w:t>
            </w:r>
          </w:p>
        </w:tc>
        <w:tc>
          <w:tcPr>
            <w:tcW w:w="2861" w:type="pct"/>
            <w:shd w:val="clear" w:color="auto" w:fill="auto"/>
            <w:vAlign w:val="center"/>
          </w:tcPr>
          <w:p w14:paraId="318C3139">
            <w:pPr>
              <w:widowControl/>
              <w:jc w:val="left"/>
              <w:textAlignment w:val="center"/>
              <w:rPr>
                <w:rFonts w:ascii="宋体" w:hAnsi="宋体" w:cs="宋体"/>
                <w:color w:val="000000"/>
                <w:sz w:val="24"/>
                <w:szCs w:val="24"/>
              </w:rPr>
            </w:pPr>
            <w:r>
              <w:rPr>
                <w:rFonts w:hint="eastAsia" w:ascii="宋体" w:hAnsi="宋体" w:cs="宋体"/>
                <w:color w:val="000000"/>
                <w:kern w:val="0"/>
                <w:sz w:val="24"/>
                <w:szCs w:val="24"/>
                <w:lang w:bidi="ar"/>
              </w:rPr>
              <w:t>1、规格：1000g</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2、材质：PLA</w:t>
            </w:r>
            <w:r>
              <w:rPr>
                <w:rFonts w:hint="eastAsia" w:ascii="宋体" w:hAnsi="宋体" w:cs="宋体"/>
                <w:color w:val="000000"/>
                <w:kern w:val="0"/>
                <w:sz w:val="24"/>
                <w:szCs w:val="24"/>
                <w:lang w:bidi="ar"/>
              </w:rPr>
              <w:br w:type="textWrapping"/>
            </w:r>
            <w:r>
              <w:rPr>
                <w:rFonts w:hint="eastAsia" w:ascii="宋体" w:hAnsi="宋体" w:cs="宋体"/>
                <w:color w:val="000000"/>
                <w:kern w:val="0"/>
                <w:sz w:val="24"/>
                <w:szCs w:val="24"/>
                <w:lang w:bidi="ar"/>
              </w:rPr>
              <w:t>3、弯曲强度：91MPA</w:t>
            </w:r>
          </w:p>
        </w:tc>
        <w:tc>
          <w:tcPr>
            <w:tcW w:w="256" w:type="pct"/>
            <w:shd w:val="clear" w:color="auto" w:fill="auto"/>
            <w:noWrap/>
            <w:vAlign w:val="center"/>
          </w:tcPr>
          <w:p w14:paraId="53B65232">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14</w:t>
            </w:r>
          </w:p>
        </w:tc>
        <w:tc>
          <w:tcPr>
            <w:tcW w:w="311" w:type="pct"/>
            <w:shd w:val="clear" w:color="auto" w:fill="auto"/>
            <w:vAlign w:val="center"/>
          </w:tcPr>
          <w:p w14:paraId="4F0184EF">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个</w:t>
            </w:r>
          </w:p>
        </w:tc>
        <w:tc>
          <w:tcPr>
            <w:tcW w:w="647" w:type="pct"/>
            <w:shd w:val="clear" w:color="auto" w:fill="auto"/>
            <w:noWrap/>
            <w:vAlign w:val="center"/>
          </w:tcPr>
          <w:p w14:paraId="774220DB">
            <w:pPr>
              <w:rPr>
                <w:rFonts w:ascii="宋体" w:hAnsi="宋体" w:cs="宋体"/>
                <w:color w:val="000000"/>
                <w:sz w:val="24"/>
                <w:szCs w:val="24"/>
              </w:rPr>
            </w:pPr>
            <w:r>
              <w:rPr>
                <w:rFonts w:hint="eastAsia" w:ascii="宋体" w:hAnsi="宋体" w:cs="宋体"/>
                <w:color w:val="000000"/>
                <w:kern w:val="0"/>
                <w:sz w:val="24"/>
                <w:szCs w:val="24"/>
                <w:bdr w:val="single" w:color="000000" w:sz="4" w:space="0"/>
              </w:rPr>
              <w:drawing>
                <wp:anchor distT="0" distB="0" distL="114300" distR="114300" simplePos="0" relativeHeight="251681792" behindDoc="0" locked="0" layoutInCell="1" allowOverlap="1">
                  <wp:simplePos x="0" y="0"/>
                  <wp:positionH relativeFrom="column">
                    <wp:posOffset>266700</wp:posOffset>
                  </wp:positionH>
                  <wp:positionV relativeFrom="paragraph">
                    <wp:posOffset>177165</wp:posOffset>
                  </wp:positionV>
                  <wp:extent cx="638810" cy="714375"/>
                  <wp:effectExtent l="0" t="0" r="8890" b="9525"/>
                  <wp:wrapNone/>
                  <wp:docPr id="75" name="ID_8C49216096F74D95967DA3C23EDCED91"/>
                  <wp:cNvGraphicFramePr/>
                  <a:graphic xmlns:a="http://schemas.openxmlformats.org/drawingml/2006/main">
                    <a:graphicData uri="http://schemas.openxmlformats.org/drawingml/2006/picture">
                      <pic:pic xmlns:pic="http://schemas.openxmlformats.org/drawingml/2006/picture">
                        <pic:nvPicPr>
                          <pic:cNvPr id="75" name="ID_8C49216096F74D95967DA3C23EDCED91"/>
                          <pic:cNvPicPr/>
                        </pic:nvPicPr>
                        <pic:blipFill>
                          <a:blip r:embed="rId33"/>
                          <a:stretch>
                            <a:fillRect/>
                          </a:stretch>
                        </pic:blipFill>
                        <pic:spPr>
                          <a:xfrm>
                            <a:off x="0" y="0"/>
                            <a:ext cx="638810" cy="714375"/>
                          </a:xfrm>
                          <a:prstGeom prst="rect">
                            <a:avLst/>
                          </a:prstGeom>
                          <a:noFill/>
                          <a:ln>
                            <a:noFill/>
                          </a:ln>
                        </pic:spPr>
                      </pic:pic>
                    </a:graphicData>
                  </a:graphic>
                </wp:anchor>
              </w:drawing>
            </w:r>
          </w:p>
        </w:tc>
        <w:tc>
          <w:tcPr>
            <w:tcW w:w="251" w:type="pct"/>
            <w:shd w:val="clear" w:color="auto" w:fill="auto"/>
            <w:noWrap/>
            <w:vAlign w:val="center"/>
          </w:tcPr>
          <w:p w14:paraId="5A60DAED">
            <w:pPr>
              <w:rPr>
                <w:rFonts w:ascii="宋体" w:hAnsi="宋体" w:cs="宋体"/>
                <w:color w:val="000000"/>
                <w:sz w:val="24"/>
                <w:szCs w:val="24"/>
              </w:rPr>
            </w:pPr>
          </w:p>
        </w:tc>
      </w:tr>
    </w:tbl>
    <w:p w14:paraId="53733D42">
      <w:pPr>
        <w:spacing w:line="460" w:lineRule="exact"/>
        <w:rPr>
          <w:rFonts w:hint="eastAsia" w:ascii="宋体" w:hAnsi="宋体" w:cs="宋体"/>
          <w:sz w:val="24"/>
          <w:szCs w:val="24"/>
        </w:rPr>
      </w:pPr>
    </w:p>
    <w:p w14:paraId="5937D3CB">
      <w:pPr>
        <w:widowControl/>
        <w:adjustRightInd w:val="0"/>
        <w:snapToGrid w:val="0"/>
        <w:spacing w:line="360" w:lineRule="auto"/>
        <w:ind w:firstLine="482" w:firstLineChars="200"/>
        <w:rPr>
          <w:rFonts w:ascii="宋体" w:hAnsi="宋体" w:cs="宋体"/>
          <w:sz w:val="24"/>
          <w:szCs w:val="24"/>
        </w:rPr>
      </w:pPr>
      <w:r>
        <w:rPr>
          <w:rFonts w:hint="eastAsia" w:ascii="宋体" w:hAnsi="宋体" w:cs="宋体"/>
          <w:b/>
          <w:bCs/>
          <w:sz w:val="24"/>
          <w:szCs w:val="24"/>
        </w:rPr>
        <w:t>1、技术说明：（1）以上所有技术规格参数未列明：“大于、小于”的数字参数及区间指标和未列明“不低于、优于”的产品技术要求均为按照产品所在行业理解提出的对本项目采购的产品技术参数指标和产品性能档次的最低要求，投标人所供产品需完全满足或优于招标文件本章“技术规格”。（2）投标人所提交材料须为真实有效，如提供虚假材料应标，一经发现则按相关规定处理。</w:t>
      </w:r>
    </w:p>
    <w:p w14:paraId="3B1BD959">
      <w:pPr>
        <w:pStyle w:val="4"/>
        <w:adjustRightInd w:val="0"/>
        <w:snapToGrid w:val="0"/>
        <w:spacing w:after="0" w:line="360" w:lineRule="auto"/>
        <w:ind w:firstLine="240"/>
        <w:rPr>
          <w:rFonts w:ascii="宋体" w:hAnsi="宋体" w:cs="宋体"/>
          <w:sz w:val="24"/>
          <w:szCs w:val="24"/>
        </w:rPr>
      </w:pPr>
      <w:r>
        <w:rPr>
          <w:rFonts w:hint="eastAsia" w:ascii="宋体" w:hAnsi="宋体" w:cs="宋体"/>
          <w:sz w:val="24"/>
          <w:szCs w:val="24"/>
        </w:rPr>
        <w:t>2、其他要求：</w:t>
      </w:r>
    </w:p>
    <w:p w14:paraId="26486A6C">
      <w:pPr>
        <w:keepNext w:val="0"/>
        <w:keepLines w:val="0"/>
        <w:pageBreakBefore w:val="0"/>
        <w:widowControl w:val="0"/>
        <w:kinsoku/>
        <w:wordWrap/>
        <w:overflowPunct/>
        <w:topLinePunct w:val="0"/>
        <w:autoSpaceDE/>
        <w:autoSpaceDN/>
        <w:bidi w:val="0"/>
        <w:adjustRightInd w:val="0"/>
        <w:snapToGrid w:val="0"/>
        <w:spacing w:line="520" w:lineRule="exact"/>
        <w:ind w:firstLine="480" w:firstLineChars="200"/>
        <w:textAlignment w:val="auto"/>
        <w:rPr>
          <w:rFonts w:ascii="宋体" w:hAnsi="宋体" w:cs="宋体"/>
          <w:sz w:val="24"/>
          <w:szCs w:val="24"/>
        </w:rPr>
      </w:pPr>
      <w:r>
        <w:rPr>
          <w:rFonts w:hint="eastAsia" w:ascii="宋体" w:hAnsi="宋体" w:cs="宋体"/>
          <w:sz w:val="24"/>
          <w:szCs w:val="24"/>
          <w:lang w:val="en-US" w:eastAsia="zh-CN"/>
        </w:rPr>
        <w:t>2.1</w:t>
      </w:r>
      <w:r>
        <w:rPr>
          <w:rFonts w:hint="eastAsia" w:ascii="宋体" w:hAnsi="宋体" w:cs="宋体"/>
          <w:sz w:val="24"/>
          <w:szCs w:val="24"/>
        </w:rPr>
        <w:t>所有消毒柜设备基本规范符合GB 17988-2008《食具消毒柜安全和卫生要求》标准。</w:t>
      </w:r>
    </w:p>
    <w:p w14:paraId="3089FA81">
      <w:pPr>
        <w:keepNext w:val="0"/>
        <w:keepLines w:val="0"/>
        <w:pageBreakBefore w:val="0"/>
        <w:widowControl w:val="0"/>
        <w:kinsoku/>
        <w:wordWrap/>
        <w:overflowPunct/>
        <w:topLinePunct w:val="0"/>
        <w:autoSpaceDE/>
        <w:autoSpaceDN/>
        <w:bidi w:val="0"/>
        <w:adjustRightInd w:val="0"/>
        <w:snapToGrid w:val="0"/>
        <w:spacing w:line="520" w:lineRule="exact"/>
        <w:ind w:firstLine="480" w:firstLineChars="200"/>
        <w:textAlignment w:val="auto"/>
        <w:rPr>
          <w:rFonts w:hint="eastAsia" w:ascii="宋体" w:hAnsi="宋体" w:eastAsia="宋体" w:cs="宋体"/>
          <w:sz w:val="24"/>
          <w:szCs w:val="24"/>
          <w:lang w:eastAsia="zh-CN"/>
        </w:rPr>
      </w:pPr>
      <w:r>
        <w:rPr>
          <w:rFonts w:hint="eastAsia" w:ascii="宋体" w:hAnsi="宋体" w:cs="宋体"/>
          <w:sz w:val="24"/>
          <w:szCs w:val="24"/>
          <w:lang w:val="en-US" w:eastAsia="zh-CN"/>
        </w:rPr>
        <w:t>2.</w:t>
      </w:r>
      <w:r>
        <w:rPr>
          <w:rFonts w:hint="eastAsia" w:ascii="宋体" w:hAnsi="宋体" w:cs="宋体"/>
          <w:sz w:val="24"/>
          <w:szCs w:val="24"/>
        </w:rPr>
        <w:t>2饮水机：达到GB34914-2021《净水机水效限定值及水效等级》标准；</w:t>
      </w:r>
      <w:r>
        <w:rPr>
          <w:rFonts w:hint="eastAsia" w:ascii="宋体" w:hAnsi="宋体" w:cs="宋体"/>
          <w:sz w:val="24"/>
          <w:szCs w:val="24"/>
          <w:lang w:val="en-US" w:eastAsia="zh-CN"/>
        </w:rPr>
        <w:t>供货时提供</w:t>
      </w:r>
      <w:r>
        <w:rPr>
          <w:rFonts w:hint="eastAsia" w:ascii="宋体" w:hAnsi="宋体" w:cs="宋体"/>
          <w:sz w:val="24"/>
          <w:szCs w:val="24"/>
        </w:rPr>
        <w:t>《涉及饮用水卫生安全产品卫生许可批件》</w:t>
      </w:r>
      <w:r>
        <w:rPr>
          <w:rFonts w:hint="eastAsia" w:ascii="宋体" w:hAnsi="宋体" w:cs="宋体"/>
          <w:sz w:val="24"/>
          <w:szCs w:val="24"/>
          <w:lang w:eastAsia="zh-CN"/>
        </w:rPr>
        <w:t>。</w:t>
      </w:r>
    </w:p>
    <w:p w14:paraId="6DA8569A">
      <w:pPr>
        <w:keepNext w:val="0"/>
        <w:keepLines w:val="0"/>
        <w:pageBreakBefore w:val="0"/>
        <w:widowControl w:val="0"/>
        <w:kinsoku/>
        <w:wordWrap/>
        <w:overflowPunct/>
        <w:topLinePunct w:val="0"/>
        <w:autoSpaceDE/>
        <w:autoSpaceDN/>
        <w:bidi w:val="0"/>
        <w:adjustRightInd w:val="0"/>
        <w:snapToGrid w:val="0"/>
        <w:spacing w:line="520" w:lineRule="exact"/>
        <w:ind w:firstLine="480" w:firstLineChars="200"/>
        <w:textAlignment w:val="auto"/>
        <w:rPr>
          <w:rFonts w:ascii="宋体" w:hAnsi="宋体" w:cs="宋体"/>
          <w:sz w:val="24"/>
          <w:szCs w:val="24"/>
        </w:rPr>
      </w:pPr>
      <w:r>
        <w:rPr>
          <w:rFonts w:hint="eastAsia" w:ascii="宋体" w:hAnsi="宋体" w:cs="宋体"/>
          <w:sz w:val="24"/>
          <w:szCs w:val="24"/>
        </w:rPr>
        <w:t>饮水机涉水部件：符合 GB/T 5750-2006《生活饮用水标准检验方法 》；</w:t>
      </w:r>
    </w:p>
    <w:p w14:paraId="75B464F6">
      <w:pPr>
        <w:spacing w:line="460" w:lineRule="exact"/>
        <w:rPr>
          <w:rFonts w:hint="eastAsia" w:ascii="宋体" w:hAnsi="宋体" w:cs="宋体"/>
          <w:sz w:val="24"/>
          <w:szCs w:val="24"/>
        </w:rPr>
        <w:sectPr>
          <w:pgSz w:w="16838" w:h="11906" w:orient="landscape"/>
          <w:pgMar w:top="1417" w:right="1247" w:bottom="1417" w:left="1702" w:header="851" w:footer="992" w:gutter="0"/>
          <w:cols w:space="720" w:num="1"/>
          <w:docGrid w:linePitch="312" w:charSpace="0"/>
        </w:sectPr>
      </w:pPr>
      <w:r>
        <w:rPr>
          <w:rFonts w:hint="eastAsia" w:ascii="宋体" w:hAnsi="宋体" w:cs="宋体"/>
          <w:sz w:val="24"/>
          <w:szCs w:val="24"/>
        </w:rPr>
        <w:t>出水水质：符合《生活饮用水水质处理器卫生安全与功能评价规范-反渗透处理装置》（2001）、《生活饮用水卫生标准》（GB5749-2006）的标准。</w:t>
      </w:r>
    </w:p>
    <w:p w14:paraId="0C5B780B">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ECD3BC"/>
    <w:multiLevelType w:val="singleLevel"/>
    <w:tmpl w:val="DDECD3BC"/>
    <w:lvl w:ilvl="0" w:tentative="0">
      <w:start w:val="6"/>
      <w:numFmt w:val="decimal"/>
      <w:suff w:val="space"/>
      <w:lvlText w:val="%1."/>
      <w:lvlJc w:val="left"/>
    </w:lvl>
  </w:abstractNum>
  <w:abstractNum w:abstractNumId="1">
    <w:nsid w:val="26DDC93C"/>
    <w:multiLevelType w:val="singleLevel"/>
    <w:tmpl w:val="26DDC93C"/>
    <w:lvl w:ilvl="0" w:tentative="0">
      <w:start w:val="1"/>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AF34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0"/>
    <w:pPr>
      <w:keepNext/>
      <w:keepLines/>
      <w:spacing w:before="260" w:after="260" w:line="413" w:lineRule="auto"/>
      <w:outlineLvl w:val="1"/>
    </w:pPr>
    <w:rPr>
      <w:rFonts w:ascii="Arial" w:hAnsi="Arial"/>
      <w:b/>
      <w:bCs/>
      <w:sz w:val="32"/>
      <w:szCs w:val="32"/>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Body Text"/>
    <w:basedOn w:val="1"/>
    <w:next w:val="4"/>
    <w:qFormat/>
    <w:uiPriority w:val="0"/>
    <w:pPr>
      <w:spacing w:after="120"/>
    </w:pPr>
  </w:style>
  <w:style w:type="paragraph" w:styleId="4">
    <w:name w:val="Body Text First Indent"/>
    <w:basedOn w:val="3"/>
    <w:qFormat/>
    <w:uiPriority w:val="0"/>
    <w:pPr>
      <w:ind w:firstLine="420" w:firstLineChars="100"/>
    </w:pPr>
  </w:style>
  <w:style w:type="character" w:customStyle="1" w:styleId="7">
    <w:name w:val="font101"/>
    <w:basedOn w:val="6"/>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jpeg"/><Relationship Id="rId35" Type="http://schemas.openxmlformats.org/officeDocument/2006/relationships/fontTable" Target="fontTable.xml"/><Relationship Id="rId34" Type="http://schemas.openxmlformats.org/officeDocument/2006/relationships/numbering" Target="numbering.xml"/><Relationship Id="rId33" Type="http://schemas.openxmlformats.org/officeDocument/2006/relationships/image" Target="media/image30.png"/><Relationship Id="rId32" Type="http://schemas.openxmlformats.org/officeDocument/2006/relationships/image" Target="media/image29.pn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theme" Target="theme/theme1.xml"/><Relationship Id="rId29" Type="http://schemas.openxmlformats.org/officeDocument/2006/relationships/image" Target="media/image26.png"/><Relationship Id="rId28" Type="http://schemas.openxmlformats.org/officeDocument/2006/relationships/image" Target="media/image25.png"/><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2026-06-16T11:17:22Z</dcterms:created>
  <dc:creator>69045</dc:creator>
  <cp:lastModifiedBy>panpan</cp:lastModifiedBy>
  <dcterms:modified xsi:type="dcterms:W3CDTF">2026-06-16T11:21:07Z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65FBCB1C965447AFAD6106AFE80E0FA5_12</vt:lpwstr>
  </property>
</Properties>
</file>