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BBF77DC">
      <w:pPr>
        <w:numPr>
          <w:ilvl w:val="0"/>
          <w:numId w:val="1"/>
        </w:numPr>
        <w:spacing w:before="91" w:line="222" w:lineRule="auto"/>
        <w:ind w:left="3404"/>
        <w:outlineLvl w:val="1"/>
        <w:rPr>
          <w:rFonts w:hint="eastAsia" w:ascii="仿宋" w:hAnsi="仿宋" w:eastAsia="仿宋" w:cs="仿宋"/>
          <w:b/>
          <w:bCs/>
          <w:spacing w:val="-5"/>
          <w:sz w:val="28"/>
          <w:szCs w:val="28"/>
        </w:rPr>
      </w:pPr>
      <w:r>
        <w:rPr>
          <w:rFonts w:hint="eastAsia" w:ascii="仿宋" w:hAnsi="仿宋" w:eastAsia="仿宋" w:cs="仿宋"/>
          <w:b/>
          <w:bCs/>
          <w:spacing w:val="-5"/>
          <w:sz w:val="28"/>
          <w:szCs w:val="28"/>
        </w:rPr>
        <w:t>磋商项目</w:t>
      </w:r>
      <w:r>
        <w:rPr>
          <w:rFonts w:hint="eastAsia" w:ascii="仿宋" w:hAnsi="仿宋" w:eastAsia="仿宋" w:cs="仿宋"/>
          <w:b/>
          <w:bCs/>
          <w:spacing w:val="-5"/>
          <w:sz w:val="28"/>
          <w:szCs w:val="28"/>
          <w:lang w:val="en-US" w:eastAsia="zh-CN"/>
        </w:rPr>
        <w:t>服务</w:t>
      </w:r>
      <w:r>
        <w:rPr>
          <w:rFonts w:hint="eastAsia" w:ascii="仿宋" w:hAnsi="仿宋" w:eastAsia="仿宋" w:cs="仿宋"/>
          <w:b/>
          <w:bCs/>
          <w:spacing w:val="-5"/>
          <w:sz w:val="28"/>
          <w:szCs w:val="28"/>
        </w:rPr>
        <w:t>要求</w:t>
      </w:r>
    </w:p>
    <w:p w14:paraId="470E1313">
      <w:pPr>
        <w:numPr>
          <w:ilvl w:val="0"/>
          <w:numId w:val="0"/>
        </w:numPr>
        <w:spacing w:before="91" w:line="222" w:lineRule="auto"/>
        <w:ind w:firstLine="542" w:firstLineChars="200"/>
        <w:outlineLvl w:val="1"/>
        <w:rPr>
          <w:rFonts w:hint="eastAsia" w:ascii="仿宋" w:hAnsi="仿宋" w:eastAsia="仿宋" w:cs="仿宋"/>
          <w:b/>
          <w:bCs/>
          <w:spacing w:val="-5"/>
          <w:sz w:val="28"/>
          <w:szCs w:val="28"/>
        </w:rPr>
      </w:pPr>
      <w:r>
        <w:rPr>
          <w:rFonts w:hint="eastAsia" w:ascii="仿宋" w:hAnsi="仿宋" w:eastAsia="仿宋" w:cs="仿宋"/>
          <w:b/>
          <w:bCs/>
          <w:spacing w:val="-5"/>
          <w:sz w:val="28"/>
          <w:szCs w:val="28"/>
        </w:rPr>
        <w:t>一、项目背景</w:t>
      </w:r>
    </w:p>
    <w:p w14:paraId="4AFAF24B">
      <w:pPr>
        <w:widowControl/>
        <w:ind w:firstLine="482"/>
        <w:jc w:val="left"/>
        <w:rPr>
          <w:rFonts w:hint="eastAsia" w:ascii="仿宋" w:hAnsi="仿宋" w:eastAsia="仿宋" w:cs="仿宋"/>
          <w:b/>
          <w:sz w:val="28"/>
          <w:szCs w:val="28"/>
        </w:rPr>
      </w:pPr>
      <w:r>
        <w:rPr>
          <w:rFonts w:hint="eastAsia" w:ascii="仿宋" w:hAnsi="仿宋" w:eastAsia="仿宋" w:cs="仿宋"/>
          <w:b/>
          <w:sz w:val="28"/>
          <w:szCs w:val="28"/>
        </w:rPr>
        <w:t>为落实资溪县“十五五”规划任务并保障重点项目落地，依据《江西省市县级国土空间总体规划动态调整方案编制指南（2026年）》要求，在2024年度国土空间总体规划体检评估工作基础上，亟需对《资溪县国土空间总体规划（2021-2035年）》展开动态维护，涵盖城镇开发边界、耕地与永久基本农田、生态保护红线三大核心管控区域调整，旨在精准配置空间资源、优化国土空间格局，并严格遵循“三区三线”底线约束与布局正向优化原则，以提升规划对高质量发展需求的适应性和治理效能。</w:t>
      </w:r>
    </w:p>
    <w:p w14:paraId="4EE77194">
      <w:pPr>
        <w:widowControl/>
        <w:ind w:firstLine="482"/>
        <w:jc w:val="left"/>
        <w:rPr>
          <w:rFonts w:hint="eastAsia" w:ascii="仿宋" w:hAnsi="仿宋" w:eastAsia="仿宋" w:cs="仿宋"/>
          <w:b/>
          <w:sz w:val="28"/>
          <w:szCs w:val="28"/>
        </w:rPr>
      </w:pPr>
      <w:r>
        <w:rPr>
          <w:rFonts w:hint="eastAsia" w:ascii="仿宋" w:hAnsi="仿宋" w:eastAsia="仿宋" w:cs="仿宋"/>
          <w:b/>
          <w:sz w:val="28"/>
          <w:szCs w:val="28"/>
        </w:rPr>
        <w:t>国土空间规划城市体检评估，是对城市发展阶段特征及国土空间规划实施效果定期进行分析和评价，是编制、审批、维护国土空间规划的基础性工作，是监测城市运行健康状态、预防和诊治“大城市病”的重要抓手，也是完善规划治理体系和促进治理能力现代化的重要工具。通过年度体检评估的方式，对城市发展阶段特征及国土空间总体规划实施效果进行分析和评价，有利于促进城市高质量发展、提高国土空间规划实施有效性。</w:t>
      </w:r>
    </w:p>
    <w:p w14:paraId="28148602">
      <w:pPr>
        <w:widowControl/>
        <w:ind w:firstLine="482"/>
        <w:jc w:val="left"/>
        <w:rPr>
          <w:rFonts w:hint="eastAsia" w:ascii="仿宋" w:hAnsi="仿宋" w:eastAsia="仿宋" w:cs="仿宋"/>
          <w:b/>
          <w:sz w:val="28"/>
          <w:szCs w:val="28"/>
        </w:rPr>
      </w:pPr>
      <w:r>
        <w:rPr>
          <w:rFonts w:hint="eastAsia" w:ascii="仿宋" w:hAnsi="仿宋" w:eastAsia="仿宋" w:cs="仿宋"/>
          <w:b/>
          <w:sz w:val="28"/>
          <w:szCs w:val="28"/>
        </w:rPr>
        <w:t>二、规划范围</w:t>
      </w:r>
    </w:p>
    <w:p w14:paraId="29BC2DC6">
      <w:pPr>
        <w:widowControl/>
        <w:ind w:firstLine="482"/>
        <w:jc w:val="left"/>
        <w:rPr>
          <w:rFonts w:hint="eastAsia" w:ascii="仿宋" w:hAnsi="仿宋" w:eastAsia="仿宋" w:cs="仿宋"/>
          <w:b w:val="0"/>
          <w:bCs/>
          <w:sz w:val="28"/>
          <w:szCs w:val="28"/>
        </w:rPr>
      </w:pPr>
      <w:r>
        <w:rPr>
          <w:rFonts w:hint="eastAsia" w:ascii="仿宋" w:hAnsi="仿宋" w:eastAsia="仿宋" w:cs="仿宋"/>
          <w:b w:val="0"/>
          <w:bCs/>
          <w:sz w:val="28"/>
          <w:szCs w:val="28"/>
        </w:rPr>
        <w:t>规划范围包含县域和中心城区两个层次。</w:t>
      </w:r>
    </w:p>
    <w:p w14:paraId="4333D092">
      <w:pPr>
        <w:widowControl/>
        <w:ind w:firstLine="482"/>
        <w:jc w:val="left"/>
        <w:rPr>
          <w:rFonts w:hint="eastAsia" w:ascii="仿宋" w:hAnsi="仿宋" w:eastAsia="仿宋" w:cs="仿宋"/>
          <w:b w:val="0"/>
          <w:bCs/>
          <w:sz w:val="28"/>
          <w:szCs w:val="28"/>
        </w:rPr>
      </w:pPr>
      <w:r>
        <w:rPr>
          <w:rFonts w:hint="eastAsia" w:ascii="仿宋" w:hAnsi="仿宋" w:eastAsia="仿宋" w:cs="仿宋"/>
          <w:b w:val="0"/>
          <w:bCs/>
          <w:sz w:val="28"/>
          <w:szCs w:val="28"/>
        </w:rPr>
        <w:t>县域层面突出统筹协调、上下传导，重点落实上位国土空间规划要求的重要跨区域协调事项，统筹全域全要素的规划管理，侧重全域国土空间开发保护的战略部署和总体格局、对“三条控制线”、资源优化配置和重大基础设施布局提出管控与传导要求；</w:t>
      </w:r>
    </w:p>
    <w:p w14:paraId="496D18A4">
      <w:pPr>
        <w:widowControl/>
        <w:ind w:firstLine="482"/>
        <w:jc w:val="left"/>
        <w:rPr>
          <w:rFonts w:hint="eastAsia" w:ascii="仿宋" w:hAnsi="仿宋" w:eastAsia="仿宋" w:cs="仿宋"/>
          <w:b w:val="0"/>
          <w:bCs/>
          <w:sz w:val="28"/>
          <w:szCs w:val="28"/>
        </w:rPr>
      </w:pPr>
      <w:r>
        <w:rPr>
          <w:rFonts w:hint="eastAsia" w:ascii="仿宋" w:hAnsi="仿宋" w:eastAsia="仿宋" w:cs="仿宋"/>
          <w:b w:val="0"/>
          <w:bCs/>
          <w:sz w:val="28"/>
          <w:szCs w:val="28"/>
        </w:rPr>
        <w:t>中心城区层面要细化土地使用和空间布局，侧重功能完善和结构优化，合理确定人口规模、空间结构和用地布局，明确道路网络、社区生活圈配套与重要设施布局要求，落实重要管控要素的系统传导和衔接。</w:t>
      </w:r>
    </w:p>
    <w:p w14:paraId="1835B6B3">
      <w:pPr>
        <w:widowControl/>
        <w:ind w:firstLine="482"/>
        <w:jc w:val="left"/>
        <w:rPr>
          <w:rFonts w:hint="eastAsia" w:ascii="仿宋" w:hAnsi="仿宋" w:eastAsia="仿宋" w:cs="仿宋"/>
          <w:b/>
          <w:bCs w:val="0"/>
          <w:sz w:val="28"/>
          <w:szCs w:val="28"/>
        </w:rPr>
      </w:pPr>
      <w:r>
        <w:rPr>
          <w:rFonts w:hint="eastAsia" w:ascii="仿宋" w:hAnsi="仿宋" w:eastAsia="仿宋" w:cs="仿宋"/>
          <w:b/>
          <w:bCs w:val="0"/>
          <w:sz w:val="28"/>
          <w:szCs w:val="28"/>
          <w:lang w:val="en-US" w:eastAsia="zh-CN"/>
        </w:rPr>
        <w:t>三、</w:t>
      </w:r>
      <w:r>
        <w:rPr>
          <w:rFonts w:hint="eastAsia" w:ascii="仿宋" w:hAnsi="仿宋" w:eastAsia="仿宋" w:cs="仿宋"/>
          <w:b/>
          <w:bCs w:val="0"/>
          <w:sz w:val="28"/>
          <w:szCs w:val="28"/>
        </w:rPr>
        <w:t>规划编制内容</w:t>
      </w:r>
    </w:p>
    <w:p w14:paraId="72EBA155">
      <w:pPr>
        <w:widowControl/>
        <w:ind w:firstLine="482"/>
        <w:jc w:val="left"/>
        <w:rPr>
          <w:rFonts w:hint="eastAsia" w:ascii="仿宋" w:hAnsi="仿宋" w:eastAsia="仿宋" w:cs="仿宋"/>
          <w:b w:val="0"/>
          <w:bCs/>
          <w:sz w:val="28"/>
          <w:szCs w:val="28"/>
        </w:rPr>
      </w:pPr>
      <w:r>
        <w:rPr>
          <w:rFonts w:hint="eastAsia" w:ascii="仿宋" w:hAnsi="仿宋" w:eastAsia="仿宋" w:cs="仿宋"/>
          <w:b w:val="0"/>
          <w:bCs/>
          <w:sz w:val="28"/>
          <w:szCs w:val="28"/>
          <w:lang w:eastAsia="zh-CN"/>
        </w:rPr>
        <w:t>（</w:t>
      </w:r>
      <w:r>
        <w:rPr>
          <w:rFonts w:hint="eastAsia" w:ascii="仿宋" w:hAnsi="仿宋" w:eastAsia="仿宋" w:cs="仿宋"/>
          <w:b w:val="0"/>
          <w:bCs/>
          <w:sz w:val="28"/>
          <w:szCs w:val="28"/>
          <w:lang w:val="en-US" w:eastAsia="zh-CN"/>
        </w:rPr>
        <w:t>一</w:t>
      </w:r>
      <w:r>
        <w:rPr>
          <w:rFonts w:hint="eastAsia" w:ascii="仿宋" w:hAnsi="仿宋" w:eastAsia="仿宋" w:cs="仿宋"/>
          <w:b w:val="0"/>
          <w:bCs/>
          <w:sz w:val="28"/>
          <w:szCs w:val="28"/>
          <w:lang w:eastAsia="zh-CN"/>
        </w:rPr>
        <w:t>）</w:t>
      </w:r>
      <w:r>
        <w:rPr>
          <w:rFonts w:hint="eastAsia" w:ascii="仿宋" w:hAnsi="仿宋" w:eastAsia="仿宋" w:cs="仿宋"/>
          <w:b w:val="0"/>
          <w:bCs/>
          <w:sz w:val="28"/>
          <w:szCs w:val="28"/>
        </w:rPr>
        <w:t>资溪县国士空间规划动态调整完善方案</w:t>
      </w:r>
    </w:p>
    <w:p w14:paraId="4376C4E8">
      <w:pPr>
        <w:widowControl/>
        <w:ind w:firstLine="482"/>
        <w:jc w:val="left"/>
        <w:rPr>
          <w:rFonts w:hint="eastAsia" w:ascii="仿宋" w:hAnsi="仿宋" w:eastAsia="仿宋" w:cs="仿宋"/>
          <w:b w:val="0"/>
          <w:bCs/>
          <w:sz w:val="28"/>
          <w:szCs w:val="28"/>
        </w:rPr>
      </w:pPr>
      <w:r>
        <w:rPr>
          <w:rFonts w:hint="eastAsia" w:ascii="仿宋" w:hAnsi="仿宋" w:eastAsia="仿宋" w:cs="仿宋"/>
          <w:b w:val="0"/>
          <w:bCs/>
          <w:sz w:val="28"/>
          <w:szCs w:val="28"/>
        </w:rPr>
        <w:t>在严守空间安全底线，不突破市县级国土空间总体规划确定的保护目标任务、不改变总体规划确定的空间结构和格局的前提下，可对国土空间总体规划的三条控制线(耕地和永久基本农田保护红线、生态保护红线、城镇开发边界)、规划分区(生态保护区、生态控制区、农田保护区、城镇发展区、乡村发展区、矿产能源发展区等)、中心城区用地规划布局、城市重要控制线(城市绿线、城市蓝线、城市黄线、城市紫线、洪涝风险控制线等其他重要控制线)、重点建设项目清单等开展动态维护。</w:t>
      </w:r>
    </w:p>
    <w:p w14:paraId="610FEC87">
      <w:pPr>
        <w:widowControl/>
        <w:ind w:firstLine="482"/>
        <w:jc w:val="left"/>
        <w:rPr>
          <w:rFonts w:hint="eastAsia" w:ascii="仿宋" w:hAnsi="仿宋" w:eastAsia="仿宋" w:cs="仿宋"/>
          <w:b w:val="0"/>
          <w:bCs/>
          <w:sz w:val="28"/>
          <w:szCs w:val="28"/>
        </w:rPr>
      </w:pPr>
      <w:r>
        <w:rPr>
          <w:rFonts w:hint="eastAsia" w:ascii="仿宋" w:hAnsi="仿宋" w:eastAsia="仿宋" w:cs="仿宋"/>
          <w:b w:val="0"/>
          <w:bCs/>
          <w:sz w:val="28"/>
          <w:szCs w:val="28"/>
        </w:rPr>
        <w:t>1.前言</w:t>
      </w:r>
    </w:p>
    <w:p w14:paraId="6AEFB3E0">
      <w:pPr>
        <w:widowControl/>
        <w:ind w:firstLine="482"/>
        <w:jc w:val="left"/>
        <w:rPr>
          <w:rFonts w:hint="eastAsia" w:ascii="仿宋" w:hAnsi="仿宋" w:eastAsia="仿宋" w:cs="仿宋"/>
          <w:b w:val="0"/>
          <w:bCs/>
          <w:sz w:val="28"/>
          <w:szCs w:val="28"/>
        </w:rPr>
      </w:pPr>
      <w:r>
        <w:rPr>
          <w:rFonts w:hint="eastAsia" w:ascii="仿宋" w:hAnsi="仿宋" w:eastAsia="仿宋" w:cs="仿宋"/>
          <w:b w:val="0"/>
          <w:bCs/>
          <w:sz w:val="28"/>
          <w:szCs w:val="28"/>
        </w:rPr>
        <w:t>阐述开展规划动态维护的工作背景、编制目的、编制依据、编制范围、编制原则，明确本轮规划动态维护的核心任务或工作方向。</w:t>
      </w:r>
    </w:p>
    <w:p w14:paraId="72796A9F">
      <w:pPr>
        <w:widowControl/>
        <w:ind w:firstLine="482"/>
        <w:jc w:val="left"/>
        <w:rPr>
          <w:rFonts w:hint="eastAsia" w:ascii="仿宋" w:hAnsi="仿宋" w:eastAsia="仿宋" w:cs="仿宋"/>
          <w:b w:val="0"/>
          <w:bCs/>
          <w:sz w:val="28"/>
          <w:szCs w:val="28"/>
        </w:rPr>
      </w:pPr>
      <w:r>
        <w:rPr>
          <w:rFonts w:hint="eastAsia" w:ascii="仿宋" w:hAnsi="仿宋" w:eastAsia="仿宋" w:cs="仿宋"/>
          <w:b w:val="0"/>
          <w:bCs/>
          <w:sz w:val="28"/>
          <w:szCs w:val="28"/>
        </w:rPr>
        <w:t>2.动态维护方案主要内容</w:t>
      </w:r>
    </w:p>
    <w:p w14:paraId="3362FCE7">
      <w:pPr>
        <w:widowControl/>
        <w:ind w:firstLine="482"/>
        <w:jc w:val="left"/>
        <w:rPr>
          <w:rFonts w:hint="eastAsia" w:ascii="仿宋" w:hAnsi="仿宋" w:eastAsia="仿宋" w:cs="仿宋"/>
          <w:b w:val="0"/>
          <w:bCs/>
          <w:sz w:val="28"/>
          <w:szCs w:val="28"/>
        </w:rPr>
      </w:pPr>
      <w:r>
        <w:rPr>
          <w:rFonts w:hint="eastAsia" w:ascii="仿宋" w:hAnsi="仿宋" w:eastAsia="仿宋" w:cs="仿宋"/>
          <w:b w:val="0"/>
          <w:bCs/>
          <w:sz w:val="28"/>
          <w:szCs w:val="28"/>
        </w:rPr>
        <w:t>（1）耕地和永久基本农田保护红线</w:t>
      </w:r>
    </w:p>
    <w:p w14:paraId="778CFEA9">
      <w:pPr>
        <w:widowControl/>
        <w:ind w:firstLine="482"/>
        <w:jc w:val="left"/>
        <w:rPr>
          <w:rFonts w:hint="eastAsia" w:ascii="仿宋" w:hAnsi="仿宋" w:eastAsia="仿宋" w:cs="仿宋"/>
          <w:b w:val="0"/>
          <w:bCs/>
          <w:sz w:val="28"/>
          <w:szCs w:val="28"/>
        </w:rPr>
      </w:pPr>
      <w:r>
        <w:rPr>
          <w:rFonts w:hint="eastAsia" w:ascii="仿宋" w:hAnsi="仿宋" w:eastAsia="仿宋" w:cs="仿宋"/>
          <w:b w:val="0"/>
          <w:bCs/>
          <w:sz w:val="28"/>
          <w:szCs w:val="28"/>
        </w:rPr>
        <w:t>主要论述耕地和永久基本农田保护红线现状；结合现存问题，明确需要调整的具体情形及具体调整方案；明确调整后的耕地和永久基本农田面积、类型和空间分布，是否与其他底线存在矛盾冲突。</w:t>
      </w:r>
    </w:p>
    <w:p w14:paraId="771283F1">
      <w:pPr>
        <w:widowControl/>
        <w:ind w:firstLine="482"/>
        <w:jc w:val="left"/>
        <w:rPr>
          <w:rFonts w:hint="eastAsia" w:ascii="仿宋" w:hAnsi="仿宋" w:eastAsia="仿宋" w:cs="仿宋"/>
          <w:b w:val="0"/>
          <w:bCs/>
          <w:sz w:val="28"/>
          <w:szCs w:val="28"/>
        </w:rPr>
      </w:pPr>
      <w:r>
        <w:rPr>
          <w:rFonts w:hint="eastAsia" w:ascii="仿宋" w:hAnsi="仿宋" w:eastAsia="仿宋" w:cs="仿宋"/>
          <w:b w:val="0"/>
          <w:bCs/>
          <w:sz w:val="28"/>
          <w:szCs w:val="28"/>
        </w:rPr>
        <w:t>（2）生态保护红线</w:t>
      </w:r>
    </w:p>
    <w:p w14:paraId="36FC4B66">
      <w:pPr>
        <w:widowControl/>
        <w:ind w:firstLine="482"/>
        <w:jc w:val="left"/>
        <w:rPr>
          <w:rFonts w:hint="eastAsia" w:ascii="仿宋" w:hAnsi="仿宋" w:eastAsia="仿宋" w:cs="仿宋"/>
          <w:b w:val="0"/>
          <w:bCs/>
          <w:sz w:val="28"/>
          <w:szCs w:val="28"/>
        </w:rPr>
      </w:pPr>
      <w:r>
        <w:rPr>
          <w:rFonts w:hint="eastAsia" w:ascii="仿宋" w:hAnsi="仿宋" w:eastAsia="仿宋" w:cs="仿宋"/>
          <w:b w:val="0"/>
          <w:bCs/>
          <w:sz w:val="28"/>
          <w:szCs w:val="28"/>
        </w:rPr>
        <w:t>主要论述生态保护红线的原划定成果有关情况以及生态保护红线调整情况；结合现存问题，明确需要调整的具体情形及具体调整方案，逐一说明调整地块的规则符合性；明确调整后的生态保护红线面积、类型、空间分布及对生态功能的影响等内容，是否与其他底线存在矛盾冲突。</w:t>
      </w:r>
    </w:p>
    <w:p w14:paraId="2A1B1844">
      <w:pPr>
        <w:widowControl/>
        <w:ind w:firstLine="482"/>
        <w:jc w:val="left"/>
        <w:rPr>
          <w:rFonts w:hint="eastAsia" w:ascii="仿宋" w:hAnsi="仿宋" w:eastAsia="仿宋" w:cs="仿宋"/>
          <w:b w:val="0"/>
          <w:bCs/>
          <w:sz w:val="28"/>
          <w:szCs w:val="28"/>
        </w:rPr>
      </w:pPr>
      <w:r>
        <w:rPr>
          <w:rFonts w:hint="eastAsia" w:ascii="仿宋" w:hAnsi="仿宋" w:eastAsia="仿宋" w:cs="仿宋"/>
          <w:b w:val="0"/>
          <w:bCs/>
          <w:sz w:val="28"/>
          <w:szCs w:val="28"/>
        </w:rPr>
        <w:t>（3）城镇开发边界</w:t>
      </w:r>
    </w:p>
    <w:p w14:paraId="3B60CF82">
      <w:pPr>
        <w:widowControl/>
        <w:ind w:firstLine="482"/>
        <w:jc w:val="left"/>
        <w:rPr>
          <w:rFonts w:hint="eastAsia" w:ascii="仿宋" w:hAnsi="仿宋" w:eastAsia="仿宋" w:cs="仿宋"/>
          <w:b w:val="0"/>
          <w:bCs/>
          <w:sz w:val="28"/>
          <w:szCs w:val="28"/>
        </w:rPr>
      </w:pPr>
      <w:r>
        <w:rPr>
          <w:rFonts w:hint="eastAsia" w:ascii="仿宋" w:hAnsi="仿宋" w:eastAsia="仿宋" w:cs="仿宋"/>
          <w:b w:val="0"/>
          <w:bCs/>
          <w:sz w:val="28"/>
          <w:szCs w:val="28"/>
        </w:rPr>
        <w:t>主要论述城镇开发边界现状情况(以城镇开发边界优化最新成果为基础进行表述)；结合现存问题，明确需要调整的具体情形及具体调整方案；明确调整后的城镇开发边界规模、扩展倍数及其变化情况。</w:t>
      </w:r>
    </w:p>
    <w:p w14:paraId="69498661">
      <w:pPr>
        <w:widowControl/>
        <w:ind w:firstLine="482"/>
        <w:jc w:val="left"/>
        <w:rPr>
          <w:rFonts w:hint="eastAsia" w:ascii="仿宋" w:hAnsi="仿宋" w:eastAsia="仿宋" w:cs="仿宋"/>
          <w:b w:val="0"/>
          <w:bCs/>
          <w:sz w:val="28"/>
          <w:szCs w:val="28"/>
        </w:rPr>
      </w:pPr>
      <w:r>
        <w:rPr>
          <w:rFonts w:hint="eastAsia" w:ascii="仿宋" w:hAnsi="仿宋" w:eastAsia="仿宋" w:cs="仿宋"/>
          <w:b w:val="0"/>
          <w:bCs/>
          <w:sz w:val="28"/>
          <w:szCs w:val="28"/>
        </w:rPr>
        <w:t>（4）规划分区</w:t>
      </w:r>
    </w:p>
    <w:p w14:paraId="44B51F63">
      <w:pPr>
        <w:widowControl/>
        <w:ind w:firstLine="482"/>
        <w:jc w:val="left"/>
        <w:rPr>
          <w:rFonts w:hint="eastAsia" w:ascii="仿宋" w:hAnsi="仿宋" w:eastAsia="仿宋" w:cs="仿宋"/>
          <w:b w:val="0"/>
          <w:bCs/>
          <w:sz w:val="28"/>
          <w:szCs w:val="28"/>
          <w:highlight w:val="none"/>
        </w:rPr>
      </w:pPr>
      <w:r>
        <w:rPr>
          <w:rFonts w:hint="eastAsia" w:ascii="仿宋" w:hAnsi="仿宋" w:eastAsia="仿宋" w:cs="仿宋"/>
          <w:b w:val="0"/>
          <w:bCs/>
          <w:sz w:val="28"/>
          <w:szCs w:val="28"/>
        </w:rPr>
        <w:t>主要论述市县总体规划规划分区划分情况；结合现存问题，明确需要调整的规划分区类型及其分布；按照正向优化要求，论述具体调整方案，调整后的规划分区面积</w:t>
      </w:r>
      <w:r>
        <w:rPr>
          <w:rFonts w:hint="eastAsia" w:ascii="仿宋" w:hAnsi="仿宋" w:eastAsia="仿宋" w:cs="仿宋"/>
          <w:b w:val="0"/>
          <w:bCs/>
          <w:sz w:val="28"/>
          <w:szCs w:val="28"/>
          <w:highlight w:val="none"/>
        </w:rPr>
        <w:t>、空间分布等，明确是否影响原规划分区主导功能。</w:t>
      </w:r>
    </w:p>
    <w:p w14:paraId="7382053C">
      <w:pPr>
        <w:widowControl/>
        <w:ind w:firstLine="482"/>
        <w:jc w:val="left"/>
        <w:rPr>
          <w:rFonts w:hint="eastAsia" w:ascii="仿宋" w:hAnsi="仿宋" w:eastAsia="仿宋" w:cs="仿宋"/>
          <w:b w:val="0"/>
          <w:bCs/>
          <w:sz w:val="28"/>
          <w:szCs w:val="28"/>
          <w:highlight w:val="none"/>
        </w:rPr>
      </w:pPr>
      <w:r>
        <w:rPr>
          <w:rFonts w:hint="eastAsia" w:ascii="仿宋" w:hAnsi="仿宋" w:eastAsia="仿宋" w:cs="仿宋"/>
          <w:b w:val="0"/>
          <w:bCs/>
          <w:sz w:val="28"/>
          <w:szCs w:val="28"/>
          <w:highlight w:val="none"/>
        </w:rPr>
        <w:t>（5）中心城区用地布局</w:t>
      </w:r>
    </w:p>
    <w:p w14:paraId="5E0FBAB1">
      <w:pPr>
        <w:widowControl/>
        <w:ind w:firstLine="482"/>
        <w:jc w:val="left"/>
        <w:rPr>
          <w:rFonts w:hint="eastAsia" w:ascii="仿宋" w:hAnsi="仿宋" w:eastAsia="仿宋" w:cs="仿宋"/>
          <w:b w:val="0"/>
          <w:bCs/>
          <w:sz w:val="28"/>
          <w:szCs w:val="28"/>
        </w:rPr>
      </w:pPr>
      <w:r>
        <w:rPr>
          <w:rFonts w:hint="eastAsia" w:ascii="仿宋" w:hAnsi="仿宋" w:eastAsia="仿宋" w:cs="仿宋"/>
          <w:b w:val="0"/>
          <w:bCs/>
          <w:sz w:val="28"/>
          <w:szCs w:val="28"/>
        </w:rPr>
        <w:t>主要论述市县总体规划中心城区用地规划情况、强制执行的各类人均标准情况、约束性目标指标情况；优化调整的重点方向及具体调整方案；优化调整后用地规划情况、强制执行的各类人均标准情况、约束性目标指标情况、卫生/养老/教育/文化/体育等社区公共服务设施步行15分钟覆盖率(%)变化情况等内容。</w:t>
      </w:r>
    </w:p>
    <w:p w14:paraId="1C7A07B9">
      <w:pPr>
        <w:widowControl/>
        <w:ind w:firstLine="482"/>
        <w:jc w:val="left"/>
        <w:rPr>
          <w:rFonts w:hint="eastAsia" w:ascii="仿宋" w:hAnsi="仿宋" w:eastAsia="仿宋" w:cs="仿宋"/>
          <w:b w:val="0"/>
          <w:bCs/>
          <w:sz w:val="28"/>
          <w:szCs w:val="28"/>
        </w:rPr>
      </w:pPr>
      <w:r>
        <w:rPr>
          <w:rFonts w:hint="eastAsia" w:ascii="仿宋" w:hAnsi="仿宋" w:eastAsia="仿宋" w:cs="仿宋"/>
          <w:b w:val="0"/>
          <w:bCs/>
          <w:sz w:val="28"/>
          <w:szCs w:val="28"/>
        </w:rPr>
        <w:t>（6）城市重要控制线</w:t>
      </w:r>
    </w:p>
    <w:p w14:paraId="1086FB82">
      <w:pPr>
        <w:widowControl/>
        <w:ind w:firstLine="482"/>
        <w:jc w:val="left"/>
        <w:rPr>
          <w:rFonts w:hint="eastAsia" w:ascii="仿宋" w:hAnsi="仿宋" w:eastAsia="仿宋" w:cs="仿宋"/>
          <w:b w:val="0"/>
          <w:bCs/>
          <w:sz w:val="28"/>
          <w:szCs w:val="28"/>
        </w:rPr>
      </w:pPr>
      <w:r>
        <w:rPr>
          <w:rFonts w:hint="eastAsia" w:ascii="仿宋" w:hAnsi="仿宋" w:eastAsia="仿宋" w:cs="仿宋"/>
          <w:b w:val="0"/>
          <w:bCs/>
          <w:sz w:val="28"/>
          <w:szCs w:val="28"/>
        </w:rPr>
        <w:t>主要论述城市重要控制线划定情况；优化调整的重点方向及具体调整方案；调整后重要控制线面积、空间分布等。</w:t>
      </w:r>
    </w:p>
    <w:p w14:paraId="256B5FA7">
      <w:pPr>
        <w:widowControl/>
        <w:ind w:firstLine="482"/>
        <w:jc w:val="left"/>
        <w:rPr>
          <w:rFonts w:hint="eastAsia" w:ascii="仿宋" w:hAnsi="仿宋" w:eastAsia="仿宋" w:cs="仿宋"/>
          <w:b w:val="0"/>
          <w:bCs/>
          <w:sz w:val="28"/>
          <w:szCs w:val="28"/>
        </w:rPr>
      </w:pPr>
      <w:r>
        <w:rPr>
          <w:rFonts w:hint="eastAsia" w:ascii="仿宋" w:hAnsi="仿宋" w:eastAsia="仿宋" w:cs="仿宋"/>
          <w:b w:val="0"/>
          <w:bCs/>
          <w:sz w:val="28"/>
          <w:szCs w:val="28"/>
        </w:rPr>
        <w:t>（7）其他重要控制线</w:t>
      </w:r>
    </w:p>
    <w:p w14:paraId="7226449E">
      <w:pPr>
        <w:widowControl/>
        <w:ind w:firstLine="482"/>
        <w:jc w:val="left"/>
        <w:rPr>
          <w:rFonts w:hint="eastAsia" w:ascii="仿宋" w:hAnsi="仿宋" w:eastAsia="仿宋" w:cs="仿宋"/>
          <w:b w:val="0"/>
          <w:bCs/>
          <w:sz w:val="28"/>
          <w:szCs w:val="28"/>
        </w:rPr>
      </w:pPr>
      <w:r>
        <w:rPr>
          <w:rFonts w:hint="eastAsia" w:ascii="仿宋" w:hAnsi="仿宋" w:eastAsia="仿宋" w:cs="仿宋"/>
          <w:b w:val="0"/>
          <w:bCs/>
          <w:sz w:val="28"/>
          <w:szCs w:val="28"/>
        </w:rPr>
        <w:t>主要论述历史文化保护线、洪涝风险控制线、矿产资源控制线等其他重要控制线划定情况；优化调整的重点方向及具体调整方案；调整后重要控制线面积、空间分布等。</w:t>
      </w:r>
    </w:p>
    <w:p w14:paraId="41235DB4">
      <w:pPr>
        <w:widowControl/>
        <w:ind w:firstLine="482"/>
        <w:jc w:val="left"/>
        <w:rPr>
          <w:rFonts w:hint="eastAsia" w:ascii="仿宋" w:hAnsi="仿宋" w:eastAsia="仿宋" w:cs="仿宋"/>
          <w:b w:val="0"/>
          <w:bCs/>
          <w:sz w:val="28"/>
          <w:szCs w:val="28"/>
        </w:rPr>
      </w:pPr>
      <w:r>
        <w:rPr>
          <w:rFonts w:hint="eastAsia" w:ascii="仿宋" w:hAnsi="仿宋" w:eastAsia="仿宋" w:cs="仿宋"/>
          <w:b w:val="0"/>
          <w:bCs/>
          <w:sz w:val="28"/>
          <w:szCs w:val="28"/>
        </w:rPr>
        <w:t>（8）重点建设项目清单</w:t>
      </w:r>
    </w:p>
    <w:p w14:paraId="03C94AB2">
      <w:pPr>
        <w:widowControl/>
        <w:ind w:firstLine="482"/>
        <w:jc w:val="left"/>
        <w:rPr>
          <w:rFonts w:hint="eastAsia" w:ascii="仿宋" w:hAnsi="仿宋" w:eastAsia="仿宋" w:cs="仿宋"/>
          <w:b w:val="0"/>
          <w:bCs/>
          <w:sz w:val="28"/>
          <w:szCs w:val="28"/>
        </w:rPr>
      </w:pPr>
      <w:r>
        <w:rPr>
          <w:rFonts w:hint="eastAsia" w:ascii="仿宋" w:hAnsi="仿宋" w:eastAsia="仿宋" w:cs="仿宋"/>
          <w:b w:val="0"/>
          <w:bCs/>
          <w:sz w:val="28"/>
          <w:szCs w:val="28"/>
        </w:rPr>
        <w:t>主要论述与“十五五”规划、国土空间规划实施和产业发展衔接情况，明确拟增补项目类型、个数，是否属于单独选址或城镇开发边界外独立城镇建设用地类型、是否符合国土空间总体规划管控要求和国家产业政策的各级重点建设项目；结合规划实施情况，对接各部门需求，明确不再实施项目的类型及个数；明确优化调整后重点项目建设类型和个数，更新重点建设项目清单。</w:t>
      </w:r>
    </w:p>
    <w:p w14:paraId="1E830ACC">
      <w:pPr>
        <w:widowControl/>
        <w:ind w:firstLine="482"/>
        <w:jc w:val="left"/>
        <w:rPr>
          <w:rFonts w:hint="eastAsia" w:ascii="仿宋" w:hAnsi="仿宋" w:eastAsia="仿宋" w:cs="仿宋"/>
          <w:b w:val="0"/>
          <w:bCs/>
          <w:sz w:val="28"/>
          <w:szCs w:val="28"/>
        </w:rPr>
      </w:pPr>
      <w:r>
        <w:rPr>
          <w:rFonts w:hint="eastAsia" w:ascii="仿宋" w:hAnsi="仿宋" w:eastAsia="仿宋" w:cs="仿宋"/>
          <w:b w:val="0"/>
          <w:bCs/>
          <w:sz w:val="28"/>
          <w:szCs w:val="28"/>
        </w:rPr>
        <w:t>3.动态维护方案可行性分析</w:t>
      </w:r>
    </w:p>
    <w:p w14:paraId="2441F0F4">
      <w:pPr>
        <w:widowControl/>
        <w:ind w:firstLine="482"/>
        <w:jc w:val="left"/>
        <w:rPr>
          <w:rFonts w:hint="eastAsia" w:ascii="仿宋" w:hAnsi="仿宋" w:eastAsia="仿宋" w:cs="仿宋"/>
          <w:b w:val="0"/>
          <w:bCs/>
          <w:sz w:val="28"/>
          <w:szCs w:val="28"/>
        </w:rPr>
      </w:pPr>
      <w:r>
        <w:rPr>
          <w:rFonts w:hint="eastAsia" w:ascii="仿宋" w:hAnsi="仿宋" w:eastAsia="仿宋" w:cs="仿宋"/>
          <w:b w:val="0"/>
          <w:bCs/>
          <w:sz w:val="28"/>
          <w:szCs w:val="28"/>
        </w:rPr>
        <w:t>结合“国土空间总体规划三条控制线正向优化标准(试行)”以及本省制定的其他规划内容的正向优化标准，对动态维护方案中涉及的空间管控边界、规划分区、中心城区用地用海规划布局等进行分析，研判维护后是否符合正向优化要求。</w:t>
      </w:r>
    </w:p>
    <w:p w14:paraId="10C58700">
      <w:pPr>
        <w:widowControl/>
        <w:ind w:firstLine="482"/>
        <w:jc w:val="left"/>
        <w:rPr>
          <w:rFonts w:hint="eastAsia" w:ascii="仿宋" w:hAnsi="仿宋" w:eastAsia="仿宋" w:cs="仿宋"/>
          <w:b w:val="0"/>
          <w:bCs/>
          <w:sz w:val="28"/>
          <w:szCs w:val="28"/>
        </w:rPr>
      </w:pPr>
      <w:r>
        <w:rPr>
          <w:rFonts w:hint="eastAsia" w:ascii="仿宋" w:hAnsi="仿宋" w:eastAsia="仿宋" w:cs="仿宋"/>
          <w:b w:val="0"/>
          <w:bCs/>
          <w:sz w:val="28"/>
          <w:szCs w:val="28"/>
        </w:rPr>
        <w:t>4.实施保障</w:t>
      </w:r>
    </w:p>
    <w:p w14:paraId="2CD292F5">
      <w:pPr>
        <w:widowControl/>
        <w:ind w:firstLine="482"/>
        <w:jc w:val="left"/>
        <w:rPr>
          <w:rFonts w:hint="eastAsia" w:ascii="仿宋" w:hAnsi="仿宋" w:eastAsia="仿宋" w:cs="仿宋"/>
          <w:b w:val="0"/>
          <w:bCs/>
          <w:sz w:val="28"/>
          <w:szCs w:val="28"/>
        </w:rPr>
      </w:pPr>
      <w:r>
        <w:rPr>
          <w:rFonts w:hint="eastAsia" w:ascii="仿宋" w:hAnsi="仿宋" w:eastAsia="仿宋" w:cs="仿宋"/>
          <w:b w:val="0"/>
          <w:bCs/>
          <w:sz w:val="28"/>
          <w:szCs w:val="28"/>
        </w:rPr>
        <w:t>保障方案有效实施，应提出对乡镇总体规划、专项规划、重大建设项目的向下指引要求；加强实施监管，将动态维护方案内容的执行情况纳入国土空间监测。依托国土空间规划“一张图”系统和国土空间规划实施监测网络，对动态维护方案编制、汇交、审查、实施等工作进行全生命周期管理。</w:t>
      </w:r>
    </w:p>
    <w:p w14:paraId="48C74A52">
      <w:pPr>
        <w:widowControl/>
        <w:ind w:firstLine="482"/>
        <w:jc w:val="left"/>
        <w:rPr>
          <w:rFonts w:hint="eastAsia" w:ascii="仿宋" w:hAnsi="仿宋" w:eastAsia="仿宋" w:cs="仿宋"/>
          <w:b w:val="0"/>
          <w:bCs/>
          <w:sz w:val="28"/>
          <w:szCs w:val="28"/>
        </w:rPr>
      </w:pPr>
      <w:r>
        <w:rPr>
          <w:rFonts w:hint="eastAsia" w:ascii="仿宋" w:hAnsi="仿宋" w:eastAsia="仿宋" w:cs="仿宋"/>
          <w:b w:val="0"/>
          <w:bCs/>
          <w:sz w:val="28"/>
          <w:szCs w:val="28"/>
          <w:lang w:eastAsia="zh-CN"/>
        </w:rPr>
        <w:t>（</w:t>
      </w:r>
      <w:r>
        <w:rPr>
          <w:rFonts w:hint="eastAsia" w:ascii="仿宋" w:hAnsi="仿宋" w:eastAsia="仿宋" w:cs="仿宋"/>
          <w:b w:val="0"/>
          <w:bCs/>
          <w:sz w:val="28"/>
          <w:szCs w:val="28"/>
          <w:lang w:val="en-US" w:eastAsia="zh-CN"/>
        </w:rPr>
        <w:t>二</w:t>
      </w:r>
      <w:r>
        <w:rPr>
          <w:rFonts w:hint="eastAsia" w:ascii="仿宋" w:hAnsi="仿宋" w:eastAsia="仿宋" w:cs="仿宋"/>
          <w:b w:val="0"/>
          <w:bCs/>
          <w:sz w:val="28"/>
          <w:szCs w:val="28"/>
          <w:lang w:eastAsia="zh-CN"/>
        </w:rPr>
        <w:t>）</w:t>
      </w:r>
      <w:r>
        <w:rPr>
          <w:rFonts w:hint="eastAsia" w:ascii="仿宋" w:hAnsi="仿宋" w:eastAsia="仿宋" w:cs="仿宋"/>
          <w:b w:val="0"/>
          <w:bCs/>
          <w:sz w:val="28"/>
          <w:szCs w:val="28"/>
        </w:rPr>
        <w:t>2025年资溪县国士空间规划城市体检评估报告</w:t>
      </w:r>
    </w:p>
    <w:p w14:paraId="084CCE48">
      <w:pPr>
        <w:widowControl/>
        <w:ind w:firstLine="482"/>
        <w:jc w:val="left"/>
        <w:rPr>
          <w:rFonts w:hint="eastAsia" w:ascii="仿宋" w:hAnsi="仿宋" w:eastAsia="仿宋" w:cs="仿宋"/>
          <w:b w:val="0"/>
          <w:bCs/>
          <w:sz w:val="28"/>
          <w:szCs w:val="28"/>
        </w:rPr>
      </w:pPr>
      <w:r>
        <w:rPr>
          <w:rFonts w:hint="eastAsia" w:ascii="仿宋" w:hAnsi="仿宋" w:eastAsia="仿宋" w:cs="仿宋"/>
          <w:b w:val="0"/>
          <w:bCs/>
          <w:sz w:val="28"/>
          <w:szCs w:val="28"/>
        </w:rPr>
        <w:t>1.总体要求</w:t>
      </w:r>
    </w:p>
    <w:p w14:paraId="05924433">
      <w:pPr>
        <w:widowControl/>
        <w:ind w:firstLine="482"/>
        <w:jc w:val="left"/>
        <w:rPr>
          <w:rFonts w:hint="eastAsia" w:ascii="仿宋" w:hAnsi="仿宋" w:eastAsia="仿宋" w:cs="仿宋"/>
          <w:b w:val="0"/>
          <w:bCs/>
          <w:sz w:val="28"/>
          <w:szCs w:val="28"/>
        </w:rPr>
      </w:pPr>
      <w:r>
        <w:rPr>
          <w:rFonts w:hint="eastAsia" w:ascii="仿宋" w:hAnsi="仿宋" w:eastAsia="仿宋" w:cs="仿宋"/>
          <w:b w:val="0"/>
          <w:bCs/>
          <w:sz w:val="28"/>
          <w:szCs w:val="28"/>
        </w:rPr>
        <w:t>围绕战略定位、底线管控、规模结构、空间布局、支撑体系和实施保障六个方面的评估内容(结合城市特点和年度工作重点，对六方面框架或各方面的具体分析内容做出适当的调整),把握城市发展形势、对照规划批复要求、结合政府重点工作实施情况等，开展成效、问题、原因及对策分析。</w:t>
      </w:r>
    </w:p>
    <w:p w14:paraId="574F1A2A">
      <w:pPr>
        <w:widowControl/>
        <w:ind w:firstLine="482"/>
        <w:jc w:val="left"/>
        <w:rPr>
          <w:rFonts w:hint="eastAsia" w:ascii="仿宋" w:hAnsi="仿宋" w:eastAsia="仿宋" w:cs="仿宋"/>
          <w:b w:val="0"/>
          <w:bCs/>
          <w:sz w:val="28"/>
          <w:szCs w:val="28"/>
        </w:rPr>
      </w:pPr>
      <w:r>
        <w:rPr>
          <w:rFonts w:hint="eastAsia" w:ascii="仿宋" w:hAnsi="仿宋" w:eastAsia="仿宋" w:cs="仿宋"/>
          <w:b w:val="0"/>
          <w:bCs/>
          <w:sz w:val="28"/>
          <w:szCs w:val="28"/>
        </w:rPr>
        <w:t>2.战略定位</w:t>
      </w:r>
    </w:p>
    <w:p w14:paraId="10AB9B99">
      <w:pPr>
        <w:widowControl/>
        <w:ind w:firstLine="482"/>
        <w:jc w:val="left"/>
        <w:rPr>
          <w:rFonts w:hint="eastAsia" w:ascii="仿宋" w:hAnsi="仿宋" w:eastAsia="仿宋" w:cs="仿宋"/>
          <w:b w:val="0"/>
          <w:bCs/>
          <w:sz w:val="28"/>
          <w:szCs w:val="28"/>
        </w:rPr>
      </w:pPr>
      <w:r>
        <w:rPr>
          <w:rFonts w:hint="eastAsia" w:ascii="仿宋" w:hAnsi="仿宋" w:eastAsia="仿宋" w:cs="仿宋"/>
          <w:b w:val="0"/>
          <w:bCs/>
          <w:sz w:val="28"/>
          <w:szCs w:val="28"/>
        </w:rPr>
        <w:t>分析实施国家和区域重大战略、落实城市发展目标、强化城市主要职能、优化调整城市功能等方面的成效及问题。分析区域协调发展战略、区域重大战略、主体功能区战略的叠加效应对城市发展的带动效果，以及部分城市在保障国家战略腹地和关键产业备份中的工作成效。</w:t>
      </w:r>
    </w:p>
    <w:p w14:paraId="227CE3FF">
      <w:pPr>
        <w:widowControl/>
        <w:ind w:firstLine="482"/>
        <w:jc w:val="left"/>
        <w:rPr>
          <w:rFonts w:hint="eastAsia" w:ascii="仿宋" w:hAnsi="仿宋" w:eastAsia="仿宋" w:cs="仿宋"/>
          <w:b w:val="0"/>
          <w:bCs/>
          <w:sz w:val="28"/>
          <w:szCs w:val="28"/>
        </w:rPr>
      </w:pPr>
      <w:r>
        <w:rPr>
          <w:rFonts w:hint="eastAsia" w:ascii="仿宋" w:hAnsi="仿宋" w:eastAsia="仿宋" w:cs="仿宋"/>
          <w:b w:val="0"/>
          <w:bCs/>
          <w:sz w:val="28"/>
          <w:szCs w:val="28"/>
        </w:rPr>
        <w:t>3.底线管控</w:t>
      </w:r>
    </w:p>
    <w:p w14:paraId="2C4375F2">
      <w:pPr>
        <w:widowControl/>
        <w:ind w:firstLine="482"/>
        <w:jc w:val="left"/>
        <w:rPr>
          <w:rFonts w:hint="eastAsia" w:ascii="仿宋" w:hAnsi="仿宋" w:eastAsia="仿宋" w:cs="仿宋"/>
          <w:b w:val="0"/>
          <w:bCs/>
          <w:sz w:val="28"/>
          <w:szCs w:val="28"/>
        </w:rPr>
      </w:pPr>
      <w:r>
        <w:rPr>
          <w:rFonts w:hint="eastAsia" w:ascii="仿宋" w:hAnsi="仿宋" w:eastAsia="仿宋" w:cs="仿宋"/>
          <w:b w:val="0"/>
          <w:bCs/>
          <w:sz w:val="28"/>
          <w:szCs w:val="28"/>
        </w:rPr>
        <w:t>分析耕地和永久基本农田、生态保护红线、城镇开发边界、洪涝灾害、地质灾害、历史文化遗产保护等底线管控，以及全域约束性自然资源保护(包含山水林田湖草沙海全要素)目标落实等方面的成效及问题。分析耕地、林地、草地、园地空间管控存在冲突的区域、情形及数量，以及其他在国土空间安排上的矛盾冲突，将矛盾冲突图斑等信息纳入国土空间规划“一张图”实施监督信息系统。分析“三区三线”需要优化的区域、情形及理由，作为局部正向优化的依据。</w:t>
      </w:r>
    </w:p>
    <w:p w14:paraId="207B03AF">
      <w:pPr>
        <w:widowControl/>
        <w:ind w:firstLine="482"/>
        <w:jc w:val="left"/>
        <w:rPr>
          <w:rFonts w:hint="eastAsia" w:ascii="仿宋" w:hAnsi="仿宋" w:eastAsia="仿宋" w:cs="仿宋"/>
          <w:b w:val="0"/>
          <w:bCs/>
          <w:sz w:val="28"/>
          <w:szCs w:val="28"/>
        </w:rPr>
      </w:pPr>
      <w:r>
        <w:rPr>
          <w:rFonts w:hint="eastAsia" w:ascii="仿宋" w:hAnsi="仿宋" w:eastAsia="仿宋" w:cs="仿宋"/>
          <w:b w:val="0"/>
          <w:bCs/>
          <w:sz w:val="28"/>
          <w:szCs w:val="28"/>
        </w:rPr>
        <w:t>4.规模结构</w:t>
      </w:r>
    </w:p>
    <w:p w14:paraId="5930B47C">
      <w:pPr>
        <w:widowControl/>
        <w:ind w:firstLine="482"/>
        <w:jc w:val="left"/>
        <w:rPr>
          <w:rFonts w:hint="eastAsia" w:ascii="仿宋" w:hAnsi="仿宋" w:eastAsia="仿宋" w:cs="仿宋"/>
          <w:b w:val="0"/>
          <w:bCs/>
          <w:sz w:val="28"/>
          <w:szCs w:val="28"/>
        </w:rPr>
      </w:pPr>
      <w:r>
        <w:rPr>
          <w:rFonts w:hint="eastAsia" w:ascii="仿宋" w:hAnsi="仿宋" w:eastAsia="仿宋" w:cs="仿宋"/>
          <w:b w:val="0"/>
          <w:bCs/>
          <w:sz w:val="28"/>
          <w:szCs w:val="28"/>
        </w:rPr>
        <w:t>分析优化人口、就业、用地和建筑的规模、结构和布局，提升土地使用效益，推进城市更新等工作的成效及问题。丰富细化体检评估内容，对存量土地规模、结构、效益，商办空置情况等进行分析，对照城市国土空间总体规划确定的空间结构和空间布局优化目标，明确存量空间盘活利用的要求和潜力。</w:t>
      </w:r>
    </w:p>
    <w:p w14:paraId="3C88D4FC">
      <w:pPr>
        <w:widowControl/>
        <w:ind w:firstLine="482"/>
        <w:jc w:val="left"/>
        <w:rPr>
          <w:rFonts w:hint="eastAsia" w:ascii="仿宋" w:hAnsi="仿宋" w:eastAsia="仿宋" w:cs="仿宋"/>
          <w:b w:val="0"/>
          <w:bCs/>
          <w:sz w:val="28"/>
          <w:szCs w:val="28"/>
        </w:rPr>
      </w:pPr>
      <w:r>
        <w:rPr>
          <w:rFonts w:hint="eastAsia" w:ascii="仿宋" w:hAnsi="仿宋" w:eastAsia="仿宋" w:cs="仿宋"/>
          <w:b w:val="0"/>
          <w:bCs/>
          <w:sz w:val="28"/>
          <w:szCs w:val="28"/>
        </w:rPr>
        <w:t>5.空间布局</w:t>
      </w:r>
    </w:p>
    <w:p w14:paraId="685F9C83">
      <w:pPr>
        <w:widowControl/>
        <w:ind w:firstLine="482"/>
        <w:jc w:val="left"/>
        <w:rPr>
          <w:rFonts w:hint="eastAsia" w:ascii="仿宋" w:hAnsi="仿宋" w:eastAsia="仿宋" w:cs="仿宋"/>
          <w:b w:val="0"/>
          <w:bCs/>
          <w:sz w:val="28"/>
          <w:szCs w:val="28"/>
        </w:rPr>
      </w:pPr>
      <w:r>
        <w:rPr>
          <w:rFonts w:hint="eastAsia" w:ascii="仿宋" w:hAnsi="仿宋" w:eastAsia="仿宋" w:cs="仿宋"/>
          <w:b w:val="0"/>
          <w:bCs/>
          <w:sz w:val="28"/>
          <w:szCs w:val="28"/>
        </w:rPr>
        <w:t>分析区域协同、城乡统筹、产城融合、分区发展、重点和薄弱地区建设等空间优化调整方面的成效及问题。对城市空间支撑发展新质生产力、提振消费、促进文化旅游业发展、提高生态产品价值等重点工作进行分析评估。</w:t>
      </w:r>
    </w:p>
    <w:p w14:paraId="37044D0B">
      <w:pPr>
        <w:widowControl/>
        <w:ind w:firstLine="482"/>
        <w:jc w:val="left"/>
        <w:rPr>
          <w:rFonts w:hint="eastAsia" w:ascii="仿宋" w:hAnsi="仿宋" w:eastAsia="仿宋" w:cs="仿宋"/>
          <w:b w:val="0"/>
          <w:bCs/>
          <w:sz w:val="28"/>
          <w:szCs w:val="28"/>
        </w:rPr>
      </w:pPr>
      <w:r>
        <w:rPr>
          <w:rFonts w:hint="eastAsia" w:ascii="仿宋" w:hAnsi="仿宋" w:eastAsia="仿宋" w:cs="仿宋"/>
          <w:b w:val="0"/>
          <w:bCs/>
          <w:sz w:val="28"/>
          <w:szCs w:val="28"/>
        </w:rPr>
        <w:t>6.支撑体系</w:t>
      </w:r>
    </w:p>
    <w:p w14:paraId="3B0C77B6">
      <w:pPr>
        <w:widowControl/>
        <w:ind w:firstLine="482"/>
        <w:jc w:val="left"/>
        <w:rPr>
          <w:rFonts w:hint="eastAsia" w:ascii="仿宋" w:hAnsi="仿宋" w:eastAsia="仿宋" w:cs="仿宋"/>
          <w:b w:val="0"/>
          <w:bCs/>
          <w:sz w:val="28"/>
          <w:szCs w:val="28"/>
        </w:rPr>
      </w:pPr>
      <w:r>
        <w:rPr>
          <w:rFonts w:hint="eastAsia" w:ascii="仿宋" w:hAnsi="仿宋" w:eastAsia="仿宋" w:cs="仿宋"/>
          <w:b w:val="0"/>
          <w:bCs/>
          <w:sz w:val="28"/>
          <w:szCs w:val="28"/>
        </w:rPr>
        <w:t>分析生态环境、住房保障、公共服务、综合交通、市政公用设施、城市安全韧性、城市空间品质、城市设计等方面的成效及问题。结合城市治理重点，对老旧燃气管网改造进度及管道安全距离控制、电动自行车停车场所空间保障、建筑垃圾处置场地设施空间保障等重点任务推进情况进行分析评估。</w:t>
      </w:r>
    </w:p>
    <w:p w14:paraId="68595D5A">
      <w:pPr>
        <w:widowControl/>
        <w:ind w:firstLine="482"/>
        <w:jc w:val="left"/>
        <w:rPr>
          <w:rFonts w:hint="eastAsia" w:ascii="仿宋" w:hAnsi="仿宋" w:eastAsia="仿宋" w:cs="仿宋"/>
          <w:b w:val="0"/>
          <w:bCs/>
          <w:sz w:val="28"/>
          <w:szCs w:val="28"/>
        </w:rPr>
      </w:pPr>
      <w:r>
        <w:rPr>
          <w:rFonts w:hint="eastAsia" w:ascii="仿宋" w:hAnsi="仿宋" w:eastAsia="仿宋" w:cs="仿宋"/>
          <w:b w:val="0"/>
          <w:bCs/>
          <w:sz w:val="28"/>
          <w:szCs w:val="28"/>
        </w:rPr>
        <w:t>7.实施保障</w:t>
      </w:r>
    </w:p>
    <w:p w14:paraId="4839D8B2">
      <w:pPr>
        <w:widowControl/>
        <w:ind w:firstLine="482"/>
        <w:jc w:val="left"/>
        <w:rPr>
          <w:rFonts w:hint="eastAsia" w:ascii="仿宋" w:hAnsi="仿宋" w:eastAsia="仿宋" w:cs="仿宋"/>
          <w:bCs/>
          <w:sz w:val="28"/>
          <w:szCs w:val="28"/>
        </w:rPr>
      </w:pPr>
      <w:r>
        <w:rPr>
          <w:rFonts w:hint="eastAsia" w:ascii="仿宋" w:hAnsi="仿宋" w:eastAsia="仿宋" w:cs="仿宋"/>
          <w:b w:val="0"/>
          <w:bCs/>
          <w:sz w:val="28"/>
          <w:szCs w:val="28"/>
        </w:rPr>
        <w:t>分析实施总体规划所开展的行动计划、执法督察、政策机制保障、信息化平台建设，以及落实总体规划的详细规划、相关专项规划及县级或乡镇级总体规划的编制、实施等方面的成效及问题。</w:t>
      </w:r>
    </w:p>
    <w:p w14:paraId="31ABD458">
      <w:pPr>
        <w:widowControl/>
        <w:ind w:firstLine="482"/>
        <w:jc w:val="left"/>
        <w:rPr>
          <w:rFonts w:hint="eastAsia" w:ascii="仿宋" w:hAnsi="仿宋" w:eastAsia="仿宋" w:cs="仿宋"/>
          <w:b/>
          <w:sz w:val="28"/>
          <w:szCs w:val="28"/>
        </w:rPr>
      </w:pPr>
      <w:r>
        <w:rPr>
          <w:rFonts w:hint="eastAsia" w:ascii="仿宋" w:hAnsi="仿宋" w:eastAsia="仿宋" w:cs="仿宋"/>
          <w:b/>
          <w:sz w:val="28"/>
          <w:szCs w:val="28"/>
        </w:rPr>
        <w:t>四、成果要求</w:t>
      </w:r>
    </w:p>
    <w:p w14:paraId="64552E03">
      <w:pPr>
        <w:pStyle w:val="2"/>
        <w:rPr>
          <w:rFonts w:hint="eastAsia" w:ascii="仿宋" w:hAnsi="仿宋" w:eastAsia="仿宋" w:cs="仿宋"/>
          <w:bCs/>
          <w:sz w:val="28"/>
          <w:szCs w:val="28"/>
        </w:rPr>
      </w:pPr>
      <w:r>
        <w:rPr>
          <w:rFonts w:hint="eastAsia" w:ascii="仿宋" w:hAnsi="仿宋" w:eastAsia="仿宋" w:cs="仿宋"/>
          <w:bCs/>
          <w:sz w:val="28"/>
          <w:szCs w:val="28"/>
        </w:rPr>
        <w:t>资溪县国士空间规划动态调整完善方案：方案参照规划动态维护方案编制，另增加包括但不限于主要约束性规划指标分解、主体功能分区等内容。在方案论证阶段和成果报批之前，审查机关应组织专家参与论证和进行审查。规划修改成果包含规划文本（含附表）、图件、说明、专题研究报告、国土空间规划“一张图”数据库、国土空间规划“一张图”信息系统评估报告（市级提供）、相关附件材料等。</w:t>
      </w:r>
    </w:p>
    <w:p w14:paraId="42ACE4FF">
      <w:pPr>
        <w:pStyle w:val="2"/>
        <w:rPr>
          <w:rFonts w:hint="eastAsia" w:ascii="仿宋" w:hAnsi="仿宋" w:eastAsia="仿宋" w:cs="仿宋"/>
          <w:bCs/>
          <w:sz w:val="28"/>
          <w:szCs w:val="28"/>
        </w:rPr>
      </w:pPr>
      <w:r>
        <w:rPr>
          <w:rFonts w:hint="eastAsia" w:ascii="仿宋" w:hAnsi="仿宋" w:eastAsia="仿宋" w:cs="仿宋"/>
          <w:bCs/>
          <w:sz w:val="28"/>
          <w:szCs w:val="28"/>
        </w:rPr>
        <w:t>2025年资溪县国士空间规划城市体检评估报告：年度体检报告主要包括总体结论，规划实施成效、存在问题及原因分析，对策建议等。体检成果要对上一年体检发现问题的整改情况进行说明。附件包括城市体检指标表、年度重点任务完成清单、年度规划实施分析图、年度专题评价报告、年度规划实施社会满意度评价报告、年度体检基础数据库建设情况说明等。</w:t>
      </w:r>
    </w:p>
    <w:p w14:paraId="653E0045">
      <w:pPr>
        <w:pStyle w:val="2"/>
        <w:rPr>
          <w:rFonts w:hint="eastAsia" w:ascii="仿宋" w:hAnsi="仿宋" w:eastAsia="仿宋" w:cs="仿宋"/>
          <w:bCs/>
          <w:sz w:val="28"/>
          <w:szCs w:val="28"/>
        </w:rPr>
      </w:pPr>
      <w:r>
        <w:rPr>
          <w:rFonts w:hint="eastAsia" w:ascii="仿宋" w:hAnsi="仿宋" w:eastAsia="仿宋" w:cs="仿宋"/>
          <w:bCs/>
          <w:sz w:val="28"/>
          <w:szCs w:val="28"/>
        </w:rPr>
        <w:t>成果应符合《江西省自然资源厅关于开展市县国土空间总体规划动态调整完善工作方案的通知》、《江西省市县级国土空间总体规划动态调整完善方案编制指南》、自然资源部办公厅关于印发《国土空间规划城市体检评估规程(2025年修订版)》的通知等相关通知文件要求。</w:t>
      </w:r>
    </w:p>
    <w:p w14:paraId="6C0FFF86">
      <w:pPr>
        <w:pStyle w:val="2"/>
        <w:rPr>
          <w:rFonts w:hint="eastAsia" w:ascii="仿宋" w:hAnsi="仿宋" w:eastAsia="仿宋" w:cs="仿宋"/>
          <w:bCs/>
          <w:sz w:val="28"/>
          <w:szCs w:val="28"/>
        </w:rPr>
      </w:pPr>
      <w:r>
        <w:rPr>
          <w:rFonts w:hint="eastAsia" w:ascii="仿宋" w:hAnsi="仿宋" w:eastAsia="仿宋" w:cs="仿宋"/>
          <w:bCs/>
          <w:sz w:val="28"/>
          <w:szCs w:val="28"/>
        </w:rPr>
        <w:t>本次规划编制过程中涉及的数据、材料及取得的成果等均应按照国家要求的保密级别进行管理和使用。参与调查的单位和个人，对调查工作中使用或者获得的属于国家秘密的文件资料、信息数据，必须严格执行国家有关保密法律法规，确保不发生泄密的问题。本次调查和规划成果，任何单位和个人不得擅自公布。</w:t>
      </w:r>
    </w:p>
    <w:p w14:paraId="31309624">
      <w:pPr>
        <w:pStyle w:val="2"/>
        <w:rPr>
          <w:rFonts w:hint="eastAsia" w:ascii="仿宋" w:hAnsi="仿宋" w:eastAsia="仿宋" w:cs="仿宋"/>
          <w:bCs/>
          <w:sz w:val="28"/>
          <w:szCs w:val="28"/>
        </w:rPr>
      </w:pPr>
    </w:p>
    <w:p w14:paraId="102396DD">
      <w:pPr>
        <w:pStyle w:val="2"/>
        <w:rPr>
          <w:rFonts w:hint="eastAsia" w:ascii="仿宋" w:hAnsi="仿宋" w:eastAsia="仿宋" w:cs="仿宋"/>
          <w:b/>
          <w:sz w:val="28"/>
          <w:szCs w:val="28"/>
        </w:rPr>
      </w:pPr>
      <w:r>
        <w:rPr>
          <w:rFonts w:hint="eastAsia" w:ascii="仿宋" w:hAnsi="仿宋" w:eastAsia="仿宋" w:cs="仿宋"/>
          <w:b/>
          <w:bCs w:val="0"/>
          <w:sz w:val="28"/>
          <w:szCs w:val="28"/>
          <w:lang w:val="en-US" w:eastAsia="zh-CN"/>
        </w:rPr>
        <w:t>备注：1、</w:t>
      </w:r>
      <w:r>
        <w:rPr>
          <w:rFonts w:hint="eastAsia" w:ascii="仿宋" w:hAnsi="仿宋" w:eastAsia="仿宋" w:cs="仿宋"/>
          <w:b/>
          <w:bCs w:val="0"/>
          <w:sz w:val="28"/>
          <w:szCs w:val="28"/>
        </w:rPr>
        <w:t>以上条款供应商必须完全响应，</w:t>
      </w:r>
      <w:r>
        <w:rPr>
          <w:rFonts w:hint="eastAsia" w:ascii="仿宋" w:hAnsi="仿宋" w:eastAsia="仿宋" w:cs="仿宋"/>
          <w:b/>
          <w:sz w:val="28"/>
          <w:szCs w:val="28"/>
        </w:rPr>
        <w:t>否则视为无效的投标</w:t>
      </w:r>
    </w:p>
    <w:p w14:paraId="5F4743EC">
      <w:pPr>
        <w:pStyle w:val="2"/>
        <w:numPr>
          <w:ilvl w:val="0"/>
          <w:numId w:val="2"/>
        </w:numPr>
        <w:rPr>
          <w:rFonts w:hint="eastAsia" w:ascii="仿宋" w:hAnsi="仿宋" w:eastAsia="仿宋" w:cs="仿宋"/>
          <w:b/>
          <w:sz w:val="28"/>
          <w:szCs w:val="28"/>
        </w:rPr>
      </w:pPr>
      <w:r>
        <w:rPr>
          <w:rFonts w:hint="eastAsia" w:ascii="仿宋" w:hAnsi="仿宋" w:eastAsia="仿宋" w:cs="仿宋"/>
          <w:b/>
          <w:sz w:val="28"/>
          <w:szCs w:val="28"/>
        </w:rPr>
        <w:t>中标供应商提供虚假材料和文件意图骗取中标，采购人向财政监管部门提请将其加入政府采购黑名单。采购人将拒绝支付合同款项。</w:t>
      </w:r>
    </w:p>
    <w:p w14:paraId="253B13F1">
      <w:bookmarkStart w:id="0" w:name="_GoBack"/>
      <w:bookmarkEnd w:id="0"/>
    </w:p>
    <w:sectPr>
      <w:pgSz w:w="11906" w:h="16838"/>
      <w:pgMar w:top="1440" w:right="1800" w:bottom="1440" w:left="1800" w:header="851" w:footer="992" w:gutter="0"/>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
    <w:panose1 w:val="02010609060101010101"/>
    <w:charset w:val="86"/>
    <w:family w:val="auto"/>
    <w:pitch w:val="default"/>
    <w:sig w:usb0="800002BF" w:usb1="38CF7CFA" w:usb2="00000016" w:usb3="00000000" w:csb0="0004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pPr>
      <w:r>
        <w:separator/>
      </w:r>
    </w:p>
  </w:footnote>
  <w:footnote w:type="continuationSeparator" w:id="1">
    <w:p>
      <w:pPr>
        <w:spacing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C0AC7C8A"/>
    <w:multiLevelType w:val="singleLevel"/>
    <w:tmpl w:val="C0AC7C8A"/>
    <w:lvl w:ilvl="0" w:tentative="0">
      <w:start w:val="2"/>
      <w:numFmt w:val="decimal"/>
      <w:suff w:val="nothing"/>
      <w:lvlText w:val="%1、"/>
      <w:lvlJc w:val="left"/>
    </w:lvl>
  </w:abstractNum>
  <w:abstractNum w:abstractNumId="1">
    <w:nsid w:val="E81DFC44"/>
    <w:multiLevelType w:val="singleLevel"/>
    <w:tmpl w:val="E81DFC44"/>
    <w:lvl w:ilvl="0" w:tentative="0">
      <w:start w:val="2"/>
      <w:numFmt w:val="chineseCounting"/>
      <w:suff w:val="space"/>
      <w:lvlText w:val="第%1章"/>
      <w:lvlJc w:val="left"/>
      <w:rPr>
        <w:rFonts w:hint="eastAsia"/>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6"/>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24CC017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semiHidden/>
    <w:qFormat/>
    <w:uiPriority w:val="0"/>
    <w:pPr>
      <w:kinsoku w:val="0"/>
      <w:autoSpaceDE w:val="0"/>
      <w:autoSpaceDN w:val="0"/>
      <w:adjustRightInd w:val="0"/>
      <w:snapToGrid w:val="0"/>
      <w:spacing w:line="240" w:lineRule="auto"/>
      <w:jc w:val="left"/>
      <w:textAlignment w:val="baseline"/>
    </w:pPr>
    <w:rPr>
      <w:rFonts w:ascii="Arial" w:hAnsi="Arial" w:eastAsia="Arial" w:cs="Arial"/>
      <w:snapToGrid w:val="0"/>
      <w:color w:val="000000"/>
      <w:kern w:val="0"/>
      <w:sz w:val="21"/>
      <w:szCs w:val="21"/>
      <w:lang w:val="en-US" w:eastAsia="en-US" w:bidi="ar-SA"/>
    </w:rPr>
  </w:style>
  <w:style w:type="character" w:default="1" w:styleId="5">
    <w:name w:val="Default Paragraph Font"/>
    <w:semiHidden/>
    <w:uiPriority w:val="0"/>
  </w:style>
  <w:style w:type="table" w:default="1" w:styleId="4">
    <w:name w:val="Normal Table"/>
    <w:semiHidden/>
    <w:uiPriority w:val="0"/>
    <w:tblPr>
      <w:tblCellMar>
        <w:top w:w="0" w:type="dxa"/>
        <w:left w:w="108" w:type="dxa"/>
        <w:bottom w:w="0" w:type="dxa"/>
        <w:right w:w="108" w:type="dxa"/>
      </w:tblCellMar>
    </w:tblPr>
  </w:style>
  <w:style w:type="paragraph" w:styleId="2">
    <w:name w:val="Body Text First Indent 2"/>
    <w:basedOn w:val="3"/>
    <w:qFormat/>
    <w:uiPriority w:val="0"/>
    <w:pPr>
      <w:ind w:firstLine="420" w:firstLineChars="200"/>
    </w:pPr>
  </w:style>
  <w:style w:type="paragraph" w:styleId="3">
    <w:name w:val="Body Text Indent"/>
    <w:basedOn w:val="1"/>
    <w:qFormat/>
    <w:uiPriority w:val="0"/>
    <w:pPr>
      <w:spacing w:after="120"/>
      <w:ind w:left="420" w:leftChars="200"/>
    </w:pPr>
    <w:rPr>
      <w:sz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5</Pages>
  <Words>0</Words>
  <Characters>0</Characters>
  <Lines>0</Lines>
  <Paragraphs>0</Paragraphs>
  <TotalTime>0</TotalTime>
  <ScaleCrop>false</ScaleCrop>
  <LinksUpToDate>false</LinksUpToDate>
  <CharactersWithSpaces>0</CharactersWithSpaces>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2026-06-16T10:54:45Z</dcterms:created>
  <dc:creator>GIGA</dc:creator>
  <cp:lastModifiedBy>GIGA</cp:lastModifiedBy>
  <dcterms:modified xsi:type="dcterms:W3CDTF">2026-06-16T10:55:16Z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2052-12.1.0.22529</vt:lpwstr>
  </property>
  <property fmtid="{D5CDD505-2E9C-101B-9397-08002B2CF9AE}" pid="3" name="KSOTemplateDocerSaveRecord">
    <vt:lpwstr>eyJoZGlkIjoiNzg0ZjJjY2ExMjE0YTQ5ZGQ3ZGRjYTdkNDRjZWU5ODEiLCJ1c2VySWQiOiI3NjU5ODgyMTAifQ==</vt:lpwstr>
  </property>
  <property fmtid="{D5CDD505-2E9C-101B-9397-08002B2CF9AE}" pid="4" name="ICV">
    <vt:lpwstr>24E3A3E8FAB943ED974ACD63FA3CA7A4_12</vt:lpwstr>
  </property>
</Properties>
</file>