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7A6896">
      <w:pPr>
        <w:pageBreakBefore w:val="0"/>
        <w:widowControl w:val="0"/>
        <w:wordWrap/>
        <w:overflowPunct/>
        <w:topLinePunct w:val="0"/>
        <w:bidi w:val="0"/>
        <w:spacing w:line="258" w:lineRule="auto"/>
        <w:rPr>
          <w:color w:val="auto"/>
          <w:spacing w:val="0"/>
          <w:w w:val="100"/>
          <w:position w:val="0"/>
          <w:highlight w:val="none"/>
        </w:rPr>
      </w:pPr>
    </w:p>
    <w:p w14:paraId="7E2A7E28">
      <w:pPr>
        <w:pStyle w:val="3"/>
        <w:numPr>
          <w:ilvl w:val="0"/>
          <w:numId w:val="0"/>
        </w:numPr>
        <w:bidi w:val="0"/>
        <w:ind w:firstLine="0" w:firstLineChars="0"/>
        <w:rPr>
          <w:rFonts w:hint="eastAsia"/>
          <w:color w:val="auto"/>
          <w:highlight w:val="none"/>
        </w:rPr>
      </w:pPr>
      <w:r>
        <w:rPr>
          <w:rFonts w:hint="eastAsia" w:ascii="Arial" w:hAnsi="Arial" w:eastAsia="宋体" w:cs="Arial"/>
          <w:b/>
          <w:snapToGrid w:val="0"/>
          <w:color w:val="auto"/>
          <w:kern w:val="0"/>
          <w:sz w:val="28"/>
          <w:szCs w:val="21"/>
          <w:highlight w:val="none"/>
          <w:lang w:val="en-US" w:eastAsia="en-US" w:bidi="ar-SA"/>
        </w:rPr>
        <w:t>（一）</w:t>
      </w:r>
      <w:r>
        <w:rPr>
          <w:rFonts w:hint="eastAsia"/>
          <w:color w:val="auto"/>
          <w:highlight w:val="none"/>
        </w:rPr>
        <w:t>技术需求</w:t>
      </w:r>
    </w:p>
    <w:tbl>
      <w:tblPr>
        <w:tblStyle w:val="6"/>
        <w:tblW w:w="9229"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32"/>
        <w:gridCol w:w="1454"/>
        <w:gridCol w:w="4680"/>
        <w:gridCol w:w="813"/>
        <w:gridCol w:w="707"/>
        <w:gridCol w:w="843"/>
      </w:tblGrid>
      <w:tr w14:paraId="448B31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E0744">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序号</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DAB08">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名称</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08070">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规格参数</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1B4A6">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单位</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BF375">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数量</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BB899">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备注</w:t>
            </w:r>
          </w:p>
        </w:tc>
      </w:tr>
      <w:tr w14:paraId="5DD19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2186" w:type="dxa"/>
            <w:gridSpan w:val="2"/>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7DD3E8E1">
            <w:pPr>
              <w:jc w:val="left"/>
              <w:rPr>
                <w:rFonts w:hint="eastAsia" w:ascii="宋体" w:hAnsi="宋体" w:eastAsia="宋体" w:cs="宋体"/>
                <w:b/>
                <w:bCs/>
                <w:i w:val="0"/>
                <w:iCs w:val="0"/>
                <w:color w:val="auto"/>
                <w:sz w:val="18"/>
                <w:szCs w:val="18"/>
                <w:highlight w:val="none"/>
                <w:u w:val="none"/>
              </w:rPr>
            </w:pPr>
            <w:r>
              <w:rPr>
                <w:rFonts w:hint="eastAsia" w:ascii="宋体" w:hAnsi="宋体" w:eastAsia="宋体" w:cs="宋体"/>
                <w:b/>
                <w:bCs/>
                <w:i w:val="0"/>
                <w:iCs w:val="0"/>
                <w:snapToGrid w:val="0"/>
                <w:color w:val="auto"/>
                <w:kern w:val="0"/>
                <w:sz w:val="18"/>
                <w:szCs w:val="18"/>
                <w:highlight w:val="none"/>
                <w:u w:val="none"/>
                <w:lang w:val="en-US" w:eastAsia="zh-CN" w:bidi="ar"/>
              </w:rPr>
              <w:t>多媒体会议系统-会议室</w:t>
            </w:r>
          </w:p>
        </w:tc>
        <w:tc>
          <w:tcPr>
            <w:tcW w:w="4680" w:type="dxa"/>
            <w:tcBorders>
              <w:top w:val="single" w:color="000000" w:sz="4" w:space="0"/>
              <w:left w:val="single" w:color="000000" w:sz="4" w:space="0"/>
              <w:bottom w:val="single" w:color="000000" w:sz="4" w:space="0"/>
              <w:right w:val="single" w:color="000000" w:sz="4" w:space="0"/>
            </w:tcBorders>
            <w:shd w:val="clear" w:color="auto" w:fill="FFFF00"/>
            <w:vAlign w:val="center"/>
          </w:tcPr>
          <w:p w14:paraId="7832F4DC">
            <w:pPr>
              <w:jc w:val="center"/>
              <w:rPr>
                <w:rFonts w:hint="eastAsia" w:ascii="宋体" w:hAnsi="宋体" w:eastAsia="宋体" w:cs="宋体"/>
                <w:b/>
                <w:bCs/>
                <w:i w:val="0"/>
                <w:iCs w:val="0"/>
                <w:color w:val="auto"/>
                <w:sz w:val="18"/>
                <w:szCs w:val="18"/>
                <w:highlight w:val="none"/>
                <w:u w:val="none"/>
              </w:rPr>
            </w:pPr>
          </w:p>
        </w:tc>
        <w:tc>
          <w:tcPr>
            <w:tcW w:w="813" w:type="dxa"/>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3C7999EC">
            <w:pPr>
              <w:jc w:val="center"/>
              <w:rPr>
                <w:rFonts w:hint="eastAsia" w:ascii="宋体" w:hAnsi="宋体" w:eastAsia="宋体" w:cs="宋体"/>
                <w:b/>
                <w:bCs/>
                <w:i w:val="0"/>
                <w:iCs w:val="0"/>
                <w:color w:val="auto"/>
                <w:sz w:val="18"/>
                <w:szCs w:val="18"/>
                <w:highlight w:val="none"/>
                <w:u w:val="none"/>
              </w:rPr>
            </w:pPr>
          </w:p>
        </w:tc>
        <w:tc>
          <w:tcPr>
            <w:tcW w:w="707" w:type="dxa"/>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6DCD9140">
            <w:pPr>
              <w:jc w:val="center"/>
              <w:rPr>
                <w:rFonts w:hint="eastAsia" w:ascii="宋体" w:hAnsi="宋体" w:eastAsia="宋体" w:cs="宋体"/>
                <w:b/>
                <w:bCs/>
                <w:i w:val="0"/>
                <w:iCs w:val="0"/>
                <w:color w:val="auto"/>
                <w:sz w:val="18"/>
                <w:szCs w:val="18"/>
                <w:highlight w:val="none"/>
                <w:u w:val="none"/>
              </w:rPr>
            </w:pPr>
          </w:p>
        </w:tc>
        <w:tc>
          <w:tcPr>
            <w:tcW w:w="843" w:type="dxa"/>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0A3C0840">
            <w:pPr>
              <w:jc w:val="center"/>
              <w:rPr>
                <w:rFonts w:hint="eastAsia" w:ascii="宋体" w:hAnsi="宋体" w:eastAsia="宋体" w:cs="宋体"/>
                <w:b/>
                <w:bCs/>
                <w:i w:val="0"/>
                <w:iCs w:val="0"/>
                <w:color w:val="auto"/>
                <w:sz w:val="18"/>
                <w:szCs w:val="18"/>
                <w:highlight w:val="none"/>
                <w:u w:val="none"/>
              </w:rPr>
            </w:pPr>
          </w:p>
        </w:tc>
      </w:tr>
      <w:tr w14:paraId="3A232E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2186" w:type="dxa"/>
            <w:gridSpan w:val="2"/>
            <w:tcBorders>
              <w:top w:val="single" w:color="000000" w:sz="4" w:space="0"/>
              <w:left w:val="single" w:color="000000" w:sz="4" w:space="0"/>
              <w:bottom w:val="single" w:color="000000" w:sz="4" w:space="0"/>
              <w:right w:val="single" w:color="000000" w:sz="4" w:space="0"/>
            </w:tcBorders>
            <w:shd w:val="clear" w:color="auto" w:fill="00B0F0"/>
            <w:noWrap/>
            <w:vAlign w:val="center"/>
          </w:tcPr>
          <w:p w14:paraId="598E9E8F">
            <w:pPr>
              <w:rPr>
                <w:rFonts w:hint="eastAsia" w:ascii="宋体" w:hAnsi="宋体" w:eastAsia="宋体" w:cs="宋体"/>
                <w:b/>
                <w:bCs/>
                <w:i w:val="0"/>
                <w:iCs w:val="0"/>
                <w:color w:val="auto"/>
                <w:sz w:val="18"/>
                <w:szCs w:val="18"/>
                <w:highlight w:val="none"/>
                <w:u w:val="none"/>
              </w:rPr>
            </w:pPr>
            <w:r>
              <w:rPr>
                <w:rFonts w:hint="eastAsia" w:ascii="宋体" w:hAnsi="宋体" w:eastAsia="宋体" w:cs="宋体"/>
                <w:b/>
                <w:bCs/>
                <w:i w:val="0"/>
                <w:iCs w:val="0"/>
                <w:snapToGrid w:val="0"/>
                <w:color w:val="auto"/>
                <w:kern w:val="0"/>
                <w:sz w:val="18"/>
                <w:szCs w:val="18"/>
                <w:highlight w:val="none"/>
                <w:u w:val="none"/>
                <w:lang w:val="en-US" w:eastAsia="zh-CN" w:bidi="ar"/>
              </w:rPr>
              <w:t>一、会议室（一楼）</w:t>
            </w:r>
          </w:p>
        </w:tc>
        <w:tc>
          <w:tcPr>
            <w:tcW w:w="4680" w:type="dxa"/>
            <w:tcBorders>
              <w:top w:val="single" w:color="000000" w:sz="4" w:space="0"/>
              <w:left w:val="single" w:color="000000" w:sz="4" w:space="0"/>
              <w:bottom w:val="single" w:color="000000" w:sz="4" w:space="0"/>
              <w:right w:val="single" w:color="000000" w:sz="4" w:space="0"/>
            </w:tcBorders>
            <w:shd w:val="clear" w:color="auto" w:fill="00B0F0"/>
            <w:vAlign w:val="center"/>
          </w:tcPr>
          <w:p w14:paraId="4F52911C">
            <w:pPr>
              <w:rPr>
                <w:rFonts w:hint="eastAsia" w:ascii="宋体" w:hAnsi="宋体" w:eastAsia="宋体" w:cs="宋体"/>
                <w:b/>
                <w:bCs/>
                <w:i w:val="0"/>
                <w:iCs w:val="0"/>
                <w:color w:val="auto"/>
                <w:sz w:val="18"/>
                <w:szCs w:val="18"/>
                <w:highlight w:val="none"/>
                <w:u w:val="none"/>
              </w:rPr>
            </w:pPr>
          </w:p>
        </w:tc>
        <w:tc>
          <w:tcPr>
            <w:tcW w:w="813" w:type="dxa"/>
            <w:tcBorders>
              <w:top w:val="single" w:color="000000" w:sz="4" w:space="0"/>
              <w:left w:val="single" w:color="000000" w:sz="4" w:space="0"/>
              <w:bottom w:val="single" w:color="000000" w:sz="4" w:space="0"/>
              <w:right w:val="single" w:color="000000" w:sz="4" w:space="0"/>
            </w:tcBorders>
            <w:shd w:val="clear" w:color="auto" w:fill="00B0F0"/>
            <w:noWrap/>
            <w:vAlign w:val="center"/>
          </w:tcPr>
          <w:p w14:paraId="3F57D27A">
            <w:pPr>
              <w:rPr>
                <w:rFonts w:hint="eastAsia" w:ascii="宋体" w:hAnsi="宋体" w:eastAsia="宋体" w:cs="宋体"/>
                <w:b/>
                <w:bCs/>
                <w:i w:val="0"/>
                <w:iCs w:val="0"/>
                <w:color w:val="auto"/>
                <w:sz w:val="18"/>
                <w:szCs w:val="18"/>
                <w:highlight w:val="none"/>
                <w:u w:val="none"/>
              </w:rPr>
            </w:pPr>
          </w:p>
        </w:tc>
        <w:tc>
          <w:tcPr>
            <w:tcW w:w="707" w:type="dxa"/>
            <w:tcBorders>
              <w:top w:val="single" w:color="000000" w:sz="4" w:space="0"/>
              <w:left w:val="single" w:color="000000" w:sz="4" w:space="0"/>
              <w:bottom w:val="single" w:color="000000" w:sz="4" w:space="0"/>
              <w:right w:val="single" w:color="000000" w:sz="4" w:space="0"/>
            </w:tcBorders>
            <w:shd w:val="clear" w:color="auto" w:fill="00B0F0"/>
            <w:noWrap/>
            <w:vAlign w:val="center"/>
          </w:tcPr>
          <w:p w14:paraId="211443D2">
            <w:pPr>
              <w:jc w:val="center"/>
              <w:rPr>
                <w:rFonts w:hint="eastAsia" w:ascii="宋体" w:hAnsi="宋体" w:eastAsia="宋体" w:cs="宋体"/>
                <w:b/>
                <w:bCs/>
                <w:i w:val="0"/>
                <w:iCs w:val="0"/>
                <w:color w:val="auto"/>
                <w:sz w:val="18"/>
                <w:szCs w:val="18"/>
                <w:highlight w:val="none"/>
                <w:u w:val="none"/>
              </w:rPr>
            </w:pPr>
          </w:p>
        </w:tc>
        <w:tc>
          <w:tcPr>
            <w:tcW w:w="843" w:type="dxa"/>
            <w:tcBorders>
              <w:top w:val="single" w:color="000000" w:sz="4" w:space="0"/>
              <w:left w:val="single" w:color="000000" w:sz="4" w:space="0"/>
              <w:bottom w:val="single" w:color="000000" w:sz="4" w:space="0"/>
              <w:right w:val="single" w:color="000000" w:sz="4" w:space="0"/>
            </w:tcBorders>
            <w:shd w:val="clear" w:color="auto" w:fill="00B0F0"/>
            <w:noWrap/>
            <w:vAlign w:val="center"/>
          </w:tcPr>
          <w:p w14:paraId="55EE43EC">
            <w:pPr>
              <w:jc w:val="center"/>
              <w:rPr>
                <w:rFonts w:hint="eastAsia" w:ascii="宋体" w:hAnsi="宋体" w:eastAsia="宋体" w:cs="宋体"/>
                <w:b/>
                <w:bCs/>
                <w:i w:val="0"/>
                <w:iCs w:val="0"/>
                <w:color w:val="auto"/>
                <w:sz w:val="18"/>
                <w:szCs w:val="18"/>
                <w:highlight w:val="none"/>
                <w:u w:val="none"/>
              </w:rPr>
            </w:pPr>
          </w:p>
        </w:tc>
      </w:tr>
      <w:tr w14:paraId="3B6D3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1D6C1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9B6D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65英寸会议一体机</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7F39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1.液晶屏显示尺寸≥65英寸DLED背光源；显示比例：16:9；可视角度≥178°；分辨率≥3840×2160；灰阶等级≥256级，A级标准；采用全贴合工艺，整机支持≥1.07B(10bit)色深，显示色彩过渡自然。</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2.对比度≥5000:1；色域覆盖率（NTSC）≥95%；色域覆盖率（sRGB）≥130%；整机待机状态下节能≥99.8%；亮度均匀性≥90%；产品使用时屏幕亮度≥500cd/㎡；待机功率≤0.5W。</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3.采用红外触控方案，具备抗干扰驱动算法，全通道支持≥50点触控，光标移动速度≥150帧/秒，触摸分辨率：≥32768×32768；书写定位精度：±0.1mm，最小触摸物体直径≤2mm。</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07740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60828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C72D08">
            <w:pPr>
              <w:jc w:val="center"/>
              <w:rPr>
                <w:rFonts w:hint="eastAsia" w:ascii="宋体" w:hAnsi="宋体" w:eastAsia="宋体" w:cs="宋体"/>
                <w:i w:val="0"/>
                <w:iCs w:val="0"/>
                <w:color w:val="auto"/>
                <w:sz w:val="18"/>
                <w:szCs w:val="18"/>
                <w:highlight w:val="none"/>
                <w:u w:val="none"/>
              </w:rPr>
            </w:pPr>
          </w:p>
        </w:tc>
      </w:tr>
      <w:tr w14:paraId="2844FF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1C51B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9C0F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无线投屏器</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30FD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1.传屏宝接口：标准USB2.0接口，可兼容具备通用USB端口的电脑，插入电脑后启动提示时间≤3秒，支持2.4G/5.0G频段传输。</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2.整机按键：采用单按键设计，只需一键即可传屏。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3.传输时延：传输时延≤65ms，无线传输距离≥15m。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4.传输功能：整机内置接收模块，除无线传屏宝外不需要连接任何附加设备，可实现外部电脑音视频信号实时传输到触控平板上，支持触摸回控。</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5.分屏功能：支持同时连接≥16只传屏宝，画面可分别投屏到同一触控平板上，通过按键切换传输不同外部电脑的画面及声音；支持二/三/四分屏，可对每个传屏内容进行独立反向操作。</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6.分屏状态切换：支持分屏状态与全屏状态切换，支持分屏状态下触控回传，实现触控平板上远程操作个人设备回控延迟≤15ms。</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7.无线传屏：通过软传屏，实现两个大屏之间的连接，进行屏幕复制。</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8.传屏比例：支持非16：9电脑画面传屏，比例调节至全屏显示。</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9.传屏场景：≥72小时长时间不间断传屏，支持传屏宝反复插拔，支持多台电脑和多个传屏宝进行随机组合，多个传屏宝之间可以相互抢占传屏画面，不影响正常传屏。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10.传屏内容选择：传画面时只传窗口/选择传屏时是否传声音/传屏是否传鼠标光标。</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11.扩展传屏：传屏宝支持扩展功能。</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7679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391FC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6F690E">
            <w:pPr>
              <w:jc w:val="center"/>
              <w:rPr>
                <w:rFonts w:hint="eastAsia" w:ascii="宋体" w:hAnsi="宋体" w:eastAsia="宋体" w:cs="宋体"/>
                <w:i w:val="0"/>
                <w:iCs w:val="0"/>
                <w:color w:val="auto"/>
                <w:sz w:val="18"/>
                <w:szCs w:val="18"/>
                <w:highlight w:val="none"/>
                <w:u w:val="none"/>
              </w:rPr>
            </w:pPr>
          </w:p>
        </w:tc>
      </w:tr>
      <w:tr w14:paraId="64808B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8"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7BCAC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6DAB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移动支架</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58D9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1、最大承重：≥100kg</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2、适合尺寸：55-86英寸</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3、脚轮尺寸：≥3英寸（静音轮）</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84C9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E9D3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1C67F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24E954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CFAF5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F07A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智能笔</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F07C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数据传输方式：2.4GHz RF</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距离控制:≥15m</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4198F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A0527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6CC66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0FB0B2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9DB8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210F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视频高清线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1EE2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HDMI线材质: 纯铜长度:≥15米</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F480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根</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4F2F5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B6179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56CD2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2186" w:type="dxa"/>
            <w:gridSpan w:val="2"/>
            <w:tcBorders>
              <w:top w:val="single" w:color="000000" w:sz="4" w:space="0"/>
              <w:left w:val="single" w:color="000000" w:sz="4" w:space="0"/>
              <w:bottom w:val="single" w:color="000000" w:sz="4" w:space="0"/>
              <w:right w:val="single" w:color="000000" w:sz="4" w:space="0"/>
            </w:tcBorders>
            <w:shd w:val="clear" w:color="auto" w:fill="00B0F0"/>
            <w:noWrap/>
            <w:vAlign w:val="center"/>
          </w:tcPr>
          <w:p w14:paraId="6F829DD1">
            <w:pPr>
              <w:rPr>
                <w:rFonts w:hint="eastAsia" w:ascii="宋体" w:hAnsi="宋体" w:eastAsia="宋体" w:cs="宋体"/>
                <w:b/>
                <w:bCs/>
                <w:i w:val="0"/>
                <w:iCs w:val="0"/>
                <w:color w:val="auto"/>
                <w:sz w:val="18"/>
                <w:szCs w:val="18"/>
                <w:highlight w:val="none"/>
                <w:u w:val="none"/>
              </w:rPr>
            </w:pPr>
            <w:r>
              <w:rPr>
                <w:rFonts w:hint="eastAsia" w:ascii="宋体" w:hAnsi="宋体" w:eastAsia="宋体" w:cs="宋体"/>
                <w:b/>
                <w:bCs/>
                <w:i w:val="0"/>
                <w:iCs w:val="0"/>
                <w:snapToGrid w:val="0"/>
                <w:color w:val="auto"/>
                <w:kern w:val="0"/>
                <w:sz w:val="18"/>
                <w:szCs w:val="18"/>
                <w:highlight w:val="none"/>
                <w:u w:val="none"/>
                <w:lang w:val="en-US" w:eastAsia="zh-CN" w:bidi="ar"/>
              </w:rPr>
              <w:t>二、会议室（二楼）</w:t>
            </w:r>
          </w:p>
        </w:tc>
        <w:tc>
          <w:tcPr>
            <w:tcW w:w="4680" w:type="dxa"/>
            <w:tcBorders>
              <w:top w:val="single" w:color="000000" w:sz="4" w:space="0"/>
              <w:left w:val="single" w:color="000000" w:sz="4" w:space="0"/>
              <w:bottom w:val="single" w:color="000000" w:sz="4" w:space="0"/>
              <w:right w:val="single" w:color="000000" w:sz="4" w:space="0"/>
            </w:tcBorders>
            <w:shd w:val="clear" w:color="auto" w:fill="00B0F0"/>
            <w:vAlign w:val="center"/>
          </w:tcPr>
          <w:p w14:paraId="05EA932E">
            <w:pPr>
              <w:rPr>
                <w:rFonts w:hint="eastAsia" w:ascii="宋体" w:hAnsi="宋体" w:eastAsia="宋体" w:cs="宋体"/>
                <w:b/>
                <w:bCs/>
                <w:i w:val="0"/>
                <w:iCs w:val="0"/>
                <w:color w:val="auto"/>
                <w:sz w:val="18"/>
                <w:szCs w:val="18"/>
                <w:highlight w:val="none"/>
                <w:u w:val="none"/>
              </w:rPr>
            </w:pPr>
          </w:p>
        </w:tc>
        <w:tc>
          <w:tcPr>
            <w:tcW w:w="813" w:type="dxa"/>
            <w:tcBorders>
              <w:top w:val="single" w:color="000000" w:sz="4" w:space="0"/>
              <w:left w:val="single" w:color="000000" w:sz="4" w:space="0"/>
              <w:bottom w:val="single" w:color="000000" w:sz="4" w:space="0"/>
              <w:right w:val="single" w:color="000000" w:sz="4" w:space="0"/>
            </w:tcBorders>
            <w:shd w:val="clear" w:color="auto" w:fill="00B0F0"/>
            <w:noWrap/>
            <w:vAlign w:val="center"/>
          </w:tcPr>
          <w:p w14:paraId="2C375A57">
            <w:pPr>
              <w:rPr>
                <w:rFonts w:hint="eastAsia" w:ascii="宋体" w:hAnsi="宋体" w:eastAsia="宋体" w:cs="宋体"/>
                <w:b/>
                <w:bCs/>
                <w:i w:val="0"/>
                <w:iCs w:val="0"/>
                <w:color w:val="auto"/>
                <w:sz w:val="18"/>
                <w:szCs w:val="18"/>
                <w:highlight w:val="none"/>
                <w:u w:val="none"/>
              </w:rPr>
            </w:pPr>
          </w:p>
        </w:tc>
        <w:tc>
          <w:tcPr>
            <w:tcW w:w="707" w:type="dxa"/>
            <w:tcBorders>
              <w:top w:val="single" w:color="000000" w:sz="4" w:space="0"/>
              <w:left w:val="single" w:color="000000" w:sz="4" w:space="0"/>
              <w:bottom w:val="single" w:color="000000" w:sz="4" w:space="0"/>
              <w:right w:val="single" w:color="000000" w:sz="4" w:space="0"/>
            </w:tcBorders>
            <w:shd w:val="clear" w:color="auto" w:fill="00B0F0"/>
            <w:noWrap/>
            <w:vAlign w:val="center"/>
          </w:tcPr>
          <w:p w14:paraId="584928EA">
            <w:pPr>
              <w:jc w:val="center"/>
              <w:rPr>
                <w:rFonts w:hint="eastAsia" w:ascii="宋体" w:hAnsi="宋体" w:eastAsia="宋体" w:cs="宋体"/>
                <w:b/>
                <w:bCs/>
                <w:i w:val="0"/>
                <w:iCs w:val="0"/>
                <w:color w:val="auto"/>
                <w:sz w:val="18"/>
                <w:szCs w:val="18"/>
                <w:highlight w:val="none"/>
                <w:u w:val="none"/>
              </w:rPr>
            </w:pPr>
          </w:p>
        </w:tc>
        <w:tc>
          <w:tcPr>
            <w:tcW w:w="843" w:type="dxa"/>
            <w:tcBorders>
              <w:top w:val="single" w:color="000000" w:sz="4" w:space="0"/>
              <w:left w:val="single" w:color="000000" w:sz="4" w:space="0"/>
              <w:bottom w:val="single" w:color="000000" w:sz="4" w:space="0"/>
              <w:right w:val="single" w:color="000000" w:sz="4" w:space="0"/>
            </w:tcBorders>
            <w:shd w:val="clear" w:color="auto" w:fill="00B0F0"/>
            <w:noWrap/>
            <w:vAlign w:val="center"/>
          </w:tcPr>
          <w:p w14:paraId="05311B41">
            <w:pPr>
              <w:jc w:val="center"/>
              <w:rPr>
                <w:rFonts w:hint="eastAsia" w:ascii="宋体" w:hAnsi="宋体" w:eastAsia="宋体" w:cs="宋体"/>
                <w:b/>
                <w:bCs/>
                <w:i w:val="0"/>
                <w:iCs w:val="0"/>
                <w:color w:val="auto"/>
                <w:sz w:val="18"/>
                <w:szCs w:val="18"/>
                <w:highlight w:val="none"/>
                <w:u w:val="none"/>
              </w:rPr>
            </w:pPr>
          </w:p>
        </w:tc>
      </w:tr>
      <w:tr w14:paraId="55677B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92"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E1687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CA44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65英寸会议一体机</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98CC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1.液晶屏显示尺寸≥65英寸DLED背光源；显示比例：16:9；可视角度≥178°；分辨率≥3840×2160；灰阶等级≥256级，A级标准；采用全贴合工艺，整机支持≥1.07B(10bit)色深，显示色彩过渡自然。</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2.对比度≥5000:1；色域覆盖率（NTSC）≥95%；色域覆盖率（sRGB）≥130%；整机待机状态下节能≥99.8%；亮度均匀性≥90%；产品使用时屏幕亮度≥500cd/㎡；待机功率≤0.5W。</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3.采用红外触控方案，具备抗干扰驱动算法，全通道支持≥50点触控，光标移动速度≥150帧/秒，触摸分辨率：≥32768×32768；书写定位精度：±0.1mm，最小触摸物体直径≤2mm。</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B76F4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D4688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82D0A0">
            <w:pPr>
              <w:jc w:val="center"/>
              <w:rPr>
                <w:rFonts w:hint="eastAsia" w:ascii="宋体" w:hAnsi="宋体" w:eastAsia="宋体" w:cs="宋体"/>
                <w:i w:val="0"/>
                <w:iCs w:val="0"/>
                <w:color w:val="auto"/>
                <w:sz w:val="18"/>
                <w:szCs w:val="18"/>
                <w:highlight w:val="none"/>
                <w:u w:val="none"/>
              </w:rPr>
            </w:pPr>
          </w:p>
        </w:tc>
      </w:tr>
      <w:tr w14:paraId="68E16B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1140C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7</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F21D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无线投屏器</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AEC0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1.传屏宝接口：标准USB2.0接口，可兼容具备通用USB端口的电脑，插入电脑后启动提示时间≤3秒，支持2.4G/5.0G频段传输。</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2.整机按键：采用单按键设计，只需一键即可传屏。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3.传输时延：传输时延≤65ms，无线传输距离≥15m。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4.传输功能：整机内置接收模块，除无线传屏宝外不需要连接任何附加设备，可实现外部电脑音视频信号实时传输到触控平板上，支持触摸回控。</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5.分屏功能：支持同时连接≥16只传屏宝，画面可分别投屏到同一触控平板上，通过按键切换传输不同外部电脑的画面及声音；支持二/三/四分屏，可对每个传屏内容进行独立反向操作。</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6.分屏状态切换：支持分屏状态与全屏状态切换，支持分屏状态下触控回传，实现触控平板上远程操作个人设备回控延迟≤15ms。</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7.无线传屏：通过软传屏，实现两个大屏之间的连接，进行屏幕复制。</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8.传屏比例：支持非16：9电脑画面传屏，比例调节至全屏显示。</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9.传屏场景：≥72小时长时间不间断传屏，支持传屏宝反复插拔，支持多台电脑和多个传屏宝进行随机组合，多个传屏宝之间可以相互抢占传屏画面，不影响正常传屏。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10.传屏内容选择：传画面时只传窗口/选择传屏时是否传声音/传屏是否传鼠标光标。</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11.扩展传屏：传屏宝支持扩展功能。</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8612C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94FF3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5F1E63">
            <w:pPr>
              <w:jc w:val="center"/>
              <w:rPr>
                <w:rFonts w:hint="eastAsia" w:ascii="宋体" w:hAnsi="宋体" w:eastAsia="宋体" w:cs="宋体"/>
                <w:i w:val="0"/>
                <w:iCs w:val="0"/>
                <w:color w:val="auto"/>
                <w:sz w:val="18"/>
                <w:szCs w:val="18"/>
                <w:highlight w:val="none"/>
                <w:u w:val="none"/>
              </w:rPr>
            </w:pPr>
          </w:p>
        </w:tc>
      </w:tr>
      <w:tr w14:paraId="2570FA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8"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79173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1080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移动支架</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3501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1、最大承重：≥100kg</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2、适合尺寸：55-86英寸</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3、脚轮尺寸：≥3英寸（静音轮）</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4E2D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1F7A0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CDB0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1C4AF5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2"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A160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9</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BC6E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智能笔</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688F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数据传输方式：2.4GHz RF</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距离控制:≥15m</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D99A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466F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4EF1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322FDD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07564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5B11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视频高清线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C0D7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HDMI线材质: 纯铜长度:≥15米</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6EFF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根</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48438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8019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6E63E5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2186" w:type="dxa"/>
            <w:gridSpan w:val="2"/>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2174DEEC">
            <w:pPr>
              <w:jc w:val="left"/>
              <w:rPr>
                <w:rFonts w:hint="eastAsia" w:ascii="宋体" w:hAnsi="宋体" w:eastAsia="宋体" w:cs="宋体"/>
                <w:b/>
                <w:bCs/>
                <w:i w:val="0"/>
                <w:iCs w:val="0"/>
                <w:color w:val="auto"/>
                <w:sz w:val="18"/>
                <w:szCs w:val="18"/>
                <w:highlight w:val="none"/>
                <w:u w:val="none"/>
              </w:rPr>
            </w:pPr>
            <w:r>
              <w:rPr>
                <w:rFonts w:hint="eastAsia" w:ascii="宋体" w:hAnsi="宋体" w:eastAsia="宋体" w:cs="宋体"/>
                <w:b/>
                <w:bCs/>
                <w:i w:val="0"/>
                <w:iCs w:val="0"/>
                <w:snapToGrid w:val="0"/>
                <w:color w:val="auto"/>
                <w:kern w:val="0"/>
                <w:sz w:val="18"/>
                <w:szCs w:val="18"/>
                <w:highlight w:val="none"/>
                <w:u w:val="none"/>
                <w:lang w:val="en-US" w:eastAsia="zh-CN" w:bidi="ar"/>
              </w:rPr>
              <w:t>多媒体会议系统-多功能室</w:t>
            </w:r>
          </w:p>
        </w:tc>
        <w:tc>
          <w:tcPr>
            <w:tcW w:w="4680" w:type="dxa"/>
            <w:tcBorders>
              <w:top w:val="single" w:color="000000" w:sz="4" w:space="0"/>
              <w:left w:val="single" w:color="000000" w:sz="4" w:space="0"/>
              <w:bottom w:val="single" w:color="000000" w:sz="4" w:space="0"/>
              <w:right w:val="single" w:color="000000" w:sz="4" w:space="0"/>
            </w:tcBorders>
            <w:shd w:val="clear" w:color="auto" w:fill="FFFF00"/>
            <w:vAlign w:val="center"/>
          </w:tcPr>
          <w:p w14:paraId="2478E68B">
            <w:pPr>
              <w:jc w:val="center"/>
              <w:rPr>
                <w:rFonts w:hint="eastAsia" w:ascii="宋体" w:hAnsi="宋体" w:eastAsia="宋体" w:cs="宋体"/>
                <w:b/>
                <w:bCs/>
                <w:i w:val="0"/>
                <w:iCs w:val="0"/>
                <w:color w:val="auto"/>
                <w:sz w:val="18"/>
                <w:szCs w:val="18"/>
                <w:highlight w:val="none"/>
                <w:u w:val="none"/>
              </w:rPr>
            </w:pPr>
          </w:p>
        </w:tc>
        <w:tc>
          <w:tcPr>
            <w:tcW w:w="813" w:type="dxa"/>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341BA3FF">
            <w:pPr>
              <w:jc w:val="center"/>
              <w:rPr>
                <w:rFonts w:hint="eastAsia" w:ascii="宋体" w:hAnsi="宋体" w:eastAsia="宋体" w:cs="宋体"/>
                <w:b/>
                <w:bCs/>
                <w:i w:val="0"/>
                <w:iCs w:val="0"/>
                <w:color w:val="auto"/>
                <w:sz w:val="18"/>
                <w:szCs w:val="18"/>
                <w:highlight w:val="none"/>
                <w:u w:val="none"/>
              </w:rPr>
            </w:pPr>
          </w:p>
        </w:tc>
        <w:tc>
          <w:tcPr>
            <w:tcW w:w="707" w:type="dxa"/>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61CE6D54">
            <w:pPr>
              <w:jc w:val="center"/>
              <w:rPr>
                <w:rFonts w:hint="eastAsia" w:ascii="宋体" w:hAnsi="宋体" w:eastAsia="宋体" w:cs="宋体"/>
                <w:b/>
                <w:bCs/>
                <w:i w:val="0"/>
                <w:iCs w:val="0"/>
                <w:color w:val="auto"/>
                <w:sz w:val="18"/>
                <w:szCs w:val="18"/>
                <w:highlight w:val="none"/>
                <w:u w:val="none"/>
              </w:rPr>
            </w:pPr>
          </w:p>
        </w:tc>
        <w:tc>
          <w:tcPr>
            <w:tcW w:w="843" w:type="dxa"/>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5A356D40">
            <w:pPr>
              <w:jc w:val="center"/>
              <w:rPr>
                <w:rFonts w:hint="eastAsia" w:ascii="宋体" w:hAnsi="宋体" w:eastAsia="宋体" w:cs="宋体"/>
                <w:b/>
                <w:bCs/>
                <w:i w:val="0"/>
                <w:iCs w:val="0"/>
                <w:color w:val="auto"/>
                <w:sz w:val="18"/>
                <w:szCs w:val="18"/>
                <w:highlight w:val="none"/>
                <w:u w:val="none"/>
              </w:rPr>
            </w:pPr>
          </w:p>
        </w:tc>
      </w:tr>
      <w:tr w14:paraId="7F38EE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2186" w:type="dxa"/>
            <w:gridSpan w:val="2"/>
            <w:tcBorders>
              <w:top w:val="single" w:color="000000" w:sz="4" w:space="0"/>
              <w:left w:val="single" w:color="000000" w:sz="4" w:space="0"/>
              <w:bottom w:val="single" w:color="000000" w:sz="4" w:space="0"/>
              <w:right w:val="single" w:color="000000" w:sz="4" w:space="0"/>
            </w:tcBorders>
            <w:shd w:val="clear" w:color="auto" w:fill="00B0F0"/>
            <w:noWrap/>
            <w:vAlign w:val="center"/>
          </w:tcPr>
          <w:p w14:paraId="34ACB541">
            <w:pPr>
              <w:rPr>
                <w:rFonts w:hint="eastAsia" w:ascii="宋体" w:hAnsi="宋体" w:eastAsia="宋体" w:cs="宋体"/>
                <w:b/>
                <w:bCs/>
                <w:i w:val="0"/>
                <w:iCs w:val="0"/>
                <w:color w:val="auto"/>
                <w:sz w:val="18"/>
                <w:szCs w:val="18"/>
                <w:highlight w:val="none"/>
                <w:u w:val="none"/>
              </w:rPr>
            </w:pPr>
            <w:r>
              <w:rPr>
                <w:rFonts w:hint="eastAsia" w:ascii="宋体" w:hAnsi="宋体" w:eastAsia="宋体" w:cs="宋体"/>
                <w:b/>
                <w:bCs/>
                <w:i w:val="0"/>
                <w:iCs w:val="0"/>
                <w:snapToGrid w:val="0"/>
                <w:color w:val="auto"/>
                <w:kern w:val="0"/>
                <w:sz w:val="18"/>
                <w:szCs w:val="18"/>
                <w:highlight w:val="none"/>
                <w:u w:val="none"/>
                <w:lang w:val="en-US" w:eastAsia="zh-CN" w:bidi="ar"/>
              </w:rPr>
              <w:t>一、显示系统</w:t>
            </w:r>
          </w:p>
        </w:tc>
        <w:tc>
          <w:tcPr>
            <w:tcW w:w="4680" w:type="dxa"/>
            <w:tcBorders>
              <w:top w:val="single" w:color="000000" w:sz="4" w:space="0"/>
              <w:left w:val="single" w:color="000000" w:sz="4" w:space="0"/>
              <w:bottom w:val="single" w:color="000000" w:sz="4" w:space="0"/>
              <w:right w:val="single" w:color="000000" w:sz="4" w:space="0"/>
            </w:tcBorders>
            <w:shd w:val="clear" w:color="auto" w:fill="00B0F0"/>
            <w:vAlign w:val="center"/>
          </w:tcPr>
          <w:p w14:paraId="66C52FE2">
            <w:pPr>
              <w:rPr>
                <w:rFonts w:hint="eastAsia" w:ascii="宋体" w:hAnsi="宋体" w:eastAsia="宋体" w:cs="宋体"/>
                <w:b/>
                <w:bCs/>
                <w:i w:val="0"/>
                <w:iCs w:val="0"/>
                <w:color w:val="auto"/>
                <w:sz w:val="18"/>
                <w:szCs w:val="18"/>
                <w:highlight w:val="none"/>
                <w:u w:val="none"/>
              </w:rPr>
            </w:pPr>
          </w:p>
        </w:tc>
        <w:tc>
          <w:tcPr>
            <w:tcW w:w="813" w:type="dxa"/>
            <w:tcBorders>
              <w:top w:val="single" w:color="000000" w:sz="4" w:space="0"/>
              <w:left w:val="single" w:color="000000" w:sz="4" w:space="0"/>
              <w:bottom w:val="single" w:color="000000" w:sz="4" w:space="0"/>
              <w:right w:val="single" w:color="000000" w:sz="4" w:space="0"/>
            </w:tcBorders>
            <w:shd w:val="clear" w:color="auto" w:fill="00B0F0"/>
            <w:noWrap/>
            <w:vAlign w:val="center"/>
          </w:tcPr>
          <w:p w14:paraId="5AD02F03">
            <w:pPr>
              <w:rPr>
                <w:rFonts w:hint="eastAsia" w:ascii="宋体" w:hAnsi="宋体" w:eastAsia="宋体" w:cs="宋体"/>
                <w:b/>
                <w:bCs/>
                <w:i w:val="0"/>
                <w:iCs w:val="0"/>
                <w:color w:val="auto"/>
                <w:sz w:val="18"/>
                <w:szCs w:val="18"/>
                <w:highlight w:val="none"/>
                <w:u w:val="none"/>
              </w:rPr>
            </w:pPr>
          </w:p>
        </w:tc>
        <w:tc>
          <w:tcPr>
            <w:tcW w:w="707" w:type="dxa"/>
            <w:tcBorders>
              <w:top w:val="single" w:color="000000" w:sz="4" w:space="0"/>
              <w:left w:val="single" w:color="000000" w:sz="4" w:space="0"/>
              <w:bottom w:val="single" w:color="000000" w:sz="4" w:space="0"/>
              <w:right w:val="single" w:color="000000" w:sz="4" w:space="0"/>
            </w:tcBorders>
            <w:shd w:val="clear" w:color="auto" w:fill="00B0F0"/>
            <w:noWrap/>
            <w:vAlign w:val="center"/>
          </w:tcPr>
          <w:p w14:paraId="48446AA9">
            <w:pPr>
              <w:jc w:val="center"/>
              <w:rPr>
                <w:rFonts w:hint="eastAsia" w:ascii="宋体" w:hAnsi="宋体" w:eastAsia="宋体" w:cs="宋体"/>
                <w:b/>
                <w:bCs/>
                <w:i w:val="0"/>
                <w:iCs w:val="0"/>
                <w:color w:val="auto"/>
                <w:sz w:val="18"/>
                <w:szCs w:val="18"/>
                <w:highlight w:val="none"/>
                <w:u w:val="none"/>
              </w:rPr>
            </w:pPr>
          </w:p>
        </w:tc>
        <w:tc>
          <w:tcPr>
            <w:tcW w:w="843" w:type="dxa"/>
            <w:tcBorders>
              <w:top w:val="single" w:color="000000" w:sz="4" w:space="0"/>
              <w:left w:val="single" w:color="000000" w:sz="4" w:space="0"/>
              <w:bottom w:val="single" w:color="000000" w:sz="4" w:space="0"/>
              <w:right w:val="single" w:color="000000" w:sz="4" w:space="0"/>
            </w:tcBorders>
            <w:shd w:val="clear" w:color="auto" w:fill="00B0F0"/>
            <w:noWrap/>
            <w:vAlign w:val="center"/>
          </w:tcPr>
          <w:p w14:paraId="7803C121">
            <w:pPr>
              <w:jc w:val="center"/>
              <w:rPr>
                <w:rFonts w:hint="eastAsia" w:ascii="宋体" w:hAnsi="宋体" w:eastAsia="宋体" w:cs="宋体"/>
                <w:b/>
                <w:bCs/>
                <w:i w:val="0"/>
                <w:iCs w:val="0"/>
                <w:color w:val="auto"/>
                <w:sz w:val="18"/>
                <w:szCs w:val="18"/>
                <w:highlight w:val="none"/>
                <w:u w:val="none"/>
              </w:rPr>
            </w:pPr>
          </w:p>
        </w:tc>
      </w:tr>
      <w:tr w14:paraId="58DAB6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4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80E5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11</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9FB9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LED显示屏</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3A3BE">
            <w:pPr>
              <w:keepNext w:val="0"/>
              <w:keepLines w:val="0"/>
              <w:widowControl/>
              <w:suppressLineNumbers w:val="0"/>
              <w:jc w:val="left"/>
              <w:textAlignment w:val="center"/>
              <w:rPr>
                <w:rFonts w:hint="eastAsia" w:ascii="宋体" w:hAnsi="宋体" w:eastAsia="宋体" w:cs="宋体"/>
                <w:i w:val="0"/>
                <w:iCs w:val="0"/>
                <w:snapToGrid w:val="0"/>
                <w:color w:val="auto"/>
                <w:kern w:val="0"/>
                <w:sz w:val="18"/>
                <w:szCs w:val="18"/>
                <w:highlight w:val="none"/>
                <w:u w:val="none"/>
                <w:lang w:val="en-US" w:eastAsia="zh-CN" w:bidi="ar"/>
              </w:rPr>
            </w:pPr>
            <w:r>
              <w:rPr>
                <w:rFonts w:hint="eastAsia" w:ascii="宋体" w:hAnsi="宋体" w:eastAsia="宋体" w:cs="宋体"/>
                <w:i w:val="0"/>
                <w:iCs w:val="0"/>
                <w:snapToGrid w:val="0"/>
                <w:color w:val="auto"/>
                <w:kern w:val="0"/>
                <w:sz w:val="18"/>
                <w:szCs w:val="18"/>
                <w:highlight w:val="none"/>
                <w:u w:val="none"/>
                <w:lang w:val="en-US" w:eastAsia="zh-CN" w:bidi="ar"/>
              </w:rPr>
              <w:t>1、点间距(mm)：1.86</w:t>
            </w:r>
          </w:p>
          <w:p w14:paraId="4866F25E">
            <w:pPr>
              <w:keepNext w:val="0"/>
              <w:keepLines w:val="0"/>
              <w:widowControl/>
              <w:suppressLineNumbers w:val="0"/>
              <w:jc w:val="left"/>
              <w:textAlignment w:val="center"/>
              <w:rPr>
                <w:rFonts w:hint="eastAsia" w:ascii="宋体" w:hAnsi="宋体" w:eastAsia="宋体" w:cs="宋体"/>
                <w:i w:val="0"/>
                <w:iCs w:val="0"/>
                <w:snapToGrid w:val="0"/>
                <w:color w:val="auto"/>
                <w:kern w:val="0"/>
                <w:sz w:val="18"/>
                <w:szCs w:val="18"/>
                <w:highlight w:val="none"/>
                <w:u w:val="none"/>
                <w:lang w:val="en-US" w:eastAsia="zh-CN" w:bidi="ar"/>
              </w:rPr>
            </w:pPr>
            <w:r>
              <w:rPr>
                <w:rFonts w:hint="eastAsia" w:ascii="宋体" w:hAnsi="宋体" w:eastAsia="宋体" w:cs="宋体"/>
                <w:i w:val="0"/>
                <w:iCs w:val="0"/>
                <w:snapToGrid w:val="0"/>
                <w:color w:val="auto"/>
                <w:kern w:val="0"/>
                <w:sz w:val="18"/>
                <w:szCs w:val="18"/>
                <w:highlight w:val="none"/>
                <w:u w:val="none"/>
                <w:lang w:val="en-US" w:eastAsia="zh-CN" w:bidi="ar"/>
              </w:rPr>
              <w:t>2、像素密度(点/m²)：≥288906</w:t>
            </w:r>
          </w:p>
          <w:p w14:paraId="63ED3FEA">
            <w:pPr>
              <w:keepNext w:val="0"/>
              <w:keepLines w:val="0"/>
              <w:widowControl/>
              <w:suppressLineNumbers w:val="0"/>
              <w:jc w:val="left"/>
              <w:textAlignment w:val="center"/>
              <w:rPr>
                <w:rFonts w:hint="eastAsia" w:ascii="宋体" w:hAnsi="宋体" w:eastAsia="宋体" w:cs="宋体"/>
                <w:i w:val="0"/>
                <w:iCs w:val="0"/>
                <w:snapToGrid w:val="0"/>
                <w:color w:val="auto"/>
                <w:kern w:val="0"/>
                <w:sz w:val="18"/>
                <w:szCs w:val="18"/>
                <w:highlight w:val="none"/>
                <w:u w:val="none"/>
                <w:lang w:val="en-US" w:eastAsia="zh-CN" w:bidi="ar"/>
              </w:rPr>
            </w:pPr>
            <w:r>
              <w:rPr>
                <w:rFonts w:hint="eastAsia" w:ascii="宋体" w:hAnsi="宋体" w:eastAsia="宋体" w:cs="宋体"/>
                <w:i w:val="0"/>
                <w:iCs w:val="0"/>
                <w:snapToGrid w:val="0"/>
                <w:color w:val="auto"/>
                <w:kern w:val="0"/>
                <w:sz w:val="18"/>
                <w:szCs w:val="18"/>
                <w:highlight w:val="none"/>
                <w:u w:val="none"/>
                <w:lang w:val="en-US" w:eastAsia="zh-CN" w:bidi="ar"/>
              </w:rPr>
              <w:t>3、像素构成：1R1G1B</w:t>
            </w:r>
          </w:p>
          <w:p w14:paraId="6BF714D3">
            <w:pPr>
              <w:keepNext w:val="0"/>
              <w:keepLines w:val="0"/>
              <w:widowControl/>
              <w:suppressLineNumbers w:val="0"/>
              <w:jc w:val="left"/>
              <w:textAlignment w:val="center"/>
              <w:rPr>
                <w:rFonts w:hint="eastAsia" w:ascii="宋体" w:hAnsi="宋体" w:eastAsia="宋体" w:cs="宋体"/>
                <w:i w:val="0"/>
                <w:iCs w:val="0"/>
                <w:snapToGrid w:val="0"/>
                <w:color w:val="auto"/>
                <w:kern w:val="0"/>
                <w:sz w:val="18"/>
                <w:szCs w:val="18"/>
                <w:highlight w:val="none"/>
                <w:u w:val="none"/>
                <w:lang w:val="en-US" w:eastAsia="zh-CN" w:bidi="ar"/>
              </w:rPr>
            </w:pPr>
            <w:r>
              <w:rPr>
                <w:rFonts w:hint="eastAsia" w:ascii="宋体" w:hAnsi="宋体" w:eastAsia="宋体" w:cs="宋体"/>
                <w:i w:val="0"/>
                <w:iCs w:val="0"/>
                <w:snapToGrid w:val="0"/>
                <w:color w:val="auto"/>
                <w:kern w:val="0"/>
                <w:sz w:val="18"/>
                <w:szCs w:val="18"/>
                <w:highlight w:val="none"/>
                <w:u w:val="none"/>
                <w:lang w:val="en-US" w:eastAsia="zh-CN" w:bidi="ar"/>
              </w:rPr>
              <w:t>4、模组尺寸(mm)：320×160×16.6</w:t>
            </w:r>
          </w:p>
          <w:p w14:paraId="63C7652D">
            <w:pPr>
              <w:keepNext w:val="0"/>
              <w:keepLines w:val="0"/>
              <w:widowControl/>
              <w:suppressLineNumbers w:val="0"/>
              <w:jc w:val="left"/>
              <w:textAlignment w:val="center"/>
              <w:rPr>
                <w:rFonts w:hint="eastAsia" w:ascii="宋体" w:hAnsi="宋体" w:eastAsia="宋体" w:cs="宋体"/>
                <w:i w:val="0"/>
                <w:iCs w:val="0"/>
                <w:snapToGrid w:val="0"/>
                <w:color w:val="auto"/>
                <w:kern w:val="0"/>
                <w:sz w:val="18"/>
                <w:szCs w:val="18"/>
                <w:highlight w:val="none"/>
                <w:u w:val="none"/>
                <w:lang w:val="en-US" w:eastAsia="zh-CN" w:bidi="ar"/>
              </w:rPr>
            </w:pPr>
            <w:r>
              <w:rPr>
                <w:rFonts w:hint="eastAsia" w:ascii="宋体" w:hAnsi="宋体" w:eastAsia="宋体" w:cs="宋体"/>
                <w:i w:val="0"/>
                <w:iCs w:val="0"/>
                <w:snapToGrid w:val="0"/>
                <w:color w:val="auto"/>
                <w:kern w:val="0"/>
                <w:sz w:val="18"/>
                <w:szCs w:val="18"/>
                <w:highlight w:val="none"/>
                <w:u w:val="none"/>
                <w:lang w:val="en-US" w:eastAsia="zh-CN" w:bidi="ar"/>
              </w:rPr>
              <w:t>5、模组分辨率：172x86</w:t>
            </w:r>
          </w:p>
          <w:p w14:paraId="05CE33B7">
            <w:pPr>
              <w:keepNext w:val="0"/>
              <w:keepLines w:val="0"/>
              <w:widowControl/>
              <w:suppressLineNumbers w:val="0"/>
              <w:jc w:val="left"/>
              <w:textAlignment w:val="center"/>
              <w:rPr>
                <w:rFonts w:hint="eastAsia" w:ascii="宋体" w:hAnsi="宋体" w:eastAsia="宋体" w:cs="宋体"/>
                <w:i w:val="0"/>
                <w:iCs w:val="0"/>
                <w:snapToGrid w:val="0"/>
                <w:color w:val="auto"/>
                <w:kern w:val="0"/>
                <w:sz w:val="18"/>
                <w:szCs w:val="18"/>
                <w:highlight w:val="none"/>
                <w:u w:val="none"/>
                <w:lang w:val="en-US" w:eastAsia="zh-CN" w:bidi="ar"/>
              </w:rPr>
            </w:pPr>
            <w:r>
              <w:rPr>
                <w:rFonts w:hint="eastAsia" w:ascii="宋体" w:hAnsi="宋体" w:eastAsia="宋体" w:cs="宋体"/>
                <w:i w:val="0"/>
                <w:iCs w:val="0"/>
                <w:snapToGrid w:val="0"/>
                <w:color w:val="auto"/>
                <w:kern w:val="0"/>
                <w:sz w:val="18"/>
                <w:szCs w:val="18"/>
                <w:highlight w:val="none"/>
                <w:u w:val="none"/>
                <w:lang w:val="en-US" w:eastAsia="zh-CN" w:bidi="ar"/>
              </w:rPr>
              <w:t>6、亮度(nits)：≥600</w:t>
            </w:r>
          </w:p>
          <w:p w14:paraId="1BF8F32C">
            <w:pPr>
              <w:keepNext w:val="0"/>
              <w:keepLines w:val="0"/>
              <w:widowControl/>
              <w:suppressLineNumbers w:val="0"/>
              <w:jc w:val="left"/>
              <w:textAlignment w:val="center"/>
              <w:rPr>
                <w:rFonts w:hint="eastAsia" w:ascii="宋体" w:hAnsi="宋体" w:eastAsia="宋体" w:cs="宋体"/>
                <w:i w:val="0"/>
                <w:iCs w:val="0"/>
                <w:snapToGrid w:val="0"/>
                <w:color w:val="auto"/>
                <w:kern w:val="0"/>
                <w:sz w:val="18"/>
                <w:szCs w:val="18"/>
                <w:highlight w:val="none"/>
                <w:u w:val="none"/>
                <w:lang w:val="en-US" w:eastAsia="zh-CN" w:bidi="ar"/>
              </w:rPr>
            </w:pPr>
            <w:r>
              <w:rPr>
                <w:rFonts w:hint="eastAsia" w:ascii="宋体" w:hAnsi="宋体" w:eastAsia="宋体" w:cs="宋体"/>
                <w:i w:val="0"/>
                <w:iCs w:val="0"/>
                <w:snapToGrid w:val="0"/>
                <w:color w:val="auto"/>
                <w:kern w:val="0"/>
                <w:sz w:val="18"/>
                <w:szCs w:val="18"/>
                <w:highlight w:val="none"/>
                <w:u w:val="none"/>
                <w:lang w:val="en-US" w:eastAsia="zh-CN" w:bidi="ar"/>
              </w:rPr>
              <w:t>7、刷新频率(Hz)：≥3840</w:t>
            </w:r>
          </w:p>
          <w:p w14:paraId="2529F443">
            <w:pPr>
              <w:keepNext w:val="0"/>
              <w:keepLines w:val="0"/>
              <w:widowControl/>
              <w:suppressLineNumbers w:val="0"/>
              <w:jc w:val="left"/>
              <w:textAlignment w:val="center"/>
              <w:rPr>
                <w:rFonts w:hint="eastAsia" w:ascii="宋体" w:hAnsi="宋体" w:eastAsia="宋体" w:cs="宋体"/>
                <w:i w:val="0"/>
                <w:iCs w:val="0"/>
                <w:snapToGrid w:val="0"/>
                <w:color w:val="auto"/>
                <w:kern w:val="0"/>
                <w:sz w:val="18"/>
                <w:szCs w:val="18"/>
                <w:highlight w:val="none"/>
                <w:u w:val="none"/>
                <w:lang w:val="en-US" w:eastAsia="zh-CN" w:bidi="ar"/>
              </w:rPr>
            </w:pPr>
            <w:r>
              <w:rPr>
                <w:rFonts w:hint="eastAsia" w:ascii="宋体" w:hAnsi="宋体" w:eastAsia="宋体" w:cs="宋体"/>
                <w:i w:val="0"/>
                <w:iCs w:val="0"/>
                <w:snapToGrid w:val="0"/>
                <w:color w:val="auto"/>
                <w:kern w:val="0"/>
                <w:sz w:val="18"/>
                <w:szCs w:val="18"/>
                <w:highlight w:val="none"/>
                <w:u w:val="none"/>
                <w:lang w:val="en-US" w:eastAsia="zh-CN" w:bidi="ar"/>
              </w:rPr>
              <w:t>8、最大功耗(W/m²):≤550</w:t>
            </w:r>
          </w:p>
          <w:p w14:paraId="009805C5">
            <w:pPr>
              <w:keepNext w:val="0"/>
              <w:keepLines w:val="0"/>
              <w:widowControl/>
              <w:suppressLineNumbers w:val="0"/>
              <w:jc w:val="left"/>
              <w:textAlignment w:val="center"/>
              <w:rPr>
                <w:rFonts w:hint="eastAsia" w:ascii="宋体" w:hAnsi="宋体" w:eastAsia="宋体" w:cs="宋体"/>
                <w:i w:val="0"/>
                <w:iCs w:val="0"/>
                <w:snapToGrid w:val="0"/>
                <w:color w:val="auto"/>
                <w:kern w:val="0"/>
                <w:sz w:val="18"/>
                <w:szCs w:val="18"/>
                <w:highlight w:val="none"/>
                <w:u w:val="none"/>
                <w:lang w:val="en-US" w:eastAsia="zh-CN" w:bidi="ar"/>
              </w:rPr>
            </w:pPr>
            <w:r>
              <w:rPr>
                <w:rFonts w:hint="eastAsia" w:ascii="宋体" w:hAnsi="宋体" w:eastAsia="宋体" w:cs="宋体"/>
                <w:i w:val="0"/>
                <w:iCs w:val="0"/>
                <w:snapToGrid w:val="0"/>
                <w:color w:val="auto"/>
                <w:kern w:val="0"/>
                <w:sz w:val="18"/>
                <w:szCs w:val="18"/>
                <w:highlight w:val="none"/>
                <w:u w:val="none"/>
                <w:lang w:val="en-US" w:eastAsia="zh-CN" w:bidi="ar"/>
              </w:rPr>
              <w:t>9、LED显示屏中心蓝光辐射能量值对人眼视网膜无伤害，LED显示屏蓝光辐亮度≤80W.m-2.sr-1,符合肉眼观看标准。蓝光辐射能量≤0.8W/(㎡sr)，视网膜热危害值不高于18W/(㎡sr)</w:t>
            </w:r>
          </w:p>
          <w:p w14:paraId="25806D23">
            <w:pPr>
              <w:keepNext w:val="0"/>
              <w:keepLines w:val="0"/>
              <w:widowControl/>
              <w:suppressLineNumbers w:val="0"/>
              <w:jc w:val="left"/>
              <w:textAlignment w:val="center"/>
              <w:rPr>
                <w:rFonts w:hint="eastAsia" w:ascii="宋体" w:hAnsi="宋体" w:eastAsia="宋体" w:cs="宋体"/>
                <w:i w:val="0"/>
                <w:iCs w:val="0"/>
                <w:snapToGrid w:val="0"/>
                <w:color w:val="auto"/>
                <w:kern w:val="0"/>
                <w:sz w:val="18"/>
                <w:szCs w:val="18"/>
                <w:highlight w:val="none"/>
                <w:u w:val="none"/>
                <w:lang w:val="en-US" w:eastAsia="zh-CN" w:bidi="ar"/>
              </w:rPr>
            </w:pPr>
            <w:r>
              <w:rPr>
                <w:rFonts w:hint="eastAsia" w:ascii="宋体" w:hAnsi="宋体" w:eastAsia="宋体" w:cs="宋体"/>
                <w:i w:val="0"/>
                <w:iCs w:val="0"/>
                <w:snapToGrid w:val="0"/>
                <w:color w:val="auto"/>
                <w:kern w:val="0"/>
                <w:sz w:val="18"/>
                <w:szCs w:val="18"/>
                <w:highlight w:val="none"/>
                <w:u w:val="none"/>
                <w:lang w:val="en-US" w:eastAsia="zh-CN" w:bidi="ar"/>
              </w:rPr>
              <w:t>10、具备动态扫描方式LED显示屏去消隐驱动保护电路，以防止因单颗LED反向漏电流异常引起的串亮现象,满足去消隐，无残影。</w:t>
            </w:r>
          </w:p>
          <w:p w14:paraId="6351388B">
            <w:pPr>
              <w:keepNext w:val="0"/>
              <w:keepLines w:val="0"/>
              <w:widowControl/>
              <w:suppressLineNumbers w:val="0"/>
              <w:jc w:val="left"/>
              <w:textAlignment w:val="center"/>
              <w:rPr>
                <w:rFonts w:hint="eastAsia" w:ascii="宋体" w:hAnsi="宋体" w:eastAsia="宋体" w:cs="宋体"/>
                <w:i w:val="0"/>
                <w:iCs w:val="0"/>
                <w:snapToGrid w:val="0"/>
                <w:color w:val="auto"/>
                <w:kern w:val="0"/>
                <w:sz w:val="18"/>
                <w:szCs w:val="18"/>
                <w:highlight w:val="none"/>
                <w:u w:val="none"/>
                <w:lang w:val="en-US" w:eastAsia="zh-CN" w:bidi="ar"/>
              </w:rPr>
            </w:pPr>
            <w:r>
              <w:rPr>
                <w:rFonts w:hint="eastAsia" w:ascii="宋体" w:hAnsi="宋体" w:eastAsia="宋体" w:cs="宋体"/>
                <w:i w:val="0"/>
                <w:iCs w:val="0"/>
                <w:snapToGrid w:val="0"/>
                <w:color w:val="auto"/>
                <w:kern w:val="0"/>
                <w:sz w:val="18"/>
                <w:szCs w:val="18"/>
                <w:highlight w:val="none"/>
                <w:u w:val="none"/>
                <w:lang w:val="en-US" w:eastAsia="zh-CN" w:bidi="ar"/>
              </w:rPr>
              <w:t>11、LED显示单元对地漏电流≤1.0mA(交流有效值）</w:t>
            </w:r>
          </w:p>
          <w:p w14:paraId="4869D806">
            <w:pPr>
              <w:keepNext w:val="0"/>
              <w:keepLines w:val="0"/>
              <w:widowControl/>
              <w:suppressLineNumbers w:val="0"/>
              <w:jc w:val="left"/>
              <w:textAlignment w:val="center"/>
              <w:rPr>
                <w:rFonts w:hint="eastAsia" w:ascii="宋体" w:hAnsi="宋体" w:eastAsia="宋体" w:cs="宋体"/>
                <w:i w:val="0"/>
                <w:iCs w:val="0"/>
                <w:snapToGrid w:val="0"/>
                <w:color w:val="auto"/>
                <w:kern w:val="0"/>
                <w:sz w:val="18"/>
                <w:szCs w:val="18"/>
                <w:highlight w:val="none"/>
                <w:u w:val="none"/>
                <w:lang w:val="en-US" w:eastAsia="zh-CN" w:bidi="ar"/>
              </w:rPr>
            </w:pPr>
            <w:r>
              <w:rPr>
                <w:rFonts w:hint="eastAsia" w:ascii="宋体" w:hAnsi="宋体" w:eastAsia="宋体" w:cs="宋体"/>
                <w:i w:val="0"/>
                <w:iCs w:val="0"/>
                <w:snapToGrid w:val="0"/>
                <w:color w:val="auto"/>
                <w:kern w:val="0"/>
                <w:sz w:val="18"/>
                <w:szCs w:val="18"/>
                <w:highlight w:val="none"/>
                <w:u w:val="none"/>
                <w:lang w:val="en-US" w:eastAsia="zh-CN" w:bidi="ar"/>
              </w:rPr>
              <w:t>12、LED显示单元具有≥18bit颜色处理及16bit灰度处理能力，色彩达到广播级≥1024级灰度，色彩还原能力≥16.7M，色域≥120%NTSC。</w:t>
            </w:r>
          </w:p>
          <w:p w14:paraId="20870803">
            <w:pPr>
              <w:keepNext w:val="0"/>
              <w:keepLines w:val="0"/>
              <w:widowControl/>
              <w:suppressLineNumbers w:val="0"/>
              <w:jc w:val="left"/>
              <w:textAlignment w:val="center"/>
              <w:rPr>
                <w:rFonts w:hint="eastAsia" w:ascii="宋体" w:hAnsi="宋体" w:eastAsia="宋体" w:cs="宋体"/>
                <w:i w:val="0"/>
                <w:iCs w:val="0"/>
                <w:snapToGrid w:val="0"/>
                <w:color w:val="auto"/>
                <w:kern w:val="0"/>
                <w:sz w:val="18"/>
                <w:szCs w:val="18"/>
                <w:highlight w:val="none"/>
                <w:u w:val="none"/>
                <w:lang w:val="en-US" w:eastAsia="zh-CN" w:bidi="ar"/>
              </w:rPr>
            </w:pPr>
            <w:r>
              <w:rPr>
                <w:rFonts w:hint="eastAsia" w:ascii="宋体" w:hAnsi="宋体" w:eastAsia="宋体" w:cs="宋体"/>
                <w:i w:val="0"/>
                <w:iCs w:val="0"/>
                <w:snapToGrid w:val="0"/>
                <w:color w:val="auto"/>
                <w:kern w:val="0"/>
                <w:sz w:val="18"/>
                <w:szCs w:val="18"/>
                <w:highlight w:val="none"/>
                <w:u w:val="none"/>
                <w:lang w:val="en-US" w:eastAsia="zh-CN" w:bidi="ar"/>
              </w:rPr>
              <w:t>13、可见光投射比≧89.89%，因磨耗引起的雾度≦1.30%，抗磨性能符合标准中的技术要求。</w:t>
            </w:r>
          </w:p>
          <w:p w14:paraId="4ED85612">
            <w:pPr>
              <w:keepNext w:val="0"/>
              <w:keepLines w:val="0"/>
              <w:widowControl/>
              <w:suppressLineNumbers w:val="0"/>
              <w:jc w:val="left"/>
              <w:textAlignment w:val="center"/>
              <w:rPr>
                <w:rFonts w:hint="eastAsia" w:ascii="宋体" w:hAnsi="宋体" w:eastAsia="宋体" w:cs="宋体"/>
                <w:i w:val="0"/>
                <w:iCs w:val="0"/>
                <w:snapToGrid w:val="0"/>
                <w:color w:val="auto"/>
                <w:kern w:val="0"/>
                <w:sz w:val="18"/>
                <w:szCs w:val="18"/>
                <w:highlight w:val="none"/>
                <w:u w:val="none"/>
                <w:lang w:val="en-US" w:eastAsia="zh-CN" w:bidi="ar"/>
              </w:rPr>
            </w:pPr>
            <w:r>
              <w:rPr>
                <w:rFonts w:hint="eastAsia" w:ascii="宋体" w:hAnsi="宋体" w:eastAsia="宋体" w:cs="宋体"/>
                <w:i w:val="0"/>
                <w:iCs w:val="0"/>
                <w:snapToGrid w:val="0"/>
                <w:color w:val="auto"/>
                <w:kern w:val="0"/>
                <w:sz w:val="18"/>
                <w:szCs w:val="18"/>
                <w:highlight w:val="none"/>
                <w:u w:val="none"/>
                <w:lang w:val="en-US" w:eastAsia="zh-CN" w:bidi="ar"/>
              </w:rPr>
              <w:t>14、电源端子骚扰电压限制、电信据口的传导共模（非对称）骚扰电压限制、电信端口的传导共模（非对称）强扰电流限制及辐射骚扰限值均符合CLASS B要求。</w:t>
            </w:r>
          </w:p>
          <w:p w14:paraId="0D09EF38">
            <w:pPr>
              <w:keepNext w:val="0"/>
              <w:keepLines w:val="0"/>
              <w:widowControl/>
              <w:suppressLineNumbers w:val="0"/>
              <w:jc w:val="left"/>
              <w:textAlignment w:val="center"/>
              <w:rPr>
                <w:rFonts w:hint="eastAsia" w:ascii="宋体" w:hAnsi="宋体" w:eastAsia="宋体" w:cs="宋体"/>
                <w:i w:val="0"/>
                <w:iCs w:val="0"/>
                <w:snapToGrid w:val="0"/>
                <w:color w:val="auto"/>
                <w:kern w:val="0"/>
                <w:sz w:val="18"/>
                <w:szCs w:val="18"/>
                <w:highlight w:val="none"/>
                <w:u w:val="none"/>
                <w:lang w:val="en-US" w:eastAsia="zh-CN" w:bidi="ar"/>
              </w:rPr>
            </w:pPr>
            <w:r>
              <w:rPr>
                <w:rFonts w:hint="eastAsia" w:ascii="宋体" w:hAnsi="宋体" w:eastAsia="宋体" w:cs="宋体"/>
                <w:i w:val="0"/>
                <w:iCs w:val="0"/>
                <w:snapToGrid w:val="0"/>
                <w:color w:val="auto"/>
                <w:kern w:val="0"/>
                <w:sz w:val="18"/>
                <w:szCs w:val="18"/>
                <w:highlight w:val="none"/>
                <w:u w:val="none"/>
                <w:lang w:val="en-US" w:eastAsia="zh-CN" w:bidi="ar"/>
              </w:rPr>
              <w:t>15、显示单元的色彩还原准确性指标ΔE≤0.9。</w:t>
            </w:r>
          </w:p>
          <w:p w14:paraId="19FE77DC">
            <w:pPr>
              <w:keepNext w:val="0"/>
              <w:keepLines w:val="0"/>
              <w:widowControl/>
              <w:suppressLineNumbers w:val="0"/>
              <w:jc w:val="left"/>
              <w:textAlignment w:val="center"/>
              <w:rPr>
                <w:rFonts w:hint="eastAsia" w:ascii="宋体" w:hAnsi="宋体" w:eastAsia="宋体" w:cs="宋体"/>
                <w:i w:val="0"/>
                <w:iCs w:val="0"/>
                <w:snapToGrid w:val="0"/>
                <w:color w:val="auto"/>
                <w:kern w:val="0"/>
                <w:sz w:val="18"/>
                <w:szCs w:val="18"/>
                <w:highlight w:val="none"/>
                <w:u w:val="none"/>
                <w:lang w:val="en-US" w:eastAsia="zh-CN" w:bidi="ar"/>
              </w:rPr>
            </w:pPr>
            <w:r>
              <w:rPr>
                <w:rFonts w:hint="eastAsia" w:ascii="宋体" w:hAnsi="宋体" w:eastAsia="宋体" w:cs="宋体"/>
                <w:i w:val="0"/>
                <w:iCs w:val="0"/>
                <w:snapToGrid w:val="0"/>
                <w:color w:val="auto"/>
                <w:kern w:val="0"/>
                <w:sz w:val="18"/>
                <w:szCs w:val="18"/>
                <w:highlight w:val="none"/>
                <w:u w:val="none"/>
                <w:lang w:val="en-US" w:eastAsia="zh-CN" w:bidi="ar"/>
              </w:rPr>
              <w:t>16、断电5次，每次间隔≤5S恢复通电，模组显示正常，功能正常。</w:t>
            </w:r>
          </w:p>
          <w:p w14:paraId="41A1311A">
            <w:pPr>
              <w:keepNext w:val="0"/>
              <w:keepLines w:val="0"/>
              <w:widowControl/>
              <w:suppressLineNumbers w:val="0"/>
              <w:jc w:val="left"/>
              <w:textAlignment w:val="center"/>
              <w:rPr>
                <w:rFonts w:hint="eastAsia" w:ascii="宋体" w:hAnsi="宋体" w:eastAsia="宋体" w:cs="宋体"/>
                <w:i w:val="0"/>
                <w:iCs w:val="0"/>
                <w:snapToGrid w:val="0"/>
                <w:color w:val="auto"/>
                <w:kern w:val="0"/>
                <w:sz w:val="18"/>
                <w:szCs w:val="18"/>
                <w:highlight w:val="none"/>
                <w:u w:val="none"/>
                <w:lang w:val="en-US" w:eastAsia="zh-CN" w:bidi="ar"/>
              </w:rPr>
            </w:pPr>
            <w:r>
              <w:rPr>
                <w:rFonts w:hint="eastAsia" w:ascii="宋体" w:hAnsi="宋体" w:eastAsia="宋体" w:cs="宋体"/>
                <w:i w:val="0"/>
                <w:iCs w:val="0"/>
                <w:snapToGrid w:val="0"/>
                <w:color w:val="auto"/>
                <w:kern w:val="0"/>
                <w:sz w:val="18"/>
                <w:szCs w:val="18"/>
                <w:highlight w:val="none"/>
                <w:u w:val="none"/>
                <w:lang w:val="en-US" w:eastAsia="zh-CN" w:bidi="ar"/>
              </w:rPr>
              <w:t>17、模组含智能存储电路，可以存储模组生产信息参数、运行参数(存储校正数据、关键元器件型号、LED灯批次、生产日期、序列号、运行时间等)，存储容量≥12kb</w:t>
            </w:r>
          </w:p>
          <w:p w14:paraId="735E1F3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18、LED采用自然散热，无风扇设计，噪声满足NR-25声标准曲线)要求，白平衡最亮噪音1(dB)-A(球面半径1.5米内)，白平衡最亮噪音1.4(dB)-A(球面半径1米内)，白平衡最亮噪音2(dB)-A(球面半径0.3米内)嗓声测试通过GB/T18313-2001idtISO7779:1999(E)标准，噪声声压级≤20dB(A)(距离平面中心1米处)。</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A987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m²</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DCA05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12.29</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1E77DF">
            <w:pPr>
              <w:jc w:val="center"/>
              <w:rPr>
                <w:rFonts w:hint="eastAsia" w:ascii="宋体" w:hAnsi="宋体" w:eastAsia="宋体" w:cs="宋体"/>
                <w:i w:val="0"/>
                <w:iCs w:val="0"/>
                <w:color w:val="auto"/>
                <w:sz w:val="18"/>
                <w:szCs w:val="18"/>
                <w:highlight w:val="none"/>
                <w:u w:val="none"/>
              </w:rPr>
            </w:pPr>
          </w:p>
        </w:tc>
      </w:tr>
      <w:tr w14:paraId="7A6A62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861A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12</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A154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接收卡</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7BC9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1.集成≥16个HUB75，无需再配转接板</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2.单卡最大带载≥256×1024像素，最多支持≥32组并行数据</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3.支持≥8bit色深视频源输入输出，单色灰阶为≥256，可搭配出≥16777216种混合色彩。</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4.支持自适应帧率技术，不仅支持23.98/24/29.97/30/50/59.94/60Hz常规及非整数帧率，还可输出显示120/240Hz高帧率画面，大幅提升画面流畅度、减少拖影。</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5.支持色温调节，提供调整色温，即饱和度调节，增强画面表现力</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6.支持低亮高灰</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7.支持亮色度逐点校正，能有效消除灯点色差，保证整屏的颜色亮度的均匀性和一致性，提升整体显示效果</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8.支持箱体标定和快速标序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9.支持画面旋转，单个箱体画面以90°/180°/270°角度进行旋转，配合部分主控可实现单箱体画面任意角度旋转显示</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10.支持数据偏移，支持误码侦测</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11.支持环路备份，支持固件备份</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780FA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张</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A0E4D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28CC60">
            <w:pPr>
              <w:jc w:val="center"/>
              <w:rPr>
                <w:rFonts w:hint="eastAsia" w:ascii="宋体" w:hAnsi="宋体" w:eastAsia="宋体" w:cs="宋体"/>
                <w:i w:val="0"/>
                <w:iCs w:val="0"/>
                <w:color w:val="auto"/>
                <w:sz w:val="18"/>
                <w:szCs w:val="18"/>
                <w:highlight w:val="none"/>
                <w:u w:val="none"/>
              </w:rPr>
            </w:pPr>
          </w:p>
        </w:tc>
      </w:tr>
      <w:tr w14:paraId="36ACED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EDE84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13</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F72F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视频处理器</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4468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 专业主控是针对LED显示屏工程应用领域的专业级控制系统和视频处理设备，具备丰富的视频信号接口。支持DVI、HDMI、SDI等高清数字接口，多路信号间无缝切换，支持广播级缩放及多画面显示。</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 专业主控具备≥8个千兆网口输出，单机可支持最宽≥8192像素或最高≥4096像素的LED显示屏。同时还具备一系列丰富实用的功能，可以实现灵活的屏幕控制和高品质的图像显示，在LED显示屏工程应用领域具有显著优势。</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 丰富的数字信号接口，包括≥2路DVI，≥1路HDMI，≥1路SDI</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4. 最大带载≥520万像素，最宽可达≥8192点，或最高可达≥4096点</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5. 最大输入分辨率≥1920×1200@60Hz，支持分辨率任意设置</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6. ≥8路千兆网口输出，支持单机或双机冗余备份</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7. 对视频信号任意切换，裁剪，拼接，缩放</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8. ≥3画面显示，位置、大小可自由调节</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9. 独立音频输入和音频输出，支持HDMI音频解析</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10. RS232串口协议控制</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11. HDCP高带宽数字内容保护技术</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12. 亮度和色温调节</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13. 低亮高灰，能有效地保持低亮下灰阶的完整并完美显示</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15A2D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46E3E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B2C303">
            <w:pPr>
              <w:jc w:val="center"/>
              <w:rPr>
                <w:rFonts w:hint="eastAsia" w:ascii="宋体" w:hAnsi="宋体" w:eastAsia="宋体" w:cs="宋体"/>
                <w:i w:val="0"/>
                <w:iCs w:val="0"/>
                <w:color w:val="auto"/>
                <w:sz w:val="18"/>
                <w:szCs w:val="18"/>
                <w:highlight w:val="none"/>
                <w:u w:val="none"/>
              </w:rPr>
            </w:pPr>
          </w:p>
        </w:tc>
      </w:tr>
      <w:tr w14:paraId="73E5F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95CC1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14</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827C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可视化智控平台</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DDBE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1、支持对大屏系统的统一管理，包括大屏电视墙创建、信号源管理、信号一件上墙、信号切换、信号轮巡、预案创建和保存、预案切换和轮巡，支持任意开窗、漫游、缩放、叠加、画中画、拼接等</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2、支持信号源状态监测功能，可通过信号源列表的信号源图标判断信号源的在线、离线、分辨率不兼容等状态。</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3、支持控制大屏的开关机、具备实时、定时开关机、倒计时关机等模式。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4、具备多种开窗方式，支持鼠标拖拽开窗、固定布局开窗、一键批量开窗、坐标精确开窗等。</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5、支持上墙码流自适应功能，可根据视频窗口的分屏数量，自适应主/辅流上墙。</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6、兼容IE、Webkit、Blink、Gecko等浏览器内核，支持电脑客户端以及手机、平板、PC等多类型移动终端登录</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7、多设备间切换：可以对所控制的多台设备间任意切换，切换不同的设备进入不同的控制界面</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8、支持用户名密码登录（可选择记住密码自动登录）、手机号码登录、二维码登录等多种登录方式、系统数据通讯采用PBKDF2、MD5、IDEA等加密算法，用户登录采用Token认证的方式，支持TLS、DTLS和SRTP安全协议，保证系统的数据安全可靠</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9、服务器状态监测：支持对系统服务器运行状态监测，可实时监测当下服务CPU、GPU、内存、FPS数据，了解设备服务器运行状态、资源占用情况</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10、支持多操作系统；支持多设备间切换；支持反向控制；支持回显功能：支持≥80路输入信号同时回显。</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6B54D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套</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338E7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10DC8">
            <w:pPr>
              <w:jc w:val="center"/>
              <w:rPr>
                <w:rFonts w:hint="eastAsia" w:ascii="宋体" w:hAnsi="宋体" w:eastAsia="宋体" w:cs="宋体"/>
                <w:i w:val="0"/>
                <w:iCs w:val="0"/>
                <w:color w:val="auto"/>
                <w:sz w:val="18"/>
                <w:szCs w:val="18"/>
                <w:highlight w:val="none"/>
                <w:u w:val="none"/>
              </w:rPr>
            </w:pPr>
          </w:p>
        </w:tc>
      </w:tr>
      <w:tr w14:paraId="4E77F8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7E44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15</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1566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电源</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CF10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1、输入电压范围：180-264VAC</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2、输入瞬态电压可承受320VAC ≥5S</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3、效率≥88%</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4、支持自然冷却</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5、全方位保护功能：输入欠压\输出短路\过载\过压保护</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6、工作温度范围：-30℃~+70℃</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A1FB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4021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48</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F81B1">
            <w:pPr>
              <w:jc w:val="center"/>
              <w:rPr>
                <w:rFonts w:hint="eastAsia" w:ascii="宋体" w:hAnsi="宋体" w:eastAsia="宋体" w:cs="宋体"/>
                <w:i w:val="0"/>
                <w:iCs w:val="0"/>
                <w:color w:val="auto"/>
                <w:sz w:val="18"/>
                <w:szCs w:val="18"/>
                <w:highlight w:val="none"/>
                <w:u w:val="none"/>
              </w:rPr>
            </w:pPr>
          </w:p>
        </w:tc>
      </w:tr>
      <w:tr w14:paraId="0FE860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22A7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3769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排线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701B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长度：0.4m-1.6m</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3A20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根</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1F9E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250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0C99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1F0AB9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8B8C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17</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5F9C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连接网线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FA75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长度：0.6m-1.5m</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97D53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根</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D2A51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17</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26B04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1F922F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C3FCF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18</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8626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电源连接线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D66B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红黑电源端子线</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39B3F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根</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4384B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71E73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33701A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8"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98568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19</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E74B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结构框架</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FC51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定制型材，含后包边，型材壁厚1.5–3mm、钢架间距≤1m）、模块平整度（≤0.3mm）、防护等级（IP65等）、安装公差（拼缝&lt;0.5mm）</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15F69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03E58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13.05</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2A0C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26C3F7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8BA30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20</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A24F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工程线缆</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CD68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自行布置专用过线槽等以及布线，从配电箱布≥5组RVV3*2.5电源线到大屏位置，从控制室机柜布网线≥10根到大屏位置，预留相应长度。</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1BEC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项</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B92F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2E56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11DBBA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2186" w:type="dxa"/>
            <w:gridSpan w:val="2"/>
            <w:tcBorders>
              <w:top w:val="single" w:color="000000" w:sz="4" w:space="0"/>
              <w:left w:val="single" w:color="000000" w:sz="4" w:space="0"/>
              <w:bottom w:val="single" w:color="000000" w:sz="4" w:space="0"/>
              <w:right w:val="single" w:color="000000" w:sz="4" w:space="0"/>
            </w:tcBorders>
            <w:shd w:val="clear" w:color="auto" w:fill="00B0F0"/>
            <w:noWrap/>
            <w:vAlign w:val="center"/>
          </w:tcPr>
          <w:p w14:paraId="6F0ABAE9">
            <w:pPr>
              <w:rPr>
                <w:rFonts w:hint="eastAsia" w:ascii="宋体" w:hAnsi="宋体" w:eastAsia="宋体" w:cs="宋体"/>
                <w:b/>
                <w:bCs/>
                <w:i w:val="0"/>
                <w:iCs w:val="0"/>
                <w:color w:val="auto"/>
                <w:sz w:val="18"/>
                <w:szCs w:val="18"/>
                <w:highlight w:val="none"/>
                <w:u w:val="none"/>
              </w:rPr>
            </w:pPr>
            <w:r>
              <w:rPr>
                <w:rFonts w:hint="eastAsia" w:ascii="宋体" w:hAnsi="宋体" w:eastAsia="宋体" w:cs="宋体"/>
                <w:b/>
                <w:bCs/>
                <w:i w:val="0"/>
                <w:iCs w:val="0"/>
                <w:snapToGrid w:val="0"/>
                <w:color w:val="auto"/>
                <w:kern w:val="0"/>
                <w:sz w:val="18"/>
                <w:szCs w:val="18"/>
                <w:highlight w:val="none"/>
                <w:u w:val="none"/>
                <w:lang w:val="en-US" w:eastAsia="zh-CN" w:bidi="ar"/>
              </w:rPr>
              <w:t>二、扩声系统</w:t>
            </w:r>
          </w:p>
        </w:tc>
        <w:tc>
          <w:tcPr>
            <w:tcW w:w="4680" w:type="dxa"/>
            <w:tcBorders>
              <w:top w:val="single" w:color="000000" w:sz="4" w:space="0"/>
              <w:left w:val="single" w:color="000000" w:sz="4" w:space="0"/>
              <w:bottom w:val="single" w:color="000000" w:sz="4" w:space="0"/>
              <w:right w:val="single" w:color="000000" w:sz="4" w:space="0"/>
            </w:tcBorders>
            <w:shd w:val="clear" w:color="auto" w:fill="00B0F0"/>
            <w:vAlign w:val="center"/>
          </w:tcPr>
          <w:p w14:paraId="74521A61">
            <w:pPr>
              <w:rPr>
                <w:rFonts w:hint="eastAsia" w:ascii="宋体" w:hAnsi="宋体" w:eastAsia="宋体" w:cs="宋体"/>
                <w:b/>
                <w:bCs/>
                <w:i w:val="0"/>
                <w:iCs w:val="0"/>
                <w:color w:val="auto"/>
                <w:sz w:val="18"/>
                <w:szCs w:val="18"/>
                <w:highlight w:val="none"/>
                <w:u w:val="none"/>
              </w:rPr>
            </w:pPr>
          </w:p>
        </w:tc>
        <w:tc>
          <w:tcPr>
            <w:tcW w:w="813" w:type="dxa"/>
            <w:tcBorders>
              <w:top w:val="single" w:color="000000" w:sz="4" w:space="0"/>
              <w:left w:val="single" w:color="000000" w:sz="4" w:space="0"/>
              <w:bottom w:val="single" w:color="000000" w:sz="4" w:space="0"/>
              <w:right w:val="single" w:color="000000" w:sz="4" w:space="0"/>
            </w:tcBorders>
            <w:shd w:val="clear" w:color="auto" w:fill="00B0F0"/>
            <w:noWrap/>
            <w:vAlign w:val="center"/>
          </w:tcPr>
          <w:p w14:paraId="24A4D7B3">
            <w:pPr>
              <w:jc w:val="center"/>
              <w:rPr>
                <w:rFonts w:hint="eastAsia" w:ascii="宋体" w:hAnsi="宋体" w:eastAsia="宋体" w:cs="宋体"/>
                <w:b/>
                <w:bCs/>
                <w:i w:val="0"/>
                <w:iCs w:val="0"/>
                <w:color w:val="auto"/>
                <w:sz w:val="18"/>
                <w:szCs w:val="18"/>
                <w:highlight w:val="none"/>
                <w:u w:val="none"/>
              </w:rPr>
            </w:pPr>
          </w:p>
        </w:tc>
        <w:tc>
          <w:tcPr>
            <w:tcW w:w="707" w:type="dxa"/>
            <w:tcBorders>
              <w:top w:val="single" w:color="000000" w:sz="4" w:space="0"/>
              <w:left w:val="single" w:color="000000" w:sz="4" w:space="0"/>
              <w:bottom w:val="single" w:color="000000" w:sz="4" w:space="0"/>
              <w:right w:val="single" w:color="000000" w:sz="4" w:space="0"/>
            </w:tcBorders>
            <w:shd w:val="clear" w:color="auto" w:fill="00B0F0"/>
            <w:noWrap/>
            <w:vAlign w:val="center"/>
          </w:tcPr>
          <w:p w14:paraId="355CBA5D">
            <w:pPr>
              <w:jc w:val="center"/>
              <w:rPr>
                <w:rFonts w:hint="eastAsia" w:ascii="宋体" w:hAnsi="宋体" w:eastAsia="宋体" w:cs="宋体"/>
                <w:b/>
                <w:bCs/>
                <w:i w:val="0"/>
                <w:iCs w:val="0"/>
                <w:color w:val="auto"/>
                <w:sz w:val="18"/>
                <w:szCs w:val="18"/>
                <w:highlight w:val="none"/>
                <w:u w:val="none"/>
              </w:rPr>
            </w:pPr>
          </w:p>
        </w:tc>
        <w:tc>
          <w:tcPr>
            <w:tcW w:w="843" w:type="dxa"/>
            <w:tcBorders>
              <w:top w:val="single" w:color="000000" w:sz="4" w:space="0"/>
              <w:left w:val="single" w:color="000000" w:sz="4" w:space="0"/>
              <w:bottom w:val="single" w:color="000000" w:sz="4" w:space="0"/>
              <w:right w:val="single" w:color="000000" w:sz="4" w:space="0"/>
            </w:tcBorders>
            <w:shd w:val="clear" w:color="auto" w:fill="00B0F0"/>
            <w:noWrap/>
            <w:vAlign w:val="center"/>
          </w:tcPr>
          <w:p w14:paraId="6617E49D">
            <w:pPr>
              <w:jc w:val="center"/>
              <w:rPr>
                <w:rFonts w:hint="eastAsia" w:ascii="宋体" w:hAnsi="宋体" w:eastAsia="宋体" w:cs="宋体"/>
                <w:b/>
                <w:bCs/>
                <w:i w:val="0"/>
                <w:iCs w:val="0"/>
                <w:color w:val="auto"/>
                <w:sz w:val="18"/>
                <w:szCs w:val="18"/>
                <w:highlight w:val="none"/>
                <w:u w:val="none"/>
              </w:rPr>
            </w:pPr>
          </w:p>
        </w:tc>
      </w:tr>
      <w:tr w14:paraId="6BECCE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2186" w:type="dxa"/>
            <w:gridSpan w:val="2"/>
            <w:tcBorders>
              <w:top w:val="single" w:color="000000" w:sz="4" w:space="0"/>
              <w:left w:val="single" w:color="000000" w:sz="4" w:space="0"/>
              <w:bottom w:val="single" w:color="000000" w:sz="4" w:space="0"/>
              <w:right w:val="single" w:color="000000" w:sz="4" w:space="0"/>
            </w:tcBorders>
            <w:shd w:val="clear" w:color="auto" w:fill="D9D9D9"/>
            <w:noWrap/>
            <w:vAlign w:val="center"/>
          </w:tcPr>
          <w:p w14:paraId="7109A8C8">
            <w:pP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1、扬声器系统</w:t>
            </w:r>
          </w:p>
        </w:tc>
        <w:tc>
          <w:tcPr>
            <w:tcW w:w="4680" w:type="dxa"/>
            <w:tcBorders>
              <w:top w:val="single" w:color="000000" w:sz="4" w:space="0"/>
              <w:left w:val="single" w:color="000000" w:sz="4" w:space="0"/>
              <w:bottom w:val="single" w:color="000000" w:sz="4" w:space="0"/>
              <w:right w:val="single" w:color="000000" w:sz="4" w:space="0"/>
            </w:tcBorders>
            <w:shd w:val="clear" w:color="auto" w:fill="D9D9D9"/>
            <w:vAlign w:val="center"/>
          </w:tcPr>
          <w:p w14:paraId="55562858">
            <w:pPr>
              <w:rPr>
                <w:rFonts w:hint="eastAsia" w:ascii="宋体" w:hAnsi="宋体" w:eastAsia="宋体" w:cs="宋体"/>
                <w:i w:val="0"/>
                <w:iCs w:val="0"/>
                <w:color w:val="auto"/>
                <w:sz w:val="18"/>
                <w:szCs w:val="18"/>
                <w:highlight w:val="none"/>
                <w:u w:val="none"/>
              </w:rPr>
            </w:pPr>
          </w:p>
        </w:tc>
        <w:tc>
          <w:tcPr>
            <w:tcW w:w="813" w:type="dxa"/>
            <w:tcBorders>
              <w:top w:val="single" w:color="000000" w:sz="4" w:space="0"/>
              <w:left w:val="single" w:color="000000" w:sz="4" w:space="0"/>
              <w:bottom w:val="single" w:color="000000" w:sz="4" w:space="0"/>
              <w:right w:val="single" w:color="000000" w:sz="4" w:space="0"/>
            </w:tcBorders>
            <w:shd w:val="clear" w:color="auto" w:fill="D9D9D9"/>
            <w:vAlign w:val="center"/>
          </w:tcPr>
          <w:p w14:paraId="2263A3BB">
            <w:pPr>
              <w:rPr>
                <w:rFonts w:hint="eastAsia" w:ascii="宋体" w:hAnsi="宋体" w:eastAsia="宋体" w:cs="宋体"/>
                <w:i w:val="0"/>
                <w:iCs w:val="0"/>
                <w:color w:val="auto"/>
                <w:sz w:val="18"/>
                <w:szCs w:val="18"/>
                <w:highlight w:val="none"/>
                <w:u w:val="none"/>
              </w:rPr>
            </w:pPr>
          </w:p>
        </w:tc>
        <w:tc>
          <w:tcPr>
            <w:tcW w:w="707" w:type="dxa"/>
            <w:tcBorders>
              <w:top w:val="single" w:color="000000" w:sz="4" w:space="0"/>
              <w:left w:val="single" w:color="000000" w:sz="4" w:space="0"/>
              <w:bottom w:val="single" w:color="000000" w:sz="4" w:space="0"/>
              <w:right w:val="single" w:color="000000" w:sz="4" w:space="0"/>
            </w:tcBorders>
            <w:shd w:val="clear" w:color="auto" w:fill="D9D9D9"/>
            <w:vAlign w:val="center"/>
          </w:tcPr>
          <w:p w14:paraId="44AA624F">
            <w:pPr>
              <w:jc w:val="center"/>
              <w:rPr>
                <w:rFonts w:hint="eastAsia" w:ascii="宋体" w:hAnsi="宋体" w:eastAsia="宋体" w:cs="宋体"/>
                <w:i w:val="0"/>
                <w:iCs w:val="0"/>
                <w:color w:val="auto"/>
                <w:sz w:val="18"/>
                <w:szCs w:val="18"/>
                <w:highlight w:val="none"/>
                <w:u w:val="none"/>
              </w:rPr>
            </w:pPr>
          </w:p>
        </w:tc>
        <w:tc>
          <w:tcPr>
            <w:tcW w:w="843" w:type="dxa"/>
            <w:tcBorders>
              <w:top w:val="single" w:color="000000" w:sz="4" w:space="0"/>
              <w:left w:val="single" w:color="000000" w:sz="4" w:space="0"/>
              <w:bottom w:val="single" w:color="000000" w:sz="4" w:space="0"/>
              <w:right w:val="single" w:color="000000" w:sz="4" w:space="0"/>
            </w:tcBorders>
            <w:shd w:val="clear" w:color="auto" w:fill="D9D9D9"/>
            <w:vAlign w:val="center"/>
          </w:tcPr>
          <w:p w14:paraId="312A9249">
            <w:pPr>
              <w:jc w:val="center"/>
              <w:rPr>
                <w:rFonts w:hint="eastAsia" w:ascii="宋体" w:hAnsi="宋体" w:eastAsia="宋体" w:cs="宋体"/>
                <w:i w:val="0"/>
                <w:iCs w:val="0"/>
                <w:color w:val="auto"/>
                <w:sz w:val="18"/>
                <w:szCs w:val="18"/>
                <w:highlight w:val="none"/>
                <w:u w:val="none"/>
              </w:rPr>
            </w:pPr>
          </w:p>
        </w:tc>
      </w:tr>
      <w:tr w14:paraId="0735E0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3BDB0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21</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4D41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主扩音箱</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197B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中低音喇叭 : ≥1×12" (140磁Φ50mm)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高音喇叭 : ≥1×1.34" (Φ34mm)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频响(±3dB) : 70Hz-18kHz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额定/峰值功率：≥300W /600W</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阻抗：8欧</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灵敏度 :≥ 93dB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最大声压SPL: ≥124dB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覆盖角度（H×V） 80°×50°</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703D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只</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2AF9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70BAD">
            <w:pPr>
              <w:jc w:val="center"/>
              <w:rPr>
                <w:rFonts w:hint="eastAsia" w:ascii="宋体" w:hAnsi="宋体" w:eastAsia="宋体" w:cs="宋体"/>
                <w:i w:val="0"/>
                <w:iCs w:val="0"/>
                <w:color w:val="auto"/>
                <w:sz w:val="18"/>
                <w:szCs w:val="18"/>
                <w:highlight w:val="none"/>
                <w:u w:val="none"/>
              </w:rPr>
            </w:pPr>
          </w:p>
        </w:tc>
      </w:tr>
      <w:tr w14:paraId="0640AC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4878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22</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1CE2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专业功放</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0AE93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8Ω平均功率  ≥500W×2</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4Ω平均功率  ≥800W×2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频率模式  ≥20Hz-20KHz（+-0.5db）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转换速率  ≤25V/μ S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阻尼系数≥350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信噪比  ≥103dB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总谐波失真 ：≤0.08%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输入灵敏度：≤0.775V/1.0V/1.44V</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B591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ACDC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ED916">
            <w:pPr>
              <w:jc w:val="center"/>
              <w:rPr>
                <w:rFonts w:hint="eastAsia" w:ascii="宋体" w:hAnsi="宋体" w:eastAsia="宋体" w:cs="宋体"/>
                <w:i w:val="0"/>
                <w:iCs w:val="0"/>
                <w:color w:val="auto"/>
                <w:sz w:val="18"/>
                <w:szCs w:val="18"/>
                <w:highlight w:val="none"/>
                <w:u w:val="none"/>
              </w:rPr>
            </w:pPr>
          </w:p>
        </w:tc>
      </w:tr>
      <w:tr w14:paraId="2FD3E3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151A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23</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78A7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超低音箱</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2035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低音喇叭 : ≥1×18" (220磁Φ100mm)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频响 (±3dB) : ≥37Hz-400Hz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额定/峰值功率：≥600W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阻抗：8欧</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灵敏度 : ≥96dB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最大声压级(连续/峰值): ≥124dB/130db</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48B0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只</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041C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201C0">
            <w:pPr>
              <w:jc w:val="center"/>
              <w:rPr>
                <w:rFonts w:hint="eastAsia" w:ascii="宋体" w:hAnsi="宋体" w:eastAsia="宋体" w:cs="宋体"/>
                <w:i w:val="0"/>
                <w:iCs w:val="0"/>
                <w:color w:val="auto"/>
                <w:sz w:val="18"/>
                <w:szCs w:val="18"/>
                <w:highlight w:val="none"/>
                <w:u w:val="none"/>
              </w:rPr>
            </w:pPr>
          </w:p>
        </w:tc>
      </w:tr>
      <w:tr w14:paraId="35798D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A1D53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24</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B524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专业功放</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2DAE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8Ω平均功率  ≥1000W×2</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4Ω平均功率  ≥1800W×2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频率模式  ≥20Hz-20KHz（+-0.5db）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转换速率  ≤25V/μ S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阻尼系数≥650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信噪比  ≥103dB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总谐波失真 ：≤0.08%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输入灵敏度：≤0.775V/1.0V/1.44V</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D748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7762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ECE2E">
            <w:pPr>
              <w:jc w:val="center"/>
              <w:rPr>
                <w:rFonts w:hint="eastAsia" w:ascii="宋体" w:hAnsi="宋体" w:eastAsia="宋体" w:cs="宋体"/>
                <w:i w:val="0"/>
                <w:iCs w:val="0"/>
                <w:color w:val="auto"/>
                <w:sz w:val="18"/>
                <w:szCs w:val="18"/>
                <w:highlight w:val="none"/>
                <w:u w:val="none"/>
              </w:rPr>
            </w:pPr>
          </w:p>
        </w:tc>
      </w:tr>
      <w:tr w14:paraId="656AD6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6D11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25</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A866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返听音箱</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9D78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单元构成  ≥低音 1×12"  ≥高音 1×1.73"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频率回应 ≥50Hz-18 KHz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功率（额定/ 峰值）：≥300w / 1200w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灵敏度 1w/1m ≥97dB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最大声压 SPL ≥126dB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阻抗  8Ω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覆盖角度（H×V）≥ 80°×50°</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7D3E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只</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1C49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B8C60">
            <w:pPr>
              <w:jc w:val="center"/>
              <w:rPr>
                <w:rFonts w:hint="eastAsia" w:ascii="宋体" w:hAnsi="宋体" w:eastAsia="宋体" w:cs="宋体"/>
                <w:i w:val="0"/>
                <w:iCs w:val="0"/>
                <w:color w:val="auto"/>
                <w:sz w:val="18"/>
                <w:szCs w:val="18"/>
                <w:highlight w:val="none"/>
                <w:u w:val="none"/>
              </w:rPr>
            </w:pPr>
          </w:p>
        </w:tc>
      </w:tr>
      <w:tr w14:paraId="0FC043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27A8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26</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A852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专业功放</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8391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8Ω平均功率  ≥500W×2</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4Ω平均功率 ≥ 800W×2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频率模式  ≥20Hz-20KHz（+-0.5db）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转换速率  ≤25V/μ S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阻尼系数≥350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信噪比  ≥103dB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总谐波失真 ：≤0.08%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输入灵敏度：≤0.775V/1.0V/1.44V</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5419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118C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8A8B2">
            <w:pPr>
              <w:jc w:val="center"/>
              <w:rPr>
                <w:rFonts w:hint="eastAsia" w:ascii="宋体" w:hAnsi="宋体" w:eastAsia="宋体" w:cs="宋体"/>
                <w:i w:val="0"/>
                <w:iCs w:val="0"/>
                <w:color w:val="auto"/>
                <w:sz w:val="18"/>
                <w:szCs w:val="18"/>
                <w:highlight w:val="none"/>
                <w:u w:val="none"/>
              </w:rPr>
            </w:pPr>
          </w:p>
        </w:tc>
      </w:tr>
      <w:tr w14:paraId="6B95B8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9807E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27</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0FBA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辅助音箱</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0EA4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中低音喇叭 : ≥1×10" (100磁Φ35mm)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高音喇叭 :≥ 1×1" (Φ25mm)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频响(±3dB) : ≥80Hz-18kHz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额定/峰值功率：≥250W /500W</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阻抗：8欧</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灵敏度 : ≥91dB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最大声压SPL: ≥121dB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覆盖角度（H×V）≥ 80°×50°</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1885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只</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207F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276A2">
            <w:pPr>
              <w:jc w:val="center"/>
              <w:rPr>
                <w:rFonts w:hint="eastAsia" w:ascii="宋体" w:hAnsi="宋体" w:eastAsia="宋体" w:cs="宋体"/>
                <w:i w:val="0"/>
                <w:iCs w:val="0"/>
                <w:color w:val="auto"/>
                <w:sz w:val="18"/>
                <w:szCs w:val="18"/>
                <w:highlight w:val="none"/>
                <w:u w:val="none"/>
              </w:rPr>
            </w:pPr>
          </w:p>
        </w:tc>
      </w:tr>
      <w:tr w14:paraId="7A19BC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E6B92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28</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CFA7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专业功放</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2866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8Ω平均功率  ≥400W×2</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4Ω平均功率  ≥650W×2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频率模式  ≥20Hz-20KHz（+-0.5db）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转换速率  ≤25V/μ S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阻尼系数≥350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信噪比  ≥103dB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总谐波失真 ：≤0.08%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输入灵敏度：≤0.775V/1.0V/1.44V</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7A13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704D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F80BF">
            <w:pPr>
              <w:jc w:val="center"/>
              <w:rPr>
                <w:rFonts w:hint="eastAsia" w:ascii="宋体" w:hAnsi="宋体" w:eastAsia="宋体" w:cs="宋体"/>
                <w:i w:val="0"/>
                <w:iCs w:val="0"/>
                <w:color w:val="auto"/>
                <w:sz w:val="18"/>
                <w:szCs w:val="18"/>
                <w:highlight w:val="none"/>
                <w:u w:val="none"/>
              </w:rPr>
            </w:pPr>
          </w:p>
        </w:tc>
      </w:tr>
      <w:tr w14:paraId="65398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5EE6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29</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B293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音箱支架</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C2E6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壁挂支架，与音箱配套</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5097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副</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4587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B94F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74C482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2186" w:type="dxa"/>
            <w:gridSpan w:val="2"/>
            <w:tcBorders>
              <w:top w:val="single" w:color="000000" w:sz="4" w:space="0"/>
              <w:left w:val="single" w:color="000000" w:sz="4" w:space="0"/>
              <w:bottom w:val="single" w:color="000000" w:sz="4" w:space="0"/>
              <w:right w:val="single" w:color="000000" w:sz="4" w:space="0"/>
            </w:tcBorders>
            <w:shd w:val="clear" w:color="auto" w:fill="D9D9D9"/>
            <w:noWrap/>
            <w:vAlign w:val="center"/>
          </w:tcPr>
          <w:p w14:paraId="6A80C88B">
            <w:pP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2、周边及音源系统</w:t>
            </w:r>
          </w:p>
        </w:tc>
        <w:tc>
          <w:tcPr>
            <w:tcW w:w="4680" w:type="dxa"/>
            <w:tcBorders>
              <w:top w:val="single" w:color="000000" w:sz="4" w:space="0"/>
              <w:left w:val="single" w:color="000000" w:sz="4" w:space="0"/>
              <w:bottom w:val="single" w:color="000000" w:sz="4" w:space="0"/>
              <w:right w:val="single" w:color="000000" w:sz="4" w:space="0"/>
            </w:tcBorders>
            <w:shd w:val="clear" w:color="auto" w:fill="D9D9D9"/>
            <w:vAlign w:val="center"/>
          </w:tcPr>
          <w:p w14:paraId="1D9B54BC">
            <w:pPr>
              <w:rPr>
                <w:rFonts w:hint="eastAsia" w:ascii="宋体" w:hAnsi="宋体" w:eastAsia="宋体" w:cs="宋体"/>
                <w:i w:val="0"/>
                <w:iCs w:val="0"/>
                <w:color w:val="auto"/>
                <w:sz w:val="18"/>
                <w:szCs w:val="18"/>
                <w:highlight w:val="none"/>
                <w:u w:val="none"/>
              </w:rPr>
            </w:pPr>
          </w:p>
        </w:tc>
        <w:tc>
          <w:tcPr>
            <w:tcW w:w="813" w:type="dxa"/>
            <w:tcBorders>
              <w:top w:val="single" w:color="000000" w:sz="4" w:space="0"/>
              <w:left w:val="single" w:color="000000" w:sz="4" w:space="0"/>
              <w:bottom w:val="single" w:color="000000" w:sz="4" w:space="0"/>
              <w:right w:val="single" w:color="000000" w:sz="4" w:space="0"/>
            </w:tcBorders>
            <w:shd w:val="clear" w:color="auto" w:fill="D9D9D9"/>
            <w:vAlign w:val="center"/>
          </w:tcPr>
          <w:p w14:paraId="15692F2C">
            <w:pPr>
              <w:rPr>
                <w:rFonts w:hint="eastAsia" w:ascii="宋体" w:hAnsi="宋体" w:eastAsia="宋体" w:cs="宋体"/>
                <w:i w:val="0"/>
                <w:iCs w:val="0"/>
                <w:color w:val="auto"/>
                <w:sz w:val="18"/>
                <w:szCs w:val="18"/>
                <w:highlight w:val="none"/>
                <w:u w:val="none"/>
              </w:rPr>
            </w:pPr>
          </w:p>
        </w:tc>
        <w:tc>
          <w:tcPr>
            <w:tcW w:w="707" w:type="dxa"/>
            <w:tcBorders>
              <w:top w:val="single" w:color="000000" w:sz="4" w:space="0"/>
              <w:left w:val="single" w:color="000000" w:sz="4" w:space="0"/>
              <w:bottom w:val="single" w:color="000000" w:sz="4" w:space="0"/>
              <w:right w:val="single" w:color="000000" w:sz="4" w:space="0"/>
            </w:tcBorders>
            <w:shd w:val="clear" w:color="auto" w:fill="D9D9D9"/>
            <w:vAlign w:val="center"/>
          </w:tcPr>
          <w:p w14:paraId="448DACF2">
            <w:pPr>
              <w:jc w:val="center"/>
              <w:rPr>
                <w:rFonts w:hint="eastAsia" w:ascii="宋体" w:hAnsi="宋体" w:eastAsia="宋体" w:cs="宋体"/>
                <w:i w:val="0"/>
                <w:iCs w:val="0"/>
                <w:color w:val="auto"/>
                <w:sz w:val="18"/>
                <w:szCs w:val="18"/>
                <w:highlight w:val="none"/>
                <w:u w:val="none"/>
              </w:rPr>
            </w:pPr>
          </w:p>
        </w:tc>
        <w:tc>
          <w:tcPr>
            <w:tcW w:w="843" w:type="dxa"/>
            <w:tcBorders>
              <w:top w:val="single" w:color="000000" w:sz="4" w:space="0"/>
              <w:left w:val="single" w:color="000000" w:sz="4" w:space="0"/>
              <w:bottom w:val="single" w:color="000000" w:sz="4" w:space="0"/>
              <w:right w:val="single" w:color="000000" w:sz="4" w:space="0"/>
            </w:tcBorders>
            <w:shd w:val="clear" w:color="auto" w:fill="D9D9D9"/>
            <w:vAlign w:val="center"/>
          </w:tcPr>
          <w:p w14:paraId="07CC9256">
            <w:pPr>
              <w:jc w:val="center"/>
              <w:rPr>
                <w:rFonts w:hint="eastAsia" w:ascii="宋体" w:hAnsi="宋体" w:eastAsia="宋体" w:cs="宋体"/>
                <w:i w:val="0"/>
                <w:iCs w:val="0"/>
                <w:color w:val="auto"/>
                <w:sz w:val="18"/>
                <w:szCs w:val="18"/>
                <w:highlight w:val="none"/>
                <w:u w:val="none"/>
              </w:rPr>
            </w:pPr>
          </w:p>
        </w:tc>
      </w:tr>
      <w:tr w14:paraId="2C287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2743F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30</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8B56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调音台</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484C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1、≥8路XLR平衡单声通道输入、超低噪音线路设计，动态余量大</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2、每通道带3段均衡调节，MUTE静音开关，60MM平滑推子衰减器，</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3、≥1组立体声母线，≥2组AUX母线输出（包括FX)</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4、内置48V幻象电源供电；</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5、自带≥16种DSP数字效果器,</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6、USB音频播放MP3等主流格式；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7、自带蓝牙播放MP3等主流格式；</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5426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D21E2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5593B7">
            <w:pPr>
              <w:jc w:val="center"/>
              <w:rPr>
                <w:rFonts w:hint="eastAsia" w:ascii="宋体" w:hAnsi="宋体" w:eastAsia="宋体" w:cs="宋体"/>
                <w:i w:val="0"/>
                <w:iCs w:val="0"/>
                <w:color w:val="auto"/>
                <w:sz w:val="18"/>
                <w:szCs w:val="18"/>
                <w:highlight w:val="none"/>
                <w:u w:val="none"/>
              </w:rPr>
            </w:pPr>
          </w:p>
        </w:tc>
      </w:tr>
      <w:tr w14:paraId="6C073E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A289E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31</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8A4E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音频处理器</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625E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DSP≥3段输入/ ≥6 段输出数字信号处理器，具有能够精确而又广泛的对音频进行控制的功能。通过前面板界面上的功能按钮，允许快速发送所有控制参数，消除隐藏子菜单。背光 ≥2 x 20 特性 LCD 显示通道和功能设置。相关按钮可访问所有音频功能和系统工具。更快捷设置和强大的可视输入/输出路由，EQ，滤波曲线系统，≥两个 USB 接口（一个在前面板，另一个在后面板）和 RS—232 接口可用于控制软件和 PC 连接。提供一个 6 英尺的 USB—A 到 USB—B 电缆。软件的使用优势在于它包括非常强大的预设能力，并且在音频路由与控制处理方面非常的直观。</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DSP 使用了先进的 DSP 技术，从 ≥24 bit，≥48kHz 的 delta—sigma A/D 转换器与≥ 128 倍过采样。数字处理包括：增益、极性转换、参量均衡器棚架滤波器、时间延时、分频功能、压缩、限制和信号路由，所有的处理都通过一对120MHz 高性能 DSP 处理器。D/A 转换器使用 ≥24 位 delta—sigma 转换器与≥128 倍过采样。所有输入和输出都是使用防止射频干扰的平衡 XLR 接口。</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可以调整每路输入通道的增益、延时或 ≥6 段均衡（每一段都可选为参量式或高/低棚架式），在设定分频点之前，可在 DSP 内部对信号进行路由，可将两个或更多输入通道的信号混合后路由至输出通道，在输出通道，可以使用 ≥4段均衡（每一段可选为参量式或高/低棚架式）、延时、增益，反相或压限器等模块，并且所有音频接口均使用标准卡侬（XLR）接口。</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4D56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8183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375EE">
            <w:pPr>
              <w:jc w:val="center"/>
              <w:rPr>
                <w:rFonts w:hint="eastAsia" w:ascii="宋体" w:hAnsi="宋体" w:eastAsia="宋体" w:cs="宋体"/>
                <w:i w:val="0"/>
                <w:iCs w:val="0"/>
                <w:color w:val="auto"/>
                <w:sz w:val="18"/>
                <w:szCs w:val="18"/>
                <w:highlight w:val="none"/>
                <w:u w:val="none"/>
              </w:rPr>
            </w:pPr>
          </w:p>
        </w:tc>
      </w:tr>
      <w:tr w14:paraId="3793A8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1962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32</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AB0E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电源时序器</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1E00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额定输出电压：交流220V 、50Hz</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可控制电源：≥8路</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每路动作延时时间：≤1秒</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供电电源：VAC ≥50/60Hz 25A</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每路输出带指示灯</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锁匙开关控制电源</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单路额定输出电源：≥30A</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6FF72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2030F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ED0C07">
            <w:pPr>
              <w:jc w:val="center"/>
              <w:rPr>
                <w:rFonts w:hint="eastAsia" w:ascii="宋体" w:hAnsi="宋体" w:eastAsia="宋体" w:cs="宋体"/>
                <w:i w:val="0"/>
                <w:iCs w:val="0"/>
                <w:color w:val="auto"/>
                <w:sz w:val="18"/>
                <w:szCs w:val="18"/>
                <w:highlight w:val="none"/>
                <w:u w:val="none"/>
              </w:rPr>
            </w:pPr>
          </w:p>
        </w:tc>
      </w:tr>
      <w:tr w14:paraId="557E39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C435B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33</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762B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无线一拖四会议话筒</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89DD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1、通道组数：四通道</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2、频率响应：55Hz～16KHz ± 3dB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3、频率范围:615MHz-665MHz</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4、调制方式:FM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5、信道数目:≥200个</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6、信道间隔:≥50KHZ</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7、频率稳定度:±0.005%</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8、动态范围:≥100db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9、最大偏移:±45KHZ</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10、音频频率响应:40HZ-18KHZ(±2db)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11、综合信噪比:≤105db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12、综合失真：≤0.5%</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13、工作环境温度：-10℃~+50℃</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14、工作有效距离：≥80米左右（空阔地方）</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15、振荡方式：PLL相位锁定频率合成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16、输出插座：≥1路MIXOUT6.35混合输出  ≥2路BALOUT独立输出</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1819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套</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EA06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C6E46">
            <w:pPr>
              <w:jc w:val="center"/>
              <w:rPr>
                <w:rFonts w:hint="eastAsia" w:ascii="宋体" w:hAnsi="宋体" w:eastAsia="宋体" w:cs="宋体"/>
                <w:i w:val="0"/>
                <w:iCs w:val="0"/>
                <w:color w:val="auto"/>
                <w:sz w:val="18"/>
                <w:szCs w:val="18"/>
                <w:highlight w:val="none"/>
                <w:u w:val="none"/>
              </w:rPr>
            </w:pPr>
          </w:p>
        </w:tc>
      </w:tr>
      <w:tr w14:paraId="67189A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C2381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34</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8899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无线一拖二手持话筒</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A675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1、通道组数：≥二通道</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2、频率响应：55Hz～16KHz ± 3dB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3、频率范围:615MHz-665MHz</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4、调制方式:FM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5、信道数目:≥200个</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6、信道间隔:≥50KHZ</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7、频率稳定度:±0.005%</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8、动态范围:≥100db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9、最大偏移:±45KHZ</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10、音频频率响应:40HZ-18KHZ(±2db)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11、综合信噪比:≥105db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12、综合失真：≤0.5%</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13、工作环境温度：-10℃~+50℃</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14、工作有效距离：≥80米左右（空阔地方）</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15、振荡方式：PLL相位锁定频率合成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16、输出插座：≥1路MIXOUT6.35混合输出  ≥2路BALOUT独立输出</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AFF44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套</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A3042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D6C6BD">
            <w:pPr>
              <w:jc w:val="center"/>
              <w:rPr>
                <w:rFonts w:hint="eastAsia" w:ascii="宋体" w:hAnsi="宋体" w:eastAsia="宋体" w:cs="宋体"/>
                <w:i w:val="0"/>
                <w:iCs w:val="0"/>
                <w:color w:val="auto"/>
                <w:sz w:val="18"/>
                <w:szCs w:val="18"/>
                <w:highlight w:val="none"/>
                <w:u w:val="none"/>
              </w:rPr>
            </w:pPr>
          </w:p>
        </w:tc>
      </w:tr>
      <w:tr w14:paraId="071FD8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2186" w:type="dxa"/>
            <w:gridSpan w:val="2"/>
            <w:tcBorders>
              <w:top w:val="single" w:color="000000" w:sz="4" w:space="0"/>
              <w:left w:val="single" w:color="000000" w:sz="4" w:space="0"/>
              <w:bottom w:val="single" w:color="000000" w:sz="4" w:space="0"/>
              <w:right w:val="single" w:color="000000" w:sz="4" w:space="0"/>
            </w:tcBorders>
            <w:shd w:val="clear" w:color="auto" w:fill="00B0F0"/>
            <w:noWrap/>
            <w:vAlign w:val="center"/>
          </w:tcPr>
          <w:p w14:paraId="34556242">
            <w:pPr>
              <w:rPr>
                <w:rFonts w:hint="eastAsia" w:ascii="宋体" w:hAnsi="宋体" w:eastAsia="宋体" w:cs="宋体"/>
                <w:b/>
                <w:bCs/>
                <w:i w:val="0"/>
                <w:iCs w:val="0"/>
                <w:color w:val="auto"/>
                <w:sz w:val="18"/>
                <w:szCs w:val="18"/>
                <w:highlight w:val="none"/>
                <w:u w:val="none"/>
              </w:rPr>
            </w:pPr>
            <w:r>
              <w:rPr>
                <w:rFonts w:hint="eastAsia" w:ascii="宋体" w:hAnsi="宋体" w:eastAsia="宋体" w:cs="宋体"/>
                <w:b/>
                <w:bCs/>
                <w:i w:val="0"/>
                <w:iCs w:val="0"/>
                <w:snapToGrid w:val="0"/>
                <w:color w:val="auto"/>
                <w:kern w:val="0"/>
                <w:sz w:val="18"/>
                <w:szCs w:val="18"/>
                <w:highlight w:val="none"/>
                <w:u w:val="none"/>
                <w:lang w:val="en-US" w:eastAsia="zh-CN" w:bidi="ar"/>
              </w:rPr>
              <w:t>四、辅助材料</w:t>
            </w:r>
          </w:p>
        </w:tc>
        <w:tc>
          <w:tcPr>
            <w:tcW w:w="4680" w:type="dxa"/>
            <w:tcBorders>
              <w:top w:val="single" w:color="000000" w:sz="4" w:space="0"/>
              <w:left w:val="single" w:color="000000" w:sz="4" w:space="0"/>
              <w:bottom w:val="single" w:color="000000" w:sz="4" w:space="0"/>
              <w:right w:val="single" w:color="000000" w:sz="4" w:space="0"/>
            </w:tcBorders>
            <w:shd w:val="clear" w:color="auto" w:fill="00B0F0"/>
            <w:vAlign w:val="center"/>
          </w:tcPr>
          <w:p w14:paraId="22F04A00">
            <w:pPr>
              <w:rPr>
                <w:rFonts w:hint="eastAsia" w:ascii="宋体" w:hAnsi="宋体" w:eastAsia="宋体" w:cs="宋体"/>
                <w:b/>
                <w:bCs/>
                <w:i w:val="0"/>
                <w:iCs w:val="0"/>
                <w:color w:val="auto"/>
                <w:sz w:val="18"/>
                <w:szCs w:val="18"/>
                <w:highlight w:val="none"/>
                <w:u w:val="none"/>
              </w:rPr>
            </w:pPr>
          </w:p>
        </w:tc>
        <w:tc>
          <w:tcPr>
            <w:tcW w:w="813" w:type="dxa"/>
            <w:tcBorders>
              <w:top w:val="single" w:color="000000" w:sz="4" w:space="0"/>
              <w:left w:val="single" w:color="000000" w:sz="4" w:space="0"/>
              <w:bottom w:val="single" w:color="000000" w:sz="4" w:space="0"/>
              <w:right w:val="single" w:color="000000" w:sz="4" w:space="0"/>
            </w:tcBorders>
            <w:shd w:val="clear" w:color="auto" w:fill="00B0F0"/>
            <w:noWrap/>
            <w:vAlign w:val="center"/>
          </w:tcPr>
          <w:p w14:paraId="03D15E03">
            <w:pPr>
              <w:jc w:val="center"/>
              <w:rPr>
                <w:rFonts w:hint="eastAsia" w:ascii="宋体" w:hAnsi="宋体" w:eastAsia="宋体" w:cs="宋体"/>
                <w:b/>
                <w:bCs/>
                <w:i w:val="0"/>
                <w:iCs w:val="0"/>
                <w:color w:val="auto"/>
                <w:sz w:val="18"/>
                <w:szCs w:val="18"/>
                <w:highlight w:val="none"/>
                <w:u w:val="none"/>
              </w:rPr>
            </w:pPr>
          </w:p>
        </w:tc>
        <w:tc>
          <w:tcPr>
            <w:tcW w:w="707" w:type="dxa"/>
            <w:tcBorders>
              <w:top w:val="single" w:color="000000" w:sz="4" w:space="0"/>
              <w:left w:val="single" w:color="000000" w:sz="4" w:space="0"/>
              <w:bottom w:val="single" w:color="000000" w:sz="4" w:space="0"/>
              <w:right w:val="single" w:color="000000" w:sz="4" w:space="0"/>
            </w:tcBorders>
            <w:shd w:val="clear" w:color="auto" w:fill="00B0F0"/>
            <w:noWrap/>
            <w:vAlign w:val="center"/>
          </w:tcPr>
          <w:p w14:paraId="20C6C1CB">
            <w:pPr>
              <w:jc w:val="center"/>
              <w:rPr>
                <w:rFonts w:hint="eastAsia" w:ascii="宋体" w:hAnsi="宋体" w:eastAsia="宋体" w:cs="宋体"/>
                <w:b/>
                <w:bCs/>
                <w:i w:val="0"/>
                <w:iCs w:val="0"/>
                <w:color w:val="auto"/>
                <w:sz w:val="18"/>
                <w:szCs w:val="18"/>
                <w:highlight w:val="none"/>
                <w:u w:val="none"/>
              </w:rPr>
            </w:pPr>
          </w:p>
        </w:tc>
        <w:tc>
          <w:tcPr>
            <w:tcW w:w="843" w:type="dxa"/>
            <w:tcBorders>
              <w:top w:val="single" w:color="000000" w:sz="4" w:space="0"/>
              <w:left w:val="single" w:color="000000" w:sz="4" w:space="0"/>
              <w:bottom w:val="single" w:color="000000" w:sz="4" w:space="0"/>
              <w:right w:val="single" w:color="000000" w:sz="4" w:space="0"/>
            </w:tcBorders>
            <w:shd w:val="clear" w:color="auto" w:fill="00B0F0"/>
            <w:noWrap/>
            <w:vAlign w:val="center"/>
          </w:tcPr>
          <w:p w14:paraId="20F72646">
            <w:pPr>
              <w:jc w:val="center"/>
              <w:rPr>
                <w:rFonts w:hint="eastAsia" w:ascii="宋体" w:hAnsi="宋体" w:eastAsia="宋体" w:cs="宋体"/>
                <w:b/>
                <w:bCs/>
                <w:i w:val="0"/>
                <w:iCs w:val="0"/>
                <w:color w:val="auto"/>
                <w:sz w:val="18"/>
                <w:szCs w:val="18"/>
                <w:highlight w:val="none"/>
                <w:u w:val="none"/>
              </w:rPr>
            </w:pPr>
          </w:p>
        </w:tc>
      </w:tr>
      <w:tr w14:paraId="14E0F0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9959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35</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CB13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音频连接线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702B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≥1.5米，音频连接线：卡侬头（公）-卡侬头（母）</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AE89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条</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00431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E706C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266357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39DD5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36</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230E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音频连接线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40F6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≥1.5米，音频连接线：3.5（耳机插头）-双6.35（RCA）</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6D4D7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条</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FB2C8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6D951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4E62F2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E4032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37</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8633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音箱接头</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9803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国标欧姆头</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接口类型 4芯公插头</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额定电流 支持最大</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30A</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持续电流 适配专业舞台大功率音箱需求</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额定电压 ≤250V AC 满足常规音频设备供电要求</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接触电阻 ≤10mΩ 保证信号传输低损耗</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绝缘电阻 ≥1000MΩ</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29707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4188E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C1596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5BC252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3275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38</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63CE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多媒体插座</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7C95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含视频模块，音频模块，话筒模块，电源模块，网络模块</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E789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EE46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31310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3F5A19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96"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0A8E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39</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EC52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视频线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EB0D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HDMI线材质: 纯铜长度:25米</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支持分辨率刷新率：支持≥8K@60Hz、4K@120Hz、10K@120Hz 支持动态HDR、可变刷新率（VRR）、快速媒体切换（QMS）</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带宽分配：视频带宽最大40Gbps，音频+数据带宽8Gbps 满足未压缩超高清视频传输需求</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A3F14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根</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B8248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E399F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22C23D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D175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40</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2015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音频线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1B53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RVPE 2x0.5mm²</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DFA38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米</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019BC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5264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4AA90C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8F458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41</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7146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音响线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578B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无氧铜音响线EVJV2*2.5mm²</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CA82B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米</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B02AC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B1D6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669218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FA17C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42</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B8B5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音响线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4AEE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无氧铜音响线EVJV2*1.0mm²</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39BE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米</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9008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300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039E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3A9E2F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34D8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43</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5B69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电源线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E06C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RVS3*1.5mm2</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5F0E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米</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67760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087F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35D4D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3CB1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44</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49EA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六类非屏蔽网线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F7CC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符合标准：ISO/IEC 11801：2017；IEC 61156-5-2020；TIA-568.2-D-2018;YD/T 1019-2013</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通过标准250MHz带宽测试要求 可扩展到550MHz带宽</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单根导体直流电阻：≤9.5Ω/100m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额定传输速率(NVP)：69%</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电缆对数：4对</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十字骨架材料：PE混合物</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导体材料：无氧圆铜（纯度99.99%）</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最小弯曲半径：10倍电缆外径</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导体线规：23AWG</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绝缘材料：HDPE</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屏蔽方式：U/UTP</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外护套材料：PVC</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工作温度：-20℃～+60℃</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3357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米</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354FF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E007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422238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43A73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45</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6FF0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会议机柜</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BE15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600*600*2000 加厚豪华网门机柜含16A 2500W 8 位PDU 一副</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B6A8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2276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0ACA3">
            <w:pPr>
              <w:jc w:val="center"/>
              <w:rPr>
                <w:rFonts w:hint="eastAsia" w:ascii="宋体" w:hAnsi="宋体" w:eastAsia="宋体" w:cs="宋体"/>
                <w:i w:val="0"/>
                <w:iCs w:val="0"/>
                <w:color w:val="auto"/>
                <w:sz w:val="18"/>
                <w:szCs w:val="18"/>
                <w:highlight w:val="none"/>
                <w:u w:val="none"/>
              </w:rPr>
            </w:pPr>
          </w:p>
        </w:tc>
      </w:tr>
      <w:tr w14:paraId="3CFC1F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E2B1B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46</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2D1A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配套安装辅材</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0976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电源插头、电工胶带、固定螺丝、扎带、插排、配套接插件等</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9DCCC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批</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5B013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ADEDC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6280BD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2186" w:type="dxa"/>
            <w:gridSpan w:val="2"/>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0C37CDB8">
            <w:pPr>
              <w:jc w:val="center"/>
              <w:rPr>
                <w:rFonts w:hint="eastAsia" w:ascii="宋体" w:hAnsi="宋体" w:eastAsia="宋体" w:cs="宋体"/>
                <w:b/>
                <w:bCs/>
                <w:i w:val="0"/>
                <w:iCs w:val="0"/>
                <w:color w:val="auto"/>
                <w:sz w:val="18"/>
                <w:szCs w:val="18"/>
                <w:highlight w:val="none"/>
                <w:u w:val="none"/>
              </w:rPr>
            </w:pPr>
            <w:r>
              <w:rPr>
                <w:rFonts w:hint="eastAsia" w:ascii="宋体" w:hAnsi="宋体" w:eastAsia="宋体" w:cs="宋体"/>
                <w:b/>
                <w:bCs/>
                <w:i w:val="0"/>
                <w:iCs w:val="0"/>
                <w:snapToGrid w:val="0"/>
                <w:color w:val="auto"/>
                <w:kern w:val="0"/>
                <w:sz w:val="18"/>
                <w:szCs w:val="18"/>
                <w:highlight w:val="none"/>
                <w:u w:val="none"/>
                <w:lang w:val="en-US" w:eastAsia="zh-CN" w:bidi="ar"/>
              </w:rPr>
              <w:t>信息发布系统</w:t>
            </w:r>
          </w:p>
        </w:tc>
        <w:tc>
          <w:tcPr>
            <w:tcW w:w="4680" w:type="dxa"/>
            <w:tcBorders>
              <w:top w:val="single" w:color="000000" w:sz="4" w:space="0"/>
              <w:left w:val="single" w:color="000000" w:sz="4" w:space="0"/>
              <w:bottom w:val="single" w:color="000000" w:sz="4" w:space="0"/>
              <w:right w:val="single" w:color="000000" w:sz="4" w:space="0"/>
            </w:tcBorders>
            <w:shd w:val="clear" w:color="auto" w:fill="FFFF00"/>
            <w:vAlign w:val="center"/>
          </w:tcPr>
          <w:p w14:paraId="0B8352BA">
            <w:pPr>
              <w:jc w:val="center"/>
              <w:rPr>
                <w:rFonts w:hint="eastAsia" w:ascii="宋体" w:hAnsi="宋体" w:eastAsia="宋体" w:cs="宋体"/>
                <w:b/>
                <w:bCs/>
                <w:i w:val="0"/>
                <w:iCs w:val="0"/>
                <w:color w:val="auto"/>
                <w:sz w:val="18"/>
                <w:szCs w:val="18"/>
                <w:highlight w:val="none"/>
                <w:u w:val="none"/>
              </w:rPr>
            </w:pPr>
          </w:p>
        </w:tc>
        <w:tc>
          <w:tcPr>
            <w:tcW w:w="813" w:type="dxa"/>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6AAF6360">
            <w:pPr>
              <w:jc w:val="center"/>
              <w:rPr>
                <w:rFonts w:hint="eastAsia" w:ascii="宋体" w:hAnsi="宋体" w:eastAsia="宋体" w:cs="宋体"/>
                <w:b/>
                <w:bCs/>
                <w:i w:val="0"/>
                <w:iCs w:val="0"/>
                <w:color w:val="auto"/>
                <w:sz w:val="18"/>
                <w:szCs w:val="18"/>
                <w:highlight w:val="none"/>
                <w:u w:val="none"/>
              </w:rPr>
            </w:pPr>
          </w:p>
        </w:tc>
        <w:tc>
          <w:tcPr>
            <w:tcW w:w="707" w:type="dxa"/>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2B0902DE">
            <w:pPr>
              <w:jc w:val="center"/>
              <w:rPr>
                <w:rFonts w:hint="eastAsia" w:ascii="宋体" w:hAnsi="宋体" w:eastAsia="宋体" w:cs="宋体"/>
                <w:b/>
                <w:bCs/>
                <w:i w:val="0"/>
                <w:iCs w:val="0"/>
                <w:color w:val="auto"/>
                <w:sz w:val="18"/>
                <w:szCs w:val="18"/>
                <w:highlight w:val="none"/>
                <w:u w:val="none"/>
              </w:rPr>
            </w:pPr>
          </w:p>
        </w:tc>
        <w:tc>
          <w:tcPr>
            <w:tcW w:w="843" w:type="dxa"/>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279EC674">
            <w:pPr>
              <w:jc w:val="center"/>
              <w:rPr>
                <w:rFonts w:hint="eastAsia" w:ascii="宋体" w:hAnsi="宋体" w:eastAsia="宋体" w:cs="宋体"/>
                <w:b/>
                <w:bCs/>
                <w:i w:val="0"/>
                <w:iCs w:val="0"/>
                <w:color w:val="auto"/>
                <w:sz w:val="18"/>
                <w:szCs w:val="18"/>
                <w:highlight w:val="none"/>
                <w:u w:val="none"/>
              </w:rPr>
            </w:pPr>
          </w:p>
        </w:tc>
      </w:tr>
      <w:tr w14:paraId="48B265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2186" w:type="dxa"/>
            <w:gridSpan w:val="2"/>
            <w:tcBorders>
              <w:top w:val="single" w:color="000000" w:sz="4" w:space="0"/>
              <w:left w:val="single" w:color="000000" w:sz="4" w:space="0"/>
              <w:bottom w:val="single" w:color="000000" w:sz="4" w:space="0"/>
              <w:right w:val="single" w:color="000000" w:sz="4" w:space="0"/>
            </w:tcBorders>
            <w:shd w:val="clear" w:color="auto" w:fill="00B0F0"/>
            <w:noWrap/>
            <w:vAlign w:val="center"/>
          </w:tcPr>
          <w:p w14:paraId="5DC5FAB9">
            <w:pPr>
              <w:rPr>
                <w:rFonts w:hint="eastAsia" w:ascii="宋体" w:hAnsi="宋体" w:eastAsia="宋体" w:cs="宋体"/>
                <w:b/>
                <w:bCs/>
                <w:i w:val="0"/>
                <w:iCs w:val="0"/>
                <w:color w:val="auto"/>
                <w:sz w:val="18"/>
                <w:szCs w:val="18"/>
                <w:highlight w:val="none"/>
                <w:u w:val="none"/>
              </w:rPr>
            </w:pPr>
            <w:r>
              <w:rPr>
                <w:rFonts w:hint="eastAsia" w:ascii="宋体" w:hAnsi="宋体" w:eastAsia="宋体" w:cs="宋体"/>
                <w:b/>
                <w:bCs/>
                <w:i w:val="0"/>
                <w:iCs w:val="0"/>
                <w:snapToGrid w:val="0"/>
                <w:color w:val="auto"/>
                <w:kern w:val="0"/>
                <w:sz w:val="18"/>
                <w:szCs w:val="18"/>
                <w:highlight w:val="none"/>
                <w:u w:val="none"/>
                <w:lang w:val="en-US" w:eastAsia="zh-CN" w:bidi="ar"/>
              </w:rPr>
              <w:t>一、门头走字屏</w:t>
            </w:r>
          </w:p>
        </w:tc>
        <w:tc>
          <w:tcPr>
            <w:tcW w:w="4680" w:type="dxa"/>
            <w:tcBorders>
              <w:top w:val="single" w:color="000000" w:sz="4" w:space="0"/>
              <w:left w:val="single" w:color="000000" w:sz="4" w:space="0"/>
              <w:bottom w:val="single" w:color="000000" w:sz="4" w:space="0"/>
              <w:right w:val="single" w:color="000000" w:sz="4" w:space="0"/>
            </w:tcBorders>
            <w:shd w:val="clear" w:color="auto" w:fill="00B0F0"/>
            <w:vAlign w:val="center"/>
          </w:tcPr>
          <w:p w14:paraId="59F3FC07">
            <w:pPr>
              <w:rPr>
                <w:rFonts w:hint="eastAsia" w:ascii="宋体" w:hAnsi="宋体" w:eastAsia="宋体" w:cs="宋体"/>
                <w:b/>
                <w:bCs/>
                <w:i w:val="0"/>
                <w:iCs w:val="0"/>
                <w:color w:val="auto"/>
                <w:sz w:val="18"/>
                <w:szCs w:val="18"/>
                <w:highlight w:val="none"/>
                <w:u w:val="none"/>
              </w:rPr>
            </w:pPr>
          </w:p>
        </w:tc>
        <w:tc>
          <w:tcPr>
            <w:tcW w:w="813" w:type="dxa"/>
            <w:tcBorders>
              <w:top w:val="single" w:color="000000" w:sz="4" w:space="0"/>
              <w:left w:val="single" w:color="000000" w:sz="4" w:space="0"/>
              <w:bottom w:val="single" w:color="000000" w:sz="4" w:space="0"/>
              <w:right w:val="single" w:color="000000" w:sz="4" w:space="0"/>
            </w:tcBorders>
            <w:shd w:val="clear" w:color="auto" w:fill="00B0F0"/>
            <w:noWrap/>
            <w:vAlign w:val="center"/>
          </w:tcPr>
          <w:p w14:paraId="0F8B7B97">
            <w:pPr>
              <w:jc w:val="center"/>
              <w:rPr>
                <w:rFonts w:hint="eastAsia" w:ascii="宋体" w:hAnsi="宋体" w:eastAsia="宋体" w:cs="宋体"/>
                <w:b/>
                <w:bCs/>
                <w:i w:val="0"/>
                <w:iCs w:val="0"/>
                <w:color w:val="auto"/>
                <w:sz w:val="18"/>
                <w:szCs w:val="18"/>
                <w:highlight w:val="none"/>
                <w:u w:val="none"/>
              </w:rPr>
            </w:pPr>
          </w:p>
        </w:tc>
        <w:tc>
          <w:tcPr>
            <w:tcW w:w="707" w:type="dxa"/>
            <w:tcBorders>
              <w:top w:val="single" w:color="000000" w:sz="4" w:space="0"/>
              <w:left w:val="single" w:color="000000" w:sz="4" w:space="0"/>
              <w:bottom w:val="single" w:color="000000" w:sz="4" w:space="0"/>
              <w:right w:val="single" w:color="000000" w:sz="4" w:space="0"/>
            </w:tcBorders>
            <w:shd w:val="clear" w:color="auto" w:fill="00B0F0"/>
            <w:noWrap/>
            <w:vAlign w:val="center"/>
          </w:tcPr>
          <w:p w14:paraId="22C3CEE9">
            <w:pPr>
              <w:jc w:val="center"/>
              <w:rPr>
                <w:rFonts w:hint="eastAsia" w:ascii="宋体" w:hAnsi="宋体" w:eastAsia="宋体" w:cs="宋体"/>
                <w:b/>
                <w:bCs/>
                <w:i w:val="0"/>
                <w:iCs w:val="0"/>
                <w:color w:val="auto"/>
                <w:sz w:val="18"/>
                <w:szCs w:val="18"/>
                <w:highlight w:val="none"/>
                <w:u w:val="none"/>
              </w:rPr>
            </w:pPr>
          </w:p>
        </w:tc>
        <w:tc>
          <w:tcPr>
            <w:tcW w:w="843" w:type="dxa"/>
            <w:tcBorders>
              <w:top w:val="single" w:color="000000" w:sz="4" w:space="0"/>
              <w:left w:val="single" w:color="000000" w:sz="4" w:space="0"/>
              <w:bottom w:val="single" w:color="000000" w:sz="4" w:space="0"/>
              <w:right w:val="single" w:color="000000" w:sz="4" w:space="0"/>
            </w:tcBorders>
            <w:shd w:val="clear" w:color="auto" w:fill="00B0F0"/>
            <w:noWrap/>
            <w:vAlign w:val="center"/>
          </w:tcPr>
          <w:p w14:paraId="7A129AA4">
            <w:pPr>
              <w:jc w:val="center"/>
              <w:rPr>
                <w:rFonts w:hint="eastAsia" w:ascii="宋体" w:hAnsi="宋体" w:eastAsia="宋体" w:cs="宋体"/>
                <w:b/>
                <w:bCs/>
                <w:i w:val="0"/>
                <w:iCs w:val="0"/>
                <w:color w:val="auto"/>
                <w:sz w:val="18"/>
                <w:szCs w:val="18"/>
                <w:highlight w:val="none"/>
                <w:u w:val="none"/>
              </w:rPr>
            </w:pPr>
          </w:p>
        </w:tc>
      </w:tr>
      <w:tr w14:paraId="658F01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E06F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47</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C20B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LED显示屏</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712C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显示屏类型：P10单色；</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像素点间距：≤10mm；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模组像素：32×16；</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像素密度：≥10000点/㎡；</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模组尺寸：320mm×160mm；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最大功耗：≤0.2kw㎡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屏体亮度：≥1600cd/㎡</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68333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74A6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98055C">
            <w:pPr>
              <w:jc w:val="center"/>
              <w:rPr>
                <w:rFonts w:hint="eastAsia" w:ascii="宋体" w:hAnsi="宋体" w:eastAsia="宋体" w:cs="宋体"/>
                <w:i w:val="0"/>
                <w:iCs w:val="0"/>
                <w:color w:val="auto"/>
                <w:sz w:val="18"/>
                <w:szCs w:val="18"/>
                <w:highlight w:val="none"/>
                <w:u w:val="none"/>
              </w:rPr>
            </w:pPr>
          </w:p>
        </w:tc>
      </w:tr>
      <w:tr w14:paraId="0D25D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8AC33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48</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7A7C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控制卡</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08DB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适用屏型</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：单色（红/黄/绿/白）LED 点阵屏（如 8×8、16×16、32×32 等模组）</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控制方式</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WIFI 无线</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（支持手机 App 控制，LED屏播放软件等）</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接口类型</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 xml:space="preserve">：标准 </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485 或 12 针串口</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分辨率支持</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：通常 ≤ 1024×256（依驱动模组而定）</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典型用途</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 xml:space="preserve">：室外/室内 </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单色走字屏、条形屏、广告屏</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非高刷/视频级控制卡</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F444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张</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9C61A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681AB">
            <w:pPr>
              <w:jc w:val="center"/>
              <w:rPr>
                <w:rFonts w:hint="eastAsia" w:ascii="宋体" w:hAnsi="宋体" w:eastAsia="宋体" w:cs="宋体"/>
                <w:i w:val="0"/>
                <w:iCs w:val="0"/>
                <w:color w:val="auto"/>
                <w:sz w:val="18"/>
                <w:szCs w:val="18"/>
                <w:highlight w:val="none"/>
                <w:u w:val="none"/>
              </w:rPr>
            </w:pPr>
          </w:p>
        </w:tc>
      </w:tr>
      <w:tr w14:paraId="500FF5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7A2E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49</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6D85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电源</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1CA3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1、输入电压 ：176~264V AC</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2、输入频率：47Hz~63Hz</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4、额定输入 ：200V AC~240V AC</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5、额定输出 5V</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6、输出电流： 0~40A</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7、工作温度 -40~70℃</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8、工作湿度 20%RH~90%RH</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439F2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块</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401B0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DAA69">
            <w:pPr>
              <w:jc w:val="center"/>
              <w:rPr>
                <w:rFonts w:hint="eastAsia" w:ascii="宋体" w:hAnsi="宋体" w:eastAsia="宋体" w:cs="宋体"/>
                <w:i w:val="0"/>
                <w:iCs w:val="0"/>
                <w:color w:val="auto"/>
                <w:sz w:val="18"/>
                <w:szCs w:val="18"/>
                <w:highlight w:val="none"/>
                <w:u w:val="none"/>
              </w:rPr>
            </w:pPr>
          </w:p>
        </w:tc>
      </w:tr>
      <w:tr w14:paraId="4BBCBC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B0BA6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50</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F7E0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LED播放软件</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0C4E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LED屏播放软件，可实现</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文字滚动、动画、时间日期、图形</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，内容需通过软件生成后导出为</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专用格式（如 .led 或 .txt等）</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 xml:space="preserve"> 可以进行各种字体字幕的设置，并适用于多种场景，如公告信息发布、节日祝福、通知等。它具有多种滚动模式、无锯齿文字模式和自由设置字体颜色等功能，提供丰富的字体样式和自定义播放效果</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82879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套</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20AED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4C515">
            <w:pPr>
              <w:jc w:val="center"/>
              <w:rPr>
                <w:rFonts w:hint="eastAsia" w:ascii="宋体" w:hAnsi="宋体" w:eastAsia="宋体" w:cs="宋体"/>
                <w:i w:val="0"/>
                <w:iCs w:val="0"/>
                <w:color w:val="auto"/>
                <w:sz w:val="18"/>
                <w:szCs w:val="18"/>
                <w:highlight w:val="none"/>
                <w:u w:val="none"/>
              </w:rPr>
            </w:pPr>
          </w:p>
        </w:tc>
      </w:tr>
      <w:tr w14:paraId="7BA6BA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022C6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51</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605C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结构框架</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5DCD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定制型材，含后包边，型材壁厚1.5–3mm、钢架间距≤1m）、模块平整度（≤0.3mm）、防护等级（IP65等）、安装公差（拼缝&lt;0.5mm）</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7B35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E526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4.84</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8317C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1F08B1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CAB75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52</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846A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辅材</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E756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屏内连接线材、扎带、电工胶带、固定螺丝等</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7AAF4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批</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6D5E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AB6C2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49A15C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32472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53</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AB2B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屏体线缆</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CBBE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一组1.5平方线缆</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90AB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项</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CA5B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8B971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191ADD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2186" w:type="dxa"/>
            <w:gridSpan w:val="2"/>
            <w:tcBorders>
              <w:top w:val="single" w:color="000000" w:sz="4" w:space="0"/>
              <w:left w:val="single" w:color="000000" w:sz="4" w:space="0"/>
              <w:bottom w:val="single" w:color="000000" w:sz="4" w:space="0"/>
              <w:right w:val="single" w:color="000000" w:sz="4" w:space="0"/>
            </w:tcBorders>
            <w:shd w:val="clear" w:color="auto" w:fill="00B0F0"/>
            <w:noWrap/>
            <w:vAlign w:val="center"/>
          </w:tcPr>
          <w:p w14:paraId="5F50937B">
            <w:pPr>
              <w:rPr>
                <w:rFonts w:hint="eastAsia" w:ascii="宋体" w:hAnsi="宋体" w:eastAsia="宋体" w:cs="宋体"/>
                <w:b/>
                <w:bCs/>
                <w:i w:val="0"/>
                <w:iCs w:val="0"/>
                <w:color w:val="auto"/>
                <w:sz w:val="18"/>
                <w:szCs w:val="18"/>
                <w:highlight w:val="none"/>
                <w:u w:val="none"/>
              </w:rPr>
            </w:pPr>
            <w:r>
              <w:rPr>
                <w:rFonts w:hint="eastAsia" w:ascii="宋体" w:hAnsi="宋体" w:eastAsia="宋体" w:cs="宋体"/>
                <w:b/>
                <w:bCs/>
                <w:i w:val="0"/>
                <w:iCs w:val="0"/>
                <w:snapToGrid w:val="0"/>
                <w:color w:val="auto"/>
                <w:kern w:val="0"/>
                <w:sz w:val="18"/>
                <w:szCs w:val="18"/>
                <w:highlight w:val="none"/>
                <w:u w:val="none"/>
                <w:lang w:val="en-US" w:eastAsia="zh-CN" w:bidi="ar"/>
              </w:rPr>
              <w:t>二、大厅LED屏</w:t>
            </w:r>
          </w:p>
        </w:tc>
        <w:tc>
          <w:tcPr>
            <w:tcW w:w="4680" w:type="dxa"/>
            <w:tcBorders>
              <w:top w:val="single" w:color="000000" w:sz="4" w:space="0"/>
              <w:left w:val="single" w:color="000000" w:sz="4" w:space="0"/>
              <w:bottom w:val="single" w:color="000000" w:sz="4" w:space="0"/>
              <w:right w:val="single" w:color="000000" w:sz="4" w:space="0"/>
            </w:tcBorders>
            <w:shd w:val="clear" w:color="auto" w:fill="00B0F0"/>
            <w:vAlign w:val="center"/>
          </w:tcPr>
          <w:p w14:paraId="4A80AAE0">
            <w:pPr>
              <w:rPr>
                <w:rFonts w:hint="eastAsia" w:ascii="宋体" w:hAnsi="宋体" w:eastAsia="宋体" w:cs="宋体"/>
                <w:b/>
                <w:bCs/>
                <w:i w:val="0"/>
                <w:iCs w:val="0"/>
                <w:color w:val="auto"/>
                <w:sz w:val="18"/>
                <w:szCs w:val="18"/>
                <w:highlight w:val="none"/>
                <w:u w:val="none"/>
              </w:rPr>
            </w:pPr>
          </w:p>
        </w:tc>
        <w:tc>
          <w:tcPr>
            <w:tcW w:w="813" w:type="dxa"/>
            <w:tcBorders>
              <w:top w:val="single" w:color="000000" w:sz="4" w:space="0"/>
              <w:left w:val="single" w:color="000000" w:sz="4" w:space="0"/>
              <w:bottom w:val="single" w:color="000000" w:sz="4" w:space="0"/>
              <w:right w:val="single" w:color="000000" w:sz="4" w:space="0"/>
            </w:tcBorders>
            <w:shd w:val="clear" w:color="auto" w:fill="00B0F0"/>
            <w:noWrap/>
            <w:vAlign w:val="center"/>
          </w:tcPr>
          <w:p w14:paraId="2E10AF92">
            <w:pPr>
              <w:jc w:val="center"/>
              <w:rPr>
                <w:rFonts w:hint="eastAsia" w:ascii="宋体" w:hAnsi="宋体" w:eastAsia="宋体" w:cs="宋体"/>
                <w:b/>
                <w:bCs/>
                <w:i w:val="0"/>
                <w:iCs w:val="0"/>
                <w:color w:val="auto"/>
                <w:sz w:val="18"/>
                <w:szCs w:val="18"/>
                <w:highlight w:val="none"/>
                <w:u w:val="none"/>
              </w:rPr>
            </w:pPr>
          </w:p>
        </w:tc>
        <w:tc>
          <w:tcPr>
            <w:tcW w:w="707" w:type="dxa"/>
            <w:tcBorders>
              <w:top w:val="single" w:color="000000" w:sz="4" w:space="0"/>
              <w:left w:val="single" w:color="000000" w:sz="4" w:space="0"/>
              <w:bottom w:val="single" w:color="000000" w:sz="4" w:space="0"/>
              <w:right w:val="single" w:color="000000" w:sz="4" w:space="0"/>
            </w:tcBorders>
            <w:shd w:val="clear" w:color="auto" w:fill="00B0F0"/>
            <w:noWrap/>
            <w:vAlign w:val="center"/>
          </w:tcPr>
          <w:p w14:paraId="472D8041">
            <w:pPr>
              <w:jc w:val="center"/>
              <w:rPr>
                <w:rFonts w:hint="eastAsia" w:ascii="宋体" w:hAnsi="宋体" w:eastAsia="宋体" w:cs="宋体"/>
                <w:b/>
                <w:bCs/>
                <w:i w:val="0"/>
                <w:iCs w:val="0"/>
                <w:color w:val="auto"/>
                <w:sz w:val="18"/>
                <w:szCs w:val="18"/>
                <w:highlight w:val="none"/>
                <w:u w:val="none"/>
              </w:rPr>
            </w:pPr>
          </w:p>
        </w:tc>
        <w:tc>
          <w:tcPr>
            <w:tcW w:w="843" w:type="dxa"/>
            <w:tcBorders>
              <w:top w:val="single" w:color="000000" w:sz="4" w:space="0"/>
              <w:left w:val="single" w:color="000000" w:sz="4" w:space="0"/>
              <w:bottom w:val="single" w:color="000000" w:sz="4" w:space="0"/>
              <w:right w:val="single" w:color="000000" w:sz="4" w:space="0"/>
            </w:tcBorders>
            <w:shd w:val="clear" w:color="auto" w:fill="00B0F0"/>
            <w:noWrap/>
            <w:vAlign w:val="center"/>
          </w:tcPr>
          <w:p w14:paraId="0882ED32">
            <w:pPr>
              <w:jc w:val="center"/>
              <w:rPr>
                <w:rFonts w:hint="eastAsia" w:ascii="宋体" w:hAnsi="宋体" w:eastAsia="宋体" w:cs="宋体"/>
                <w:b/>
                <w:bCs/>
                <w:i w:val="0"/>
                <w:iCs w:val="0"/>
                <w:color w:val="auto"/>
                <w:sz w:val="18"/>
                <w:szCs w:val="18"/>
                <w:highlight w:val="none"/>
                <w:u w:val="none"/>
              </w:rPr>
            </w:pPr>
          </w:p>
        </w:tc>
      </w:tr>
      <w:tr w14:paraId="617FB0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66A12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54</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C653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LED显示屏</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5CF7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Style w:val="9"/>
                <w:snapToGrid w:val="0"/>
                <w:color w:val="auto"/>
                <w:highlight w:val="none"/>
                <w:lang w:val="en-US" w:eastAsia="zh-CN" w:bidi="ar"/>
              </w:rPr>
              <w:t>1、点间距(mm)：1.86</w:t>
            </w:r>
            <w:r>
              <w:rPr>
                <w:rStyle w:val="9"/>
                <w:snapToGrid w:val="0"/>
                <w:color w:val="auto"/>
                <w:highlight w:val="none"/>
                <w:lang w:val="en-US" w:eastAsia="zh-CN" w:bidi="ar"/>
              </w:rPr>
              <w:br w:type="textWrapping"/>
            </w:r>
            <w:r>
              <w:rPr>
                <w:rStyle w:val="9"/>
                <w:snapToGrid w:val="0"/>
                <w:color w:val="auto"/>
                <w:highlight w:val="none"/>
                <w:lang w:val="en-US" w:eastAsia="zh-CN" w:bidi="ar"/>
              </w:rPr>
              <w:t>2、像素密度(点/m²)：≥288906</w:t>
            </w:r>
            <w:r>
              <w:rPr>
                <w:rStyle w:val="9"/>
                <w:snapToGrid w:val="0"/>
                <w:color w:val="auto"/>
                <w:highlight w:val="none"/>
                <w:lang w:val="en-US" w:eastAsia="zh-CN" w:bidi="ar"/>
              </w:rPr>
              <w:br w:type="textWrapping"/>
            </w:r>
            <w:r>
              <w:rPr>
                <w:rStyle w:val="9"/>
                <w:snapToGrid w:val="0"/>
                <w:color w:val="auto"/>
                <w:highlight w:val="none"/>
                <w:lang w:val="en-US" w:eastAsia="zh-CN" w:bidi="ar"/>
              </w:rPr>
              <w:t>3、像素构成：1R1G1B</w:t>
            </w:r>
            <w:r>
              <w:rPr>
                <w:rStyle w:val="9"/>
                <w:snapToGrid w:val="0"/>
                <w:color w:val="auto"/>
                <w:highlight w:val="none"/>
                <w:lang w:val="en-US" w:eastAsia="zh-CN" w:bidi="ar"/>
              </w:rPr>
              <w:br w:type="textWrapping"/>
            </w:r>
            <w:r>
              <w:rPr>
                <w:rStyle w:val="9"/>
                <w:snapToGrid w:val="0"/>
                <w:color w:val="auto"/>
                <w:highlight w:val="none"/>
                <w:lang w:val="en-US" w:eastAsia="zh-CN" w:bidi="ar"/>
              </w:rPr>
              <w:t>4、模组尺寸(mm)：320×160×16.6</w:t>
            </w:r>
            <w:r>
              <w:rPr>
                <w:rStyle w:val="9"/>
                <w:snapToGrid w:val="0"/>
                <w:color w:val="auto"/>
                <w:highlight w:val="none"/>
                <w:lang w:val="en-US" w:eastAsia="zh-CN" w:bidi="ar"/>
              </w:rPr>
              <w:br w:type="textWrapping"/>
            </w:r>
            <w:r>
              <w:rPr>
                <w:rStyle w:val="9"/>
                <w:snapToGrid w:val="0"/>
                <w:color w:val="auto"/>
                <w:highlight w:val="none"/>
                <w:lang w:val="en-US" w:eastAsia="zh-CN" w:bidi="ar"/>
              </w:rPr>
              <w:t>5、模组分辨率：172x86</w:t>
            </w:r>
            <w:r>
              <w:rPr>
                <w:rStyle w:val="9"/>
                <w:snapToGrid w:val="0"/>
                <w:color w:val="auto"/>
                <w:highlight w:val="none"/>
                <w:lang w:val="en-US" w:eastAsia="zh-CN" w:bidi="ar"/>
              </w:rPr>
              <w:br w:type="textWrapping"/>
            </w:r>
            <w:r>
              <w:rPr>
                <w:rStyle w:val="9"/>
                <w:snapToGrid w:val="0"/>
                <w:color w:val="auto"/>
                <w:highlight w:val="none"/>
                <w:lang w:val="en-US" w:eastAsia="zh-CN" w:bidi="ar"/>
              </w:rPr>
              <w:t>6、亮度(nits)：≥600</w:t>
            </w:r>
            <w:r>
              <w:rPr>
                <w:rStyle w:val="9"/>
                <w:snapToGrid w:val="0"/>
                <w:color w:val="auto"/>
                <w:highlight w:val="none"/>
                <w:lang w:val="en-US" w:eastAsia="zh-CN" w:bidi="ar"/>
              </w:rPr>
              <w:br w:type="textWrapping"/>
            </w:r>
            <w:r>
              <w:rPr>
                <w:rStyle w:val="9"/>
                <w:snapToGrid w:val="0"/>
                <w:color w:val="auto"/>
                <w:highlight w:val="none"/>
                <w:lang w:val="en-US" w:eastAsia="zh-CN" w:bidi="ar"/>
              </w:rPr>
              <w:t>7、刷新频率(Hz)：≥3840</w:t>
            </w:r>
            <w:r>
              <w:rPr>
                <w:rStyle w:val="9"/>
                <w:snapToGrid w:val="0"/>
                <w:color w:val="auto"/>
                <w:highlight w:val="none"/>
                <w:lang w:val="en-US" w:eastAsia="zh-CN" w:bidi="ar"/>
              </w:rPr>
              <w:br w:type="textWrapping"/>
            </w:r>
            <w:r>
              <w:rPr>
                <w:rStyle w:val="9"/>
                <w:snapToGrid w:val="0"/>
                <w:color w:val="auto"/>
                <w:highlight w:val="none"/>
                <w:lang w:val="en-US" w:eastAsia="zh-CN" w:bidi="ar"/>
              </w:rPr>
              <w:t>8、最大功耗(W/m²):≤550</w:t>
            </w:r>
            <w:r>
              <w:rPr>
                <w:rStyle w:val="9"/>
                <w:snapToGrid w:val="0"/>
                <w:color w:val="auto"/>
                <w:highlight w:val="none"/>
                <w:lang w:val="en-US" w:eastAsia="zh-CN" w:bidi="ar"/>
              </w:rPr>
              <w:br w:type="textWrapping"/>
            </w:r>
            <w:r>
              <w:rPr>
                <w:rStyle w:val="9"/>
                <w:snapToGrid w:val="0"/>
                <w:color w:val="auto"/>
                <w:highlight w:val="none"/>
                <w:lang w:val="en-US" w:eastAsia="zh-CN" w:bidi="ar"/>
              </w:rPr>
              <w:t>9、LED显示屏中心蓝光辐射能量值对人眼视网膜无伤害，LED显示屏蓝光辐亮度≤80W.m-2.sr-1,符合肉眼观看标准。蓝光辐射能量≤</w:t>
            </w:r>
            <w:r>
              <w:rPr>
                <w:rFonts w:hint="eastAsia" w:ascii="宋体" w:hAnsi="宋体" w:eastAsia="宋体" w:cs="宋体"/>
                <w:b/>
                <w:bCs/>
                <w:i w:val="0"/>
                <w:iCs w:val="0"/>
                <w:snapToGrid w:val="0"/>
                <w:color w:val="auto"/>
                <w:kern w:val="0"/>
                <w:sz w:val="18"/>
                <w:szCs w:val="18"/>
                <w:highlight w:val="none"/>
                <w:u w:val="none"/>
                <w:lang w:val="en-US" w:eastAsia="zh-CN" w:bidi="ar"/>
              </w:rPr>
              <w:t>0.8W</w:t>
            </w:r>
            <w:r>
              <w:rPr>
                <w:rStyle w:val="9"/>
                <w:snapToGrid w:val="0"/>
                <w:color w:val="auto"/>
                <w:highlight w:val="none"/>
                <w:lang w:val="en-US" w:eastAsia="zh-CN" w:bidi="ar"/>
              </w:rPr>
              <w:t>/(㎡sr)，视网膜热危害值不高于</w:t>
            </w:r>
            <w:r>
              <w:rPr>
                <w:rFonts w:hint="eastAsia" w:ascii="宋体" w:hAnsi="宋体" w:eastAsia="宋体" w:cs="宋体"/>
                <w:b/>
                <w:bCs/>
                <w:i w:val="0"/>
                <w:iCs w:val="0"/>
                <w:snapToGrid w:val="0"/>
                <w:color w:val="auto"/>
                <w:kern w:val="0"/>
                <w:sz w:val="18"/>
                <w:szCs w:val="18"/>
                <w:highlight w:val="none"/>
                <w:u w:val="none"/>
                <w:lang w:val="en-US" w:eastAsia="zh-CN" w:bidi="ar"/>
              </w:rPr>
              <w:t>18W</w:t>
            </w:r>
            <w:r>
              <w:rPr>
                <w:rStyle w:val="9"/>
                <w:snapToGrid w:val="0"/>
                <w:color w:val="auto"/>
                <w:highlight w:val="none"/>
                <w:lang w:val="en-US" w:eastAsia="zh-CN" w:bidi="ar"/>
              </w:rPr>
              <w:t>/(㎡sr)</w:t>
            </w:r>
            <w:r>
              <w:rPr>
                <w:rStyle w:val="9"/>
                <w:snapToGrid w:val="0"/>
                <w:color w:val="auto"/>
                <w:highlight w:val="none"/>
                <w:lang w:val="en-US" w:eastAsia="zh-CN" w:bidi="ar"/>
              </w:rPr>
              <w:br w:type="textWrapping"/>
            </w:r>
            <w:r>
              <w:rPr>
                <w:rStyle w:val="9"/>
                <w:snapToGrid w:val="0"/>
                <w:color w:val="auto"/>
                <w:highlight w:val="none"/>
                <w:lang w:val="en-US" w:eastAsia="zh-CN" w:bidi="ar"/>
              </w:rPr>
              <w:t>10、具备动态扫描方式LED显示屏去消隐驱动保护电路，以防止因单颗LED反向漏电流异常引起的串亮现象,满足去消隐，无残影。</w:t>
            </w:r>
            <w:r>
              <w:rPr>
                <w:rStyle w:val="9"/>
                <w:snapToGrid w:val="0"/>
                <w:color w:val="auto"/>
                <w:highlight w:val="none"/>
                <w:lang w:val="en-US" w:eastAsia="zh-CN" w:bidi="ar"/>
              </w:rPr>
              <w:br w:type="textWrapping"/>
            </w:r>
            <w:r>
              <w:rPr>
                <w:rStyle w:val="9"/>
                <w:snapToGrid w:val="0"/>
                <w:color w:val="auto"/>
                <w:highlight w:val="none"/>
                <w:lang w:val="en-US" w:eastAsia="zh-CN" w:bidi="ar"/>
              </w:rPr>
              <w:t>11、LED显示单元对地漏电流≤1.0mA(交流有效值）</w:t>
            </w:r>
            <w:r>
              <w:rPr>
                <w:rStyle w:val="9"/>
                <w:snapToGrid w:val="0"/>
                <w:color w:val="auto"/>
                <w:highlight w:val="none"/>
                <w:lang w:val="en-US" w:eastAsia="zh-CN" w:bidi="ar"/>
              </w:rPr>
              <w:br w:type="textWrapping"/>
            </w:r>
            <w:r>
              <w:rPr>
                <w:rStyle w:val="9"/>
                <w:snapToGrid w:val="0"/>
                <w:color w:val="auto"/>
                <w:highlight w:val="none"/>
                <w:lang w:val="en-US" w:eastAsia="zh-CN" w:bidi="ar"/>
              </w:rPr>
              <w:t>12、LED显示单元具有≥18bit颜色处理及16bit灰度处理能力，色彩达到广播级≥1024级灰度，色彩还原能力≥16.7M，色域≥120%NTSC。</w:t>
            </w:r>
            <w:r>
              <w:rPr>
                <w:rStyle w:val="9"/>
                <w:snapToGrid w:val="0"/>
                <w:color w:val="auto"/>
                <w:highlight w:val="none"/>
                <w:lang w:val="en-US" w:eastAsia="zh-CN" w:bidi="ar"/>
              </w:rPr>
              <w:br w:type="textWrapping"/>
            </w:r>
            <w:r>
              <w:rPr>
                <w:rStyle w:val="9"/>
                <w:snapToGrid w:val="0"/>
                <w:color w:val="auto"/>
                <w:highlight w:val="none"/>
                <w:lang w:val="en-US" w:eastAsia="zh-CN" w:bidi="ar"/>
              </w:rPr>
              <w:t>13、可见光投射比≧89.89%，因磨耗引起的雾度≦1.30%，抗磨性能符合标准中的技术要求。</w:t>
            </w:r>
            <w:r>
              <w:rPr>
                <w:rStyle w:val="9"/>
                <w:snapToGrid w:val="0"/>
                <w:color w:val="auto"/>
                <w:highlight w:val="none"/>
                <w:lang w:val="en-US" w:eastAsia="zh-CN" w:bidi="ar"/>
              </w:rPr>
              <w:br w:type="textWrapping"/>
            </w:r>
            <w:r>
              <w:rPr>
                <w:rStyle w:val="9"/>
                <w:snapToGrid w:val="0"/>
                <w:color w:val="auto"/>
                <w:highlight w:val="none"/>
                <w:lang w:val="en-US" w:eastAsia="zh-CN" w:bidi="ar"/>
              </w:rPr>
              <w:t>14、电源端子骚扰电压限制、电信据口的传导共模（非对称）骚扰电压限制、电信端口的传导共模（非对称）强扰电流限制及辐射骚扰限值均符合CLASS B要求。</w:t>
            </w:r>
            <w:r>
              <w:rPr>
                <w:rStyle w:val="9"/>
                <w:snapToGrid w:val="0"/>
                <w:color w:val="auto"/>
                <w:highlight w:val="none"/>
                <w:lang w:val="en-US" w:eastAsia="zh-CN" w:bidi="ar"/>
              </w:rPr>
              <w:br w:type="textWrapping"/>
            </w:r>
            <w:r>
              <w:rPr>
                <w:rStyle w:val="9"/>
                <w:snapToGrid w:val="0"/>
                <w:color w:val="auto"/>
                <w:highlight w:val="none"/>
                <w:lang w:val="en-US" w:eastAsia="zh-CN" w:bidi="ar"/>
              </w:rPr>
              <w:t>15、显示单元的色彩还原准确性指标ΔE≤0.9。</w:t>
            </w:r>
            <w:r>
              <w:rPr>
                <w:rStyle w:val="9"/>
                <w:snapToGrid w:val="0"/>
                <w:color w:val="auto"/>
                <w:highlight w:val="none"/>
                <w:lang w:val="en-US" w:eastAsia="zh-CN" w:bidi="ar"/>
              </w:rPr>
              <w:br w:type="textWrapping"/>
            </w:r>
            <w:r>
              <w:rPr>
                <w:rStyle w:val="9"/>
                <w:snapToGrid w:val="0"/>
                <w:color w:val="auto"/>
                <w:highlight w:val="none"/>
                <w:lang w:val="en-US" w:eastAsia="zh-CN" w:bidi="ar"/>
              </w:rPr>
              <w:t>16、断电5次，每次间隔≤5S恢复通电，模组显示正常，功能正常。</w:t>
            </w:r>
            <w:r>
              <w:rPr>
                <w:rStyle w:val="9"/>
                <w:snapToGrid w:val="0"/>
                <w:color w:val="auto"/>
                <w:highlight w:val="none"/>
                <w:lang w:val="en-US" w:eastAsia="zh-CN" w:bidi="ar"/>
              </w:rPr>
              <w:br w:type="textWrapping"/>
            </w:r>
            <w:r>
              <w:rPr>
                <w:rStyle w:val="9"/>
                <w:snapToGrid w:val="0"/>
                <w:color w:val="auto"/>
                <w:highlight w:val="none"/>
                <w:lang w:val="en-US" w:eastAsia="zh-CN" w:bidi="ar"/>
              </w:rPr>
              <w:t>17、模组含智能存储电路，可以存储模组生产信息参数、运行参数(存储校正数据、关键元器件型号、LED灯批次、生产日期、序列号、运行时间等)，存储容量≥12kb</w:t>
            </w:r>
            <w:r>
              <w:rPr>
                <w:rStyle w:val="9"/>
                <w:snapToGrid w:val="0"/>
                <w:color w:val="auto"/>
                <w:highlight w:val="none"/>
                <w:lang w:val="en-US" w:eastAsia="zh-CN" w:bidi="ar"/>
              </w:rPr>
              <w:br w:type="textWrapping"/>
            </w:r>
            <w:r>
              <w:rPr>
                <w:rStyle w:val="9"/>
                <w:snapToGrid w:val="0"/>
                <w:color w:val="auto"/>
                <w:highlight w:val="none"/>
                <w:lang w:val="en-US" w:eastAsia="zh-CN" w:bidi="ar"/>
              </w:rPr>
              <w:t>18、LED采用自然散热，无风扇设计，噪声满足NR-25声标准曲线)要求，白平衡最亮噪音1(dB)-A(球面半径1.5米内)，白平衡最亮噪音1.4(dB)-A(球面半径1米内)，白平衡最亮噪音2(dB)-A(球面半径0.3米内)嗓声测试通过GB/T18313-2001idtISO7779:1999(E)标准，噪声声压级≤20dB(A)(距离平面中心1米处)。</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3CF27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9DF9E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11.52</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E707BC">
            <w:pPr>
              <w:jc w:val="center"/>
              <w:rPr>
                <w:rFonts w:hint="eastAsia" w:ascii="宋体" w:hAnsi="宋体" w:eastAsia="宋体" w:cs="宋体"/>
                <w:i w:val="0"/>
                <w:iCs w:val="0"/>
                <w:color w:val="auto"/>
                <w:sz w:val="18"/>
                <w:szCs w:val="18"/>
                <w:highlight w:val="none"/>
                <w:u w:val="none"/>
              </w:rPr>
            </w:pPr>
          </w:p>
        </w:tc>
      </w:tr>
      <w:tr w14:paraId="2D2852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3996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55</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D3E1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接收卡</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F147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1.集成≥8个HUB75，无需再配转接板</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2.单卡最大带载≥128×1024像素，最多支持16组并行数据</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3.支持≥8bit色深视频源输入输出，单色灰阶为≥256，可搭配出≥16777216种混合色彩。</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4.支持自适应帧率技术，不仅支持23.98/24/29.97/30/50/59.94/60Hz常规及非整数帧率，还可输出显示120/240Hz高帧率画面，大幅提升画面流畅度、减少拖影。</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5.支持色温调节，提供调整色温，即饱和度调节，增强画面表现力</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6.支持低亮高灰</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7.支持亮色度逐点校正，能有效消除灯点色差，保证整屏的颜色亮度的均匀性和一致性，提升整体显示效果</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8.支持箱体标定和快速标序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9.支持画面旋转，单个箱体画面以90°/180°/270°角度进行旋转，配合部分主控可实现单箱体画面任意角度旋转显示</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10.支持数据偏移，支持误码侦测</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11.支持环路备份，支持固件备份</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364E2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张</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6D781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43F1FD">
            <w:pPr>
              <w:jc w:val="center"/>
              <w:rPr>
                <w:rFonts w:hint="eastAsia" w:ascii="宋体" w:hAnsi="宋体" w:eastAsia="宋体" w:cs="宋体"/>
                <w:i w:val="0"/>
                <w:iCs w:val="0"/>
                <w:color w:val="auto"/>
                <w:sz w:val="18"/>
                <w:szCs w:val="18"/>
                <w:highlight w:val="none"/>
                <w:u w:val="none"/>
              </w:rPr>
            </w:pPr>
          </w:p>
        </w:tc>
      </w:tr>
      <w:tr w14:paraId="148915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AFB9C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56</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3EDF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视频处理器</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F459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 专业主控是针对LED显示屏工程应用领域的专业级控制系统和视频处理设备，具备丰富的视频信号接口。支持DVI、HDMI、SDI等高清数字接口，多路信号间无缝切换，支持广播级缩放及多画面显示。</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 具备≥6个千兆网口输出，单机可支持最宽≥8192像素，或最高≥4096像素的LED显示屏。同时，还具备一系列丰富实用的功能，可以实现灵活的屏幕控制和高品质的图像显示，在LED显示屏工程应用领域具有显著优势。</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 丰富的数字信号接口，包括≥2路DVI，≥1路HDMI，≥1路SDI</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4. 最大带载≥390万像素，最宽可达≥8192点，或最高可达≥4096点</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5. 最大输入分辨率≥1920×1200@60Hz，支持分辨率任意设置</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6. ≥6路千兆网口输出，支持单机或双机冗余备份</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7. 对视频信号任意切换，裁剪，拼接，缩放</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8. ≥3画面显示，位置、大小可自由调节</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9. 独立音频输入和音频输出，支持HDMI音频解析</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10. RS232串口协议控制</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11. HDCP高带宽数字内容保护技术</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12. 亮度和色温调节</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13. 低亮高灰，能有效地保持低亮下灰阶的完整显示</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48A06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04765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E3E01">
            <w:pPr>
              <w:jc w:val="center"/>
              <w:rPr>
                <w:rFonts w:hint="eastAsia" w:ascii="宋体" w:hAnsi="宋体" w:eastAsia="宋体" w:cs="宋体"/>
                <w:i w:val="0"/>
                <w:iCs w:val="0"/>
                <w:color w:val="auto"/>
                <w:sz w:val="18"/>
                <w:szCs w:val="18"/>
                <w:highlight w:val="none"/>
                <w:u w:val="none"/>
              </w:rPr>
            </w:pPr>
          </w:p>
        </w:tc>
      </w:tr>
      <w:tr w14:paraId="49BE06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77AC1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57</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B099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异步播放盒</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033C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 新一代同异步云联网播放器，支持同步显示和异步播放输出。支持≥4K H.265/H.264硬解码、4K VP9解码，网口最大带载≥230万像素，同时HDMI支持 ≥1920×1200@60Hz输出。基于强大的云服务平台，实现设备监控，节目制作，编排和集群发布，多级权限管理等功能。</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 支持WiFi、有限网络、4G（选配）多种联网方式，快速部署实现智能云管理功能，多屏幕、多业务、跨区域统一管理。可配置为WiFi热点，支持手机、平板、电脑等不同类型设备进行节目管理和参数设置。支持定时设置和局域网排程，配置光感探头接口，可实现亮度自动设置，满足各种场合亮度调节需求。</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 支持使用PlayerMaster进行节目编辑和发布，支持节目多窗口任意排布，支持视频、图片、文本、表格、时钟、流媒体、网页、天气等各种节目素材播放。支持U盘即插即播，也可通过有线网络进行节目更新和管理。</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4. 作为一种全新的联网控制系统，在户外商业广告大屏、室内政务大屏、公共场所信息发布大屏、连锁店屏、门头屏、广告机等领域具有显著优势。</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5. 网口最大带载为≥230万像素，最宽≥4096像素，最高≥2560像素，支持同步输入画面缩放显示</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6. HDMI最大可输出≥1920×1200@60Hz画面</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7. 支持同步输入显示或者异步播放显示，支持设置同异步优先级</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8. 处理性能强大，支持≥4K 10bits H.265/H.264硬解码、4K VP9解码播放</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9. 自带≥8G内存，可用≥4G存储容量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10. 全面兼容常规同步控制系统节目管理及显示屏配置方式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11. 智能控制，管理方便</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12. 支持U盘即插即播，U盘更新播放节目列表</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13. 支持多屏同步播放（NTP同步）</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14. 支持定时指令，支持局域网排程、互联网排程</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15. 支持运行环境温度、湿度、亮度等参数监测，自动调节显示屏亮度</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16. 节目管理，操作简单</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17. 支持多节目页播放，≥32个节目页面数量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18. 支持丰富的媒体素材，如图片、视频、文本、表格、时钟、流媒体、网页、天气等</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19. 支持多窗口播放和叠加，可自由设定窗口大小和位置</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20. 全方位控制方案</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21. 支持PC、手机、平板电脑等多种控制平台控制</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22. 支持多种不同应用软件进行管理，方便不同应用场合</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23. 网络通信</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24. 支持WiFi 2.4G频段、WiFi热点模式或WiFi客户端模式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25. LAN，支持DHCP模式和静态模式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26. 4G通讯，支持4G网络（选配）</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27. GPS定位（选配）</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BF07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244A4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B7C3FA">
            <w:pPr>
              <w:jc w:val="center"/>
              <w:rPr>
                <w:rFonts w:hint="eastAsia" w:ascii="宋体" w:hAnsi="宋体" w:eastAsia="宋体" w:cs="宋体"/>
                <w:i w:val="0"/>
                <w:iCs w:val="0"/>
                <w:color w:val="auto"/>
                <w:sz w:val="18"/>
                <w:szCs w:val="18"/>
                <w:highlight w:val="none"/>
                <w:u w:val="none"/>
              </w:rPr>
            </w:pPr>
          </w:p>
        </w:tc>
      </w:tr>
      <w:tr w14:paraId="3CEC09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E08C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58</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9227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可视化智控平台</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8EB9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1、支持对大屏系统的统一管理，包括大屏电视墙创建、信号源管理、信号一件上墙、信号切换、信号轮巡、预案创建和保存、预案切换和轮巡，支持任意开窗、漫游、缩放、叠加、画中画、拼接等</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2、支持信号源状态监测功能，可通过信号源列表的信号源图标判断信号源的在线、离线、分辨率不兼容等状态。</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3、支持控制大屏的开关机、具备实时、定时开关机、倒计时关机等模式。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4、具备多种开窗方式，支持鼠标拖拽开窗、固定布局开窗、一键批量开窗、坐标精确开窗等。</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5、支持上墙码流自适应功能，可根据视频窗口的分屏数量，自适应主/辅流上墙。</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6、兼容IE、Webkit、Blink、Gecko等浏览器内核，支持电脑客户端以及手机、平板、PC等多类型移动终端登录</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7、多设备间切换：可以对所控制的多台设备间任意切换，切换不同的设备进入不同的控制界面</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8、支持用户名密码登录（可选择记住密码自动登录）、手机号码登录、二维码登录等多种登录方式、系统数据通讯采用PBKDF2、MD5、IDEA等加密算法，用户登录采用Token认证的方式，支持TLS、DTLS和SRTP安全协议，保证系统的数据安全可靠</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9、服务器状态监测：支持对系统服务器运行状态监测，可实时监测当下服务CPU、GPU、内存、FPS数据，了解设备服务器运行状态、资源占用情况</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10、支持多操作系统；支持多设备间切换；支持反向控制；支持回显功能：支持≥80路输入信号同时回显。</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8EC79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套</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5B95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921C88">
            <w:pPr>
              <w:jc w:val="center"/>
              <w:rPr>
                <w:rFonts w:hint="eastAsia" w:ascii="宋体" w:hAnsi="宋体" w:eastAsia="宋体" w:cs="宋体"/>
                <w:i w:val="0"/>
                <w:iCs w:val="0"/>
                <w:color w:val="auto"/>
                <w:sz w:val="18"/>
                <w:szCs w:val="18"/>
                <w:highlight w:val="none"/>
                <w:u w:val="none"/>
              </w:rPr>
            </w:pPr>
          </w:p>
        </w:tc>
      </w:tr>
      <w:tr w14:paraId="68D93A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7950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59</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1A06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电源</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EF17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1、输入电压范围：180-264VAC</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2、输入瞬态电压可承受320VAC ≥5S</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3、效率≥88%</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4、支持自然冷却</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5、全方位保护功能：输入欠压\输出短路\过载\过压保护</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6、工作温度范围：-30℃~+70℃</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120B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7DECB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14C8CE">
            <w:pPr>
              <w:jc w:val="center"/>
              <w:rPr>
                <w:rFonts w:hint="eastAsia" w:ascii="宋体" w:hAnsi="宋体" w:eastAsia="宋体" w:cs="宋体"/>
                <w:i w:val="0"/>
                <w:iCs w:val="0"/>
                <w:color w:val="auto"/>
                <w:sz w:val="18"/>
                <w:szCs w:val="18"/>
                <w:highlight w:val="none"/>
                <w:u w:val="none"/>
              </w:rPr>
            </w:pPr>
          </w:p>
        </w:tc>
      </w:tr>
      <w:tr w14:paraId="22D1B8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F15AF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60</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FFB5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排线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83AA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长度：0.4m-1.6m</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042CD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根</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67A24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230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C27A4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52FB76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234A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61</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F161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连接网线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9605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长度：0.6m-1.5m</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0466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根</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315D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32</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3EC80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3C4AE2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DA9B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62</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C1F9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电源连接线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5E50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红黑电源端子线</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639AC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根</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90F1D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65</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9DE01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0F1CB5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A6ECC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63</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3CDE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结构框架</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83C8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定制型材，含后包边，型材壁厚1.5–3mm、钢架间距≤1m）、模块平整度（≤0.3mm）、防护等级（IP65等）、安装公差（拼缝&lt;0.5mm）</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A2227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BA773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12.25</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97597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48C80A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7E45F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64</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0539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音柱</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2A93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1、额定功率：≥20W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2、定压输出：70V-100V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3、灵敏度：≥91dB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4、频率响应：90-16000Hz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5、扬声器：≥4寸 </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0B00B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C3B48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D916F">
            <w:pPr>
              <w:jc w:val="center"/>
              <w:rPr>
                <w:rFonts w:hint="eastAsia" w:ascii="宋体" w:hAnsi="宋体" w:eastAsia="宋体" w:cs="宋体"/>
                <w:i w:val="0"/>
                <w:iCs w:val="0"/>
                <w:color w:val="auto"/>
                <w:sz w:val="18"/>
                <w:szCs w:val="18"/>
                <w:highlight w:val="none"/>
                <w:u w:val="none"/>
              </w:rPr>
            </w:pPr>
          </w:p>
        </w:tc>
      </w:tr>
      <w:tr w14:paraId="08250A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4A94F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65</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0212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功放</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F668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1、≥两路话筒输入，≥两路线路输入，≥一路线路输出，高低音调节，其中一路话筒有默认优先功能，≥5分区输出，便于紧急广播，功率输出短路保护警告、自带提示音报警，带有USB接口，SD卡和收音功能。</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2、额定功率：≥100W</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3、输出形式：定压70V/110V，定阻4-16欧姆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4、频率响应：40Hz-18KHz±0.5dB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5、电源电源：AC220</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F3355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701AF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E0260">
            <w:pPr>
              <w:jc w:val="center"/>
              <w:rPr>
                <w:rFonts w:hint="eastAsia" w:ascii="宋体" w:hAnsi="宋体" w:eastAsia="宋体" w:cs="宋体"/>
                <w:i w:val="0"/>
                <w:iCs w:val="0"/>
                <w:color w:val="auto"/>
                <w:sz w:val="18"/>
                <w:szCs w:val="18"/>
                <w:highlight w:val="none"/>
                <w:u w:val="none"/>
              </w:rPr>
            </w:pPr>
          </w:p>
        </w:tc>
      </w:tr>
      <w:tr w14:paraId="7399A5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BCA1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66</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3946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工程线缆</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21C0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自行布置专用过线槽等以及布线，从电箱布≥4组RVV3*2.5电源线到大屏位置，从控制室机柜布网线≥7根到大屏位置，预留相应长度。</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567A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项</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FB5D4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B0F04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3A1061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2186" w:type="dxa"/>
            <w:gridSpan w:val="2"/>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569B4F1B">
            <w:pPr>
              <w:jc w:val="center"/>
              <w:rPr>
                <w:rFonts w:hint="eastAsia" w:ascii="宋体" w:hAnsi="宋体" w:eastAsia="宋体" w:cs="宋体"/>
                <w:b/>
                <w:bCs/>
                <w:i w:val="0"/>
                <w:iCs w:val="0"/>
                <w:color w:val="auto"/>
                <w:sz w:val="18"/>
                <w:szCs w:val="18"/>
                <w:highlight w:val="none"/>
                <w:u w:val="none"/>
              </w:rPr>
            </w:pPr>
            <w:r>
              <w:rPr>
                <w:rFonts w:hint="eastAsia" w:ascii="宋体" w:hAnsi="宋体" w:eastAsia="宋体" w:cs="宋体"/>
                <w:b/>
                <w:bCs/>
                <w:i w:val="0"/>
                <w:iCs w:val="0"/>
                <w:snapToGrid w:val="0"/>
                <w:color w:val="auto"/>
                <w:kern w:val="0"/>
                <w:sz w:val="18"/>
                <w:szCs w:val="18"/>
                <w:highlight w:val="none"/>
                <w:u w:val="none"/>
                <w:lang w:val="en-US" w:eastAsia="zh-CN" w:bidi="ar"/>
              </w:rPr>
              <w:t>网络信息安全</w:t>
            </w:r>
          </w:p>
        </w:tc>
        <w:tc>
          <w:tcPr>
            <w:tcW w:w="4680" w:type="dxa"/>
            <w:tcBorders>
              <w:top w:val="single" w:color="000000" w:sz="4" w:space="0"/>
              <w:left w:val="single" w:color="000000" w:sz="4" w:space="0"/>
              <w:bottom w:val="single" w:color="000000" w:sz="4" w:space="0"/>
              <w:right w:val="single" w:color="000000" w:sz="4" w:space="0"/>
            </w:tcBorders>
            <w:shd w:val="clear" w:color="auto" w:fill="FFFF00"/>
            <w:vAlign w:val="center"/>
          </w:tcPr>
          <w:p w14:paraId="17DDC6E0">
            <w:pPr>
              <w:jc w:val="center"/>
              <w:rPr>
                <w:rFonts w:hint="eastAsia" w:ascii="宋体" w:hAnsi="宋体" w:eastAsia="宋体" w:cs="宋体"/>
                <w:b/>
                <w:bCs/>
                <w:i w:val="0"/>
                <w:iCs w:val="0"/>
                <w:color w:val="auto"/>
                <w:sz w:val="18"/>
                <w:szCs w:val="18"/>
                <w:highlight w:val="none"/>
                <w:u w:val="none"/>
              </w:rPr>
            </w:pPr>
          </w:p>
        </w:tc>
        <w:tc>
          <w:tcPr>
            <w:tcW w:w="813" w:type="dxa"/>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3944E15D">
            <w:pPr>
              <w:jc w:val="center"/>
              <w:rPr>
                <w:rFonts w:hint="eastAsia" w:ascii="宋体" w:hAnsi="宋体" w:eastAsia="宋体" w:cs="宋体"/>
                <w:b/>
                <w:bCs/>
                <w:i w:val="0"/>
                <w:iCs w:val="0"/>
                <w:color w:val="auto"/>
                <w:sz w:val="18"/>
                <w:szCs w:val="18"/>
                <w:highlight w:val="none"/>
                <w:u w:val="none"/>
              </w:rPr>
            </w:pPr>
          </w:p>
        </w:tc>
        <w:tc>
          <w:tcPr>
            <w:tcW w:w="707" w:type="dxa"/>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525E35A6">
            <w:pPr>
              <w:jc w:val="center"/>
              <w:rPr>
                <w:rFonts w:hint="eastAsia" w:ascii="宋体" w:hAnsi="宋体" w:eastAsia="宋体" w:cs="宋体"/>
                <w:b/>
                <w:bCs/>
                <w:i w:val="0"/>
                <w:iCs w:val="0"/>
                <w:color w:val="auto"/>
                <w:sz w:val="18"/>
                <w:szCs w:val="18"/>
                <w:highlight w:val="none"/>
                <w:u w:val="none"/>
              </w:rPr>
            </w:pPr>
          </w:p>
        </w:tc>
        <w:tc>
          <w:tcPr>
            <w:tcW w:w="843" w:type="dxa"/>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62CA55B9">
            <w:pPr>
              <w:jc w:val="center"/>
              <w:rPr>
                <w:rFonts w:hint="eastAsia" w:ascii="宋体" w:hAnsi="宋体" w:eastAsia="宋体" w:cs="宋体"/>
                <w:b/>
                <w:bCs/>
                <w:i w:val="0"/>
                <w:iCs w:val="0"/>
                <w:color w:val="auto"/>
                <w:sz w:val="18"/>
                <w:szCs w:val="18"/>
                <w:highlight w:val="none"/>
                <w:u w:val="none"/>
              </w:rPr>
            </w:pPr>
          </w:p>
        </w:tc>
      </w:tr>
      <w:tr w14:paraId="6E503D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0195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67</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4A73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下一代防火墙</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FFDD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硬件规格：1U，国产化CPU，国产化操作系统，≥10个千兆电口，≥4个光电复用口，≥2个万兆光口，≥1个扩展插槽，内置交流电源；性能规格：网络吞吐量≥12G，并发连接数≥400万，新建连接数≥10万。</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支持访问控制、DoS/DDoS攻击防护、暴力破解防护等多种安全防护策略，提供IPsec、SSL、GRE多种VPN Overlay，可支持HA、VRRP冗余组网，可同时支持IPv4/IPv6网络。包含≥三年硬件维保以及≥三年应用识别、入侵防御、AV防病毒、URL规则库升级和维护服务。</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AB3B2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7EEC9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8110F">
            <w:pPr>
              <w:jc w:val="center"/>
              <w:rPr>
                <w:rFonts w:hint="eastAsia" w:ascii="宋体" w:hAnsi="宋体" w:eastAsia="宋体" w:cs="宋体"/>
                <w:i w:val="0"/>
                <w:iCs w:val="0"/>
                <w:color w:val="auto"/>
                <w:sz w:val="18"/>
                <w:szCs w:val="18"/>
                <w:highlight w:val="none"/>
                <w:u w:val="none"/>
              </w:rPr>
            </w:pPr>
          </w:p>
        </w:tc>
      </w:tr>
      <w:tr w14:paraId="78EDA6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C2FE2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68</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0CFA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核心交换机</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B841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1、交换容量≥38.4Tbps/168Tbps</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2、转发性能≥7200Mpps/36000Mpps</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3、内存≥2GB，Flash≥4GB</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4、支持≥1个硬盘，硬盘容量≥1TB</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5、支持独立接口板，要求独立业务插槽≥8个，独立接口板载GE光口数量≥8个、GE电口数量≥8个，非复用路由接口</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6、为提高设备及整网稳定性，要求设备支持灵活插卡，模块化设计；并且网关卡异常不影响交换内网，双路由卡，支持主备、负载均衡模式应对单点故障</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7、支持可拔插双模块化电源，单电源功率≥130W，实现1+1冗余，支持热插拔，不同型号电源可混插</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8、支持POE/POE+，同时可POE供电端口≥48个，POE最大输出功率≥1040W</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9、 支持静态路由、等价路由、策略路由；支持OSPF、RIPv1/v2、BGPv4、BGP4+、IS-IS等路由协议</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10、支持IEEE 802.1d(STP)、 802.1w(RSTP)、 802.1s(MSTP)，支持端口聚合，支持一对一镜像、多对一镜像、一对多镜像，支持流镜像，支持SPAN、RSPAN远程镜像</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11、支持SNMP V1/V2/V3、Telnet、SSHv2.0；支持通过命令行或中文图形化配置软件等方式进行配置和管理</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12、采用正交CLOS交换架构，交换网板与线卡成垂直90°正交连接，业务板槽位采用竖插槽方式设计</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1A16B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64D5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DBD119">
            <w:pPr>
              <w:jc w:val="center"/>
              <w:rPr>
                <w:rFonts w:hint="eastAsia" w:ascii="宋体" w:hAnsi="宋体" w:eastAsia="宋体" w:cs="宋体"/>
                <w:i w:val="0"/>
                <w:iCs w:val="0"/>
                <w:color w:val="auto"/>
                <w:sz w:val="18"/>
                <w:szCs w:val="18"/>
                <w:highlight w:val="none"/>
                <w:u w:val="none"/>
              </w:rPr>
            </w:pPr>
          </w:p>
        </w:tc>
      </w:tr>
      <w:tr w14:paraId="6DBCE2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76B8C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69</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7395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光模块</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9AF2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千兆SFP单摸模块(1310nm，≥10km，LC)</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EFEF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1946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24</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ED6EC">
            <w:pPr>
              <w:jc w:val="center"/>
              <w:rPr>
                <w:rFonts w:hint="eastAsia" w:ascii="宋体" w:hAnsi="宋体" w:eastAsia="宋体" w:cs="宋体"/>
                <w:i w:val="0"/>
                <w:iCs w:val="0"/>
                <w:color w:val="auto"/>
                <w:sz w:val="18"/>
                <w:szCs w:val="18"/>
                <w:highlight w:val="none"/>
                <w:u w:val="none"/>
              </w:rPr>
            </w:pPr>
          </w:p>
        </w:tc>
      </w:tr>
      <w:tr w14:paraId="11F30B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18A98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70</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86DA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网关</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CF6F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1、设备需实配路由板卡≥1张，支持出口带宽≥3G。</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2、支持NAT会话容量≥30W；ACL容量≥500</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3、提供NAT、SSL VPN、URL过滤、应用识别等多种安全特性</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389B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E5E0B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5BBDDC">
            <w:pPr>
              <w:jc w:val="center"/>
              <w:rPr>
                <w:rFonts w:hint="eastAsia" w:ascii="宋体" w:hAnsi="宋体" w:eastAsia="宋体" w:cs="宋体"/>
                <w:i w:val="0"/>
                <w:iCs w:val="0"/>
                <w:color w:val="auto"/>
                <w:sz w:val="18"/>
                <w:szCs w:val="18"/>
                <w:highlight w:val="none"/>
                <w:u w:val="none"/>
              </w:rPr>
            </w:pPr>
          </w:p>
        </w:tc>
      </w:tr>
      <w:tr w14:paraId="4D3E19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AA060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71</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32EE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网络机柜</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6EDE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600*600*2000 加厚42U豪华网门机柜</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FF09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E2653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26414D">
            <w:pPr>
              <w:jc w:val="center"/>
              <w:rPr>
                <w:rFonts w:hint="eastAsia" w:ascii="宋体" w:hAnsi="宋体" w:eastAsia="宋体" w:cs="宋体"/>
                <w:i w:val="0"/>
                <w:iCs w:val="0"/>
                <w:color w:val="auto"/>
                <w:sz w:val="18"/>
                <w:szCs w:val="18"/>
                <w:highlight w:val="none"/>
                <w:u w:val="none"/>
              </w:rPr>
            </w:pPr>
          </w:p>
        </w:tc>
      </w:tr>
      <w:tr w14:paraId="05D6A6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6D4D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72</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B002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8位防浪涌PDU</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6D09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≥16A，≥2500W，≥8位PDU</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88E8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E3153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B343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0C073D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F8F6A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73</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55EE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配电柜</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D90C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定制配电柜\ 等</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A437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0E3B2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9C2D3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1A1401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9F560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74</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1EEC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主干电源线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193D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YJV-4*35+1*16</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AC772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米</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2AA10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95</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3F1F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76A713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BC86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75</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1BF9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供电线缆</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512F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YJV-3*4</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ABE76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米</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33D5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8523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167B9B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01C6E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76</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CD34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铜鼻子</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BDE0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T3紫铜铜、DN35、DN4、灌锡端接</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DA8F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52206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4A44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0FBBD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9A6F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77</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D37A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12口光纤配线架</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5558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符合标准：ISO/IEC  11801：2008；ANSI/TIA/EIA-568-C.3；YD/T778-2006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端口数量：≥12位</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端口类型：ST 、FC、SC、LC双工</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表面处理：静电喷塑</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安装方式：19″机架式安装</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材料：优质冷扎钢板</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表面颜色：黑色</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工作温度：-25℃～+60℃</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进出光纤方便灵活，有充裕的光纤盘存空间，光纤和尾纤弯曲半径不小于30mm</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411C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6F1B7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8C986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358C34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29579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78</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A0CE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LC/LC单模光纤耦合器</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F953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符合标准：符合标准：ISO/IEC 11801：2008；TIA/EIA-568-C.3；YD/T1272-2009</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卡锁式插接结构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材料：氧化锆陶瓷套管</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插入损耗（含重复性）：≤0.2dB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重复性：≥1000次</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互换性：≤0.2dB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工作温度：-25℃~+70℃</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D01BB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A956E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12</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64487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502B41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94DB3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79</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16DD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LC单模尾纤</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BAB7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符合标准：ISO/IEC 11801:2008；TIA/EIA-568-C.3；YD/T1272-2009</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依据标准出厂前100%光学测试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接头材料：氧化锆陶瓷插芯</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插入损耗（含重复性）：≤0.2dB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回波损耗：≥50dB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重复性≥1000次</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互换性：≤0.2dB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工作温度：-25℃~+70℃</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17293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根</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37707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24</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2D37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11CA3F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E061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80</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3953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LC-LC单模光纤跳线（3米）</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6FE8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符合标准：ISO/IEC 11801:2008；TIA/EIA-568-C.3；YD/T1272-2009</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依据标准出厂前100%光学测试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接头材料：氧化锆陶瓷插芯</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插入损耗（含重复性）：≤0.2dB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回波损耗：≥50dB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重复性≥1000次</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互换性：≤0.2dB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工作温度：-25℃~+70℃</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长度≥3米LC-LC单模双芯光纤跳线</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4CF8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根</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19C2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24</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BDED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034100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3C02D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81</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2674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理线器</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E609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线缆管理架（24槽带盖</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标准19英寸机架式安装，高度：1U</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材料及厚度：SPCC冷轧钢板表面脱脂、磷化、静电喷塑处理，架体1.2，盖板1.0mm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带有盖板</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理线档位：24档</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带有贯穿孔，便于前后走线和冗余线缆的存放</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颜色：黑色</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079D8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3FFF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7593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7B3852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A60EC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82</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4421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隔墙</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AD7E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砌体隔墙（7.7*4.95）、含墙面刮瓷、详见图纸</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63B1A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项</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B1344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39F0B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5A573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55FC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83</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355F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双开钢制防火门</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87D0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双开钢制防火门，详见图纸</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EB09B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项</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BC9AA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8AB70">
            <w:pPr>
              <w:jc w:val="center"/>
              <w:rPr>
                <w:rFonts w:hint="eastAsia" w:ascii="宋体" w:hAnsi="宋体" w:eastAsia="宋体" w:cs="宋体"/>
                <w:i w:val="0"/>
                <w:iCs w:val="0"/>
                <w:color w:val="auto"/>
                <w:sz w:val="18"/>
                <w:szCs w:val="18"/>
                <w:highlight w:val="none"/>
                <w:u w:val="none"/>
              </w:rPr>
            </w:pPr>
          </w:p>
        </w:tc>
      </w:tr>
      <w:tr w14:paraId="4CD8EB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E6068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84</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1575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全钢静电地板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7CE3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600*600*35</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067D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M²</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CBEC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14</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069492">
            <w:pPr>
              <w:jc w:val="center"/>
              <w:rPr>
                <w:rFonts w:hint="eastAsia" w:ascii="宋体" w:hAnsi="宋体" w:eastAsia="宋体" w:cs="宋体"/>
                <w:i w:val="0"/>
                <w:iCs w:val="0"/>
                <w:color w:val="auto"/>
                <w:sz w:val="18"/>
                <w:szCs w:val="18"/>
                <w:highlight w:val="none"/>
                <w:u w:val="none"/>
              </w:rPr>
            </w:pPr>
          </w:p>
        </w:tc>
      </w:tr>
      <w:tr w14:paraId="5239FE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5E521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85</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FEBE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踏步处理</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71D4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定制</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踏步尺寸标准</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踏步高度（h）</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 xml:space="preserve">：宜为 </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150mm–175mm</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踏步宽度（b）</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 xml:space="preserve">：宜为 </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260mm–300mm</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踏步材料应为 </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不燃材料（A级）</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，如混凝土、石材或金属包覆结构，若为钢结构楼梯，需涂刷防火涂料</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554CB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套</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80B2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C3F8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7B6D27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1C941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86</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960C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支架</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A350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调节高度范围</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 xml:space="preserve">：常规可调范围为 </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100mm–600mm</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，部分定制产品支持</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80mm–3000mm</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 xml:space="preserve"> 超高调节，适用于大型数据中心或特殊机房环境。</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材质与防腐</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 xml:space="preserve">：支架主体采用 </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优质冷轧钢</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 xml:space="preserve">，表面经 </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镀锌处理</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，具备良好耐腐蚀性，耐盐雾测试 &gt;48小时，确保长期使用不生锈。</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结构设计</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 xml:space="preserve">：采用 </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四角支撑式结构</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 xml:space="preserve">，配合横梁形成稳定网格骨架，横梁厚度常见为 </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0.8mm–1.0mm</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 xml:space="preserve">，支架螺杆直径一般为 </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M8–M12</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，承载力强。</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承载能力</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单个支架最大承载可达 </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≥20kN（约2040kg）</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配合地板系统可实现均布载荷 ≥ </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12000N/m²</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 xml:space="preserve">，集中载荷 ≥ </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3000N</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1F7A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M²</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FAB6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14</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51B7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7194BD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A4BB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87</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F4E3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不锈钢踢脚线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AEF8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材质类型</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：304不锈钢</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高度规格</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：10CM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表面处理工艺</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拉丝</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安装方式与配件</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：采用卡扣式安装</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，无需胶粘或打钉，便于拆卸维护；</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6A4BD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米</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594E0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36DE0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1AFF8F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B76F3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88</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9CC3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微孔铝质天花</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B71D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尺寸</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：600mm*600mm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厚度：1.0mm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基材类型</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 xml:space="preserve">：采用 </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 xml:space="preserve">A1100铝合金系列，符合国家 </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GBT3880</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 xml:space="preserve"> 标准，具备良好延展性与耐腐蚀性</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穿孔工艺</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：1.0mm</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7645B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M²</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1848C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14</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D4B552">
            <w:pPr>
              <w:jc w:val="center"/>
              <w:rPr>
                <w:rFonts w:hint="eastAsia" w:ascii="宋体" w:hAnsi="宋体" w:eastAsia="宋体" w:cs="宋体"/>
                <w:i w:val="0"/>
                <w:iCs w:val="0"/>
                <w:color w:val="auto"/>
                <w:sz w:val="18"/>
                <w:szCs w:val="18"/>
                <w:highlight w:val="none"/>
                <w:u w:val="none"/>
              </w:rPr>
            </w:pPr>
          </w:p>
        </w:tc>
      </w:tr>
      <w:tr w14:paraId="24F81B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6ED9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89</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136A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铝质收边条</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5CB6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L型</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宽度规格</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：1.0mm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厚度与结构设计</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 xml:space="preserve">：主体厚度在 </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1.0mm–1.5mm</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 xml:space="preserve"> 之间</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材质与表面处理</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 xml:space="preserve">：采用 </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6063铝合金</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，具备良好挤出成型性与抗氧化能力；</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31A8A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米</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F13D0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B5385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53AD10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6A01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90</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2487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吊项龙骨</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9E22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三八龙骨</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截面尺寸</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 xml:space="preserve">：标准宽度为 </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38mm</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 xml:space="preserve">，高度常见为 </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12mm</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 xml:space="preserve"> 或 </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24mm</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壁厚范围</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：≥0.8mm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基材</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：采用冷轧镀锌钢板</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，具备良好的抗弯、抗锈性能。</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60A2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M²</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499BB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14</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02CF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3431B9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C0EEF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91</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0FDC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紫铜排</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7618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规格尺寸：30*3</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成分</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：铜+银含量≥99.90%，杂质总含量≤0.1%，含氧量≤0.06%</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物理性能</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：密度8.9g/cm³，熔点1083℃，导电率≥97%IACS，热导率388W/(m·K)</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力学性能</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：抗拉强度≥195MPa，断后伸长率≥30%，布氏硬度60-120HB</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AC3D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米</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E7F5E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B956D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77A5A8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61D43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92</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BC59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接地引下线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4CD4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ZR-BVR6</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2FD3E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米</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B7B1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25FE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29830F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68801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93</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49EA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绝缘端子</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EEB5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规格：8#</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绝缘层：尼龙/聚氯乙烯（PVC），阻燃等级UL94 V-0</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额定电压：660V（交流）/440V（直流）</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绝缘电阻：≥1×10¹²Ω·cm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击穿电压：≥25kV/mm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耐电弧：临界时间＞180秒</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断裂强度≥50MPa，拉伸断裂负荷＞120N</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EC239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D8F1C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DD9A3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639C5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0C7AE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94</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CE9F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铜鼻子</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4E76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适配电缆截面积</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：6-35mm²</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额定电流等级</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：10-1000A，</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关键尺寸：螺栓孔径8-14mm、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材质要求：主流基材为T2紫铜，含铜≥99.9%，导电率≥98%IACS，镀锡层厚度8-12μm，耐盐雾≥96小时</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87DA8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E3EE3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AEFA7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23C840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F169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95</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760D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防雷插座</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27CA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输出≥5位10A国标插座，带接线盒及电源指示灯</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EEED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B9630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42738">
            <w:pPr>
              <w:jc w:val="center"/>
              <w:rPr>
                <w:rFonts w:hint="eastAsia" w:ascii="宋体" w:hAnsi="宋体" w:eastAsia="宋体" w:cs="宋体"/>
                <w:i w:val="0"/>
                <w:iCs w:val="0"/>
                <w:color w:val="auto"/>
                <w:sz w:val="18"/>
                <w:szCs w:val="18"/>
                <w:highlight w:val="none"/>
                <w:u w:val="none"/>
              </w:rPr>
            </w:pPr>
          </w:p>
        </w:tc>
      </w:tr>
      <w:tr w14:paraId="352419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3377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96</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23FE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等电位连接器</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07AF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最大放电电流 100kA(8/20us)</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最大工作电压 450V</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响应时间 ≤25ns</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短路容量 50kA</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适用场景 电源地与机房逻辑地网之间</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E4AD1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9B592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AFF72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682463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37DF2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97</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D75B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铝材平板灯</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B0F4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标称尺寸:600×600mm，厚度:1.5cm~3.5cm,功率：≥48W</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输入电压 AC85~265V，50Hz 通用国标范围</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色温：冷白光6000~6500K，中性光4000K，暖黄光3000K 可按需选择</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显色指数 ≥80Ra，高端款≥90Ra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功率因数 ≥0.9 符合二级能效标准</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寿命 50000小时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防护等级 ≥IP20</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31BBF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盏</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801F9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36D3F">
            <w:pPr>
              <w:jc w:val="center"/>
              <w:rPr>
                <w:rFonts w:hint="eastAsia" w:ascii="宋体" w:hAnsi="宋体" w:eastAsia="宋体" w:cs="宋体"/>
                <w:i w:val="0"/>
                <w:iCs w:val="0"/>
                <w:color w:val="auto"/>
                <w:sz w:val="18"/>
                <w:szCs w:val="18"/>
                <w:highlight w:val="none"/>
                <w:u w:val="none"/>
              </w:rPr>
            </w:pPr>
          </w:p>
        </w:tc>
      </w:tr>
      <w:tr w14:paraId="336046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B322E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98</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2DD3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二联单控开关</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6BC7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外观颜色：白色/金色/灰色/黑色可选</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安装类型：国标86型暗装</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结构：二联单控</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工作电压：AC 110-250V，50-60Hz</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最大负载：≥1000W</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3DB1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2551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C2BF1">
            <w:pPr>
              <w:jc w:val="center"/>
              <w:rPr>
                <w:rFonts w:hint="eastAsia" w:ascii="宋体" w:hAnsi="宋体" w:eastAsia="宋体" w:cs="宋体"/>
                <w:i w:val="0"/>
                <w:iCs w:val="0"/>
                <w:color w:val="auto"/>
                <w:sz w:val="18"/>
                <w:szCs w:val="18"/>
                <w:highlight w:val="none"/>
                <w:u w:val="none"/>
              </w:rPr>
            </w:pPr>
          </w:p>
        </w:tc>
      </w:tr>
      <w:tr w14:paraId="652957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FE88E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99</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3970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电源线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0AF9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RVS3*2.5mm2</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D392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6114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34390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05216B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A4C72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100</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552F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灭火装置钢瓶</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0EF9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钢瓶类型：焊接钢瓶</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贮存压力：≥2.5MPa</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最大充装密度 ≤1120kg/m³</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常见规格：柜式≥68L</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74B5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套</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B289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4F956">
            <w:pPr>
              <w:jc w:val="center"/>
              <w:rPr>
                <w:rFonts w:hint="eastAsia" w:ascii="宋体" w:hAnsi="宋体" w:eastAsia="宋体" w:cs="宋体"/>
                <w:i w:val="0"/>
                <w:iCs w:val="0"/>
                <w:color w:val="auto"/>
                <w:sz w:val="18"/>
                <w:szCs w:val="18"/>
                <w:highlight w:val="none"/>
                <w:u w:val="none"/>
              </w:rPr>
            </w:pPr>
          </w:p>
        </w:tc>
      </w:tr>
      <w:tr w14:paraId="181192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977F2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101</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F543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七氟丙烷</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927B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七氟丙烷气体</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灭火设计浓度：8%~10%</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储存保质期：密封钢瓶贮存保质期5年</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喷放时间：全淹没灭火系统设计喷放时间≤8s，</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268AD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KG</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E1B8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8DB9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63F8CD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16D1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102</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2829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气体灭火控制器</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9E9D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防护区回路容量：≥2路</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联动逻辑：满足延时启动、紧急停止、气体喷洒反馈 标准逻辑，可现场编程</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延时时间：0~30秒可调</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通讯接口：支持RS232/RS485、CAN总线，</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接线端子容量：导线截面积0.5~4.0mm²</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安装方式：壁挂式</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8F5D8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F33F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DF7AE">
            <w:pPr>
              <w:jc w:val="center"/>
              <w:rPr>
                <w:rFonts w:hint="eastAsia" w:ascii="宋体" w:hAnsi="宋体" w:eastAsia="宋体" w:cs="宋体"/>
                <w:i w:val="0"/>
                <w:iCs w:val="0"/>
                <w:color w:val="auto"/>
                <w:sz w:val="18"/>
                <w:szCs w:val="18"/>
                <w:highlight w:val="none"/>
                <w:u w:val="none"/>
              </w:rPr>
            </w:pPr>
          </w:p>
        </w:tc>
      </w:tr>
      <w:tr w14:paraId="218ECC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2423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103</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01C5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感烟探测器</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8763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工作电压 DC12V~DC24V（总线型接入火灾报警系统）</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静态电流 ≤800μA GB 4715-2024</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报警电流 ≤35mA GB 4715-2024</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报警声压 ≥85dB/3m GB 4715-2024</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工作环境 温度-10℃～+50℃，相对湿度≤95%RH</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相对湿度 ≤95%RH（40℃±2℃无凝露），防护等级可达IP66</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0664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B044A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E9A188">
            <w:pPr>
              <w:jc w:val="center"/>
              <w:rPr>
                <w:rFonts w:hint="eastAsia" w:ascii="宋体" w:hAnsi="宋体" w:eastAsia="宋体" w:cs="宋体"/>
                <w:i w:val="0"/>
                <w:iCs w:val="0"/>
                <w:color w:val="auto"/>
                <w:sz w:val="18"/>
                <w:szCs w:val="18"/>
                <w:highlight w:val="none"/>
                <w:u w:val="none"/>
              </w:rPr>
            </w:pPr>
          </w:p>
        </w:tc>
      </w:tr>
      <w:tr w14:paraId="35EDE7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FA5A9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104</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82F2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感温探测器</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4B2D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工作电压 DC12V~DC24V（总线型接入火灾报警系统）</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监视工作电流 ≤0.3mA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报警工作电流 ≤1mA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工作温度 -10℃～+50℃，贮存温度-20℃～+55℃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相对湿度 ≤95%RH（40℃±2℃无凝露），防护等级可达IP66</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CECC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957C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FAC76">
            <w:pPr>
              <w:jc w:val="center"/>
              <w:rPr>
                <w:rFonts w:hint="eastAsia" w:ascii="宋体" w:hAnsi="宋体" w:eastAsia="宋体" w:cs="宋体"/>
                <w:i w:val="0"/>
                <w:iCs w:val="0"/>
                <w:color w:val="auto"/>
                <w:sz w:val="18"/>
                <w:szCs w:val="18"/>
                <w:highlight w:val="none"/>
                <w:u w:val="none"/>
              </w:rPr>
            </w:pPr>
          </w:p>
        </w:tc>
      </w:tr>
      <w:tr w14:paraId="2C5306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F1B35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105</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BC14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放气指示灯</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1030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工作电压 DC 16V～28V</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监视电流 信号总线≤1mA，电源总线≤2mA，低功耗款≤200μA</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动作电流 信号总线≤2mA，电源总线≤30mA，大尺寸闪烁款≤100mA</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闪光频率 </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1.0Hz～2.0Hz</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 xml:space="preserve"> 符合国标要求的警示范围</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工作温度 -10℃～+50℃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相对湿度 ≤95%RH，无凝露</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DB229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1C001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EED60D">
            <w:pPr>
              <w:jc w:val="center"/>
              <w:rPr>
                <w:rFonts w:hint="eastAsia" w:ascii="宋体" w:hAnsi="宋体" w:eastAsia="宋体" w:cs="宋体"/>
                <w:i w:val="0"/>
                <w:iCs w:val="0"/>
                <w:color w:val="auto"/>
                <w:sz w:val="18"/>
                <w:szCs w:val="18"/>
                <w:highlight w:val="none"/>
                <w:u w:val="none"/>
              </w:rPr>
            </w:pPr>
          </w:p>
        </w:tc>
      </w:tr>
      <w:tr w14:paraId="0AF068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D4D0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106</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29FB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声光报警器</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83CA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声光一体式，；电压范围：DC9VDC-15VDC；</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峰值电流：≥300mA； 声压：≥105(dB/m)；闪灯频率：≤300±30</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3EBF5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0283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AD63AB">
            <w:pPr>
              <w:jc w:val="center"/>
              <w:rPr>
                <w:rFonts w:hint="eastAsia" w:ascii="宋体" w:hAnsi="宋体" w:eastAsia="宋体" w:cs="宋体"/>
                <w:i w:val="0"/>
                <w:iCs w:val="0"/>
                <w:color w:val="auto"/>
                <w:sz w:val="18"/>
                <w:szCs w:val="18"/>
                <w:highlight w:val="none"/>
                <w:u w:val="none"/>
              </w:rPr>
            </w:pPr>
          </w:p>
        </w:tc>
      </w:tr>
      <w:tr w14:paraId="4EFB68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0CC8C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107</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0900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紧急启停按钮</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A931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工作电压 DC 15V～28V适配气体灭火控制器总线供电</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监视电流 ≤3mA，低功耗型号≤170μA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报警电流 ≤6mA，低功耗型号≤210μA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总线连接 两线制无极性总线通讯 信号传输稳定，接线无需区分正负极</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编码方式 电子编码</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2A9A5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16F0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A3DF5C">
            <w:pPr>
              <w:jc w:val="center"/>
              <w:rPr>
                <w:rFonts w:hint="eastAsia" w:ascii="宋体" w:hAnsi="宋体" w:eastAsia="宋体" w:cs="宋体"/>
                <w:i w:val="0"/>
                <w:iCs w:val="0"/>
                <w:color w:val="auto"/>
                <w:sz w:val="18"/>
                <w:szCs w:val="18"/>
                <w:highlight w:val="none"/>
                <w:u w:val="none"/>
              </w:rPr>
            </w:pPr>
          </w:p>
        </w:tc>
      </w:tr>
      <w:tr w14:paraId="69797E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FDAC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108</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AEF4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金属软管</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BDC7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公称通径(DN)：Φ20</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内层材质：镀锌钢带/不锈钢</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外层材质：PVC/PE包塑</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工作温度：普通PVC款-5℃～+80℃，阻燃PE款-40℃～+110℃</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防护等级：IP40（普通）~IP65（防水），防水款可埋地敷设</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阻燃等级：UL94 V-0，符合电气防火要求</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E2A5E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米</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88E56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0021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38D8E3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B41CC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109</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4F1A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电线管</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764C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公称通径(DN)：Φ20</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壁厚(mm)：1.2</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材质：KBG</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030E7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米</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97F1E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C61B6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1DFDDB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8046F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110</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0E38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电线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2AFE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BV2.5mm2</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10D19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米</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2D9B3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AAEA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756D2D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C14B6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111</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F71E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电线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F0AD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RVS 3*1.5mm2</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818E4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米</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ABC6C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825C9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723BC1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10ECD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112</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B05A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门禁管理系统</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B3FA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1、设备管理，支持门禁设备的管理维护,支持门禁的增删改查、导入、导出,支持设备在离线管理,支持安全帽配置项，设备支持IP添加及主动注册两种方式；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2、门通道控制，支持门禁通道操作:开门、关门、常开、常闭和正常，支持门禁状态主动上报平台页面实时显示；</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3、门组分配，支持门禁通道按组进行管理；</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4、门禁授权-按人授权，支持单个按人授权、删除权限、批量按人授权、删除权限、支持权限复制、支持人员权限execl导出；</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5、门禁授权-按门授权，支持以人的维护或者以部门的维度配置人员权限,可按门组或者门通道进行配置；</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6、门禁授权-权限清空重发，支持对在线的设备进行清空重发,针对支持快速下发的设备；</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7、门禁复核，支持发卡、人像两种复核方式，持对差异化的复核结果同步到设备；</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8、门禁管理-任务查询，支持人员、发卡、指纹、人像授权任务查询；</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9、刷卡记录，支持人员进行记录及门禁的事件记录集中到刷卡记录里进行展示；</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10、补采日志，支持门禁设备手动断线续传及每天凌晨自动断线续传的记录显示；</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11、认证记录，支持人证核验终端比对记录展示；</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9BD8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套</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1B50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2E325F">
            <w:pPr>
              <w:jc w:val="center"/>
              <w:rPr>
                <w:rFonts w:hint="eastAsia" w:ascii="宋体" w:hAnsi="宋体" w:eastAsia="宋体" w:cs="宋体"/>
                <w:i w:val="0"/>
                <w:iCs w:val="0"/>
                <w:color w:val="auto"/>
                <w:sz w:val="18"/>
                <w:szCs w:val="18"/>
                <w:highlight w:val="none"/>
                <w:u w:val="none"/>
              </w:rPr>
            </w:pPr>
          </w:p>
        </w:tc>
      </w:tr>
      <w:tr w14:paraId="48453D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9BC1D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113</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F0AE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人脸识别发卡器</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23DA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采用PC+ABS材质成型，高端整洁，科技感浓郁；</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采用嵌入式系统，搭配国际领先的核心算法，性能强劲，安全稳定；</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采用≥4.3英寸触摸液晶屏，分辨率≥480(H)*272(V)；</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采用≥200万高清双目摄像头，支持自动白光补光和自动红外补光；</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支持人证核验模式、自助采集在线模式、自助采集离线模式、协同采集模式；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支持采集≥4000张人脸照片；人脸比对时间≤0.2S/人，识别成功率≥99.8%；</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支持人脸、身份证、IC卡、CPU卡(需另配PSAM卡)、密码等多种识别认证方式；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支持人脸活体检测，照片视频有效防假；</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支持脱机运行，采集数据存储和上传功能，网络恢复后，支持设备和平台数据同步；</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支持语音提示功能；</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支持有线和WIFI两种网络通信方式，通信数据采用加密处理，更安全；</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支持主动注册/P2P注册/DHCP；</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支持网络升级；</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支持≥1路USB、≥1个网口（10M/100M自适应）；</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支持看门狗守护机制，保障设备运行稳定性；</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2F4AA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62600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F4C9F3">
            <w:pPr>
              <w:jc w:val="center"/>
              <w:rPr>
                <w:rFonts w:hint="eastAsia" w:ascii="宋体" w:hAnsi="宋体" w:eastAsia="宋体" w:cs="宋体"/>
                <w:i w:val="0"/>
                <w:iCs w:val="0"/>
                <w:color w:val="auto"/>
                <w:sz w:val="18"/>
                <w:szCs w:val="18"/>
                <w:highlight w:val="none"/>
                <w:u w:val="none"/>
              </w:rPr>
            </w:pPr>
          </w:p>
        </w:tc>
      </w:tr>
      <w:tr w14:paraId="224B54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8C08D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114</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E4A2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IC卡</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3F55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产品款式：白卡；</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类型：IC；</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外壳材料：AB glue；</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执行标准：ISO14443A；</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通信速率：≥106Kbps；</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工作频率：≥13.56MHZ；</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存储容量：≥8Kbit；</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存储结构：≥16个扇区(每个扇区≥4块）；</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读写距离：≥2~8cm；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数据保质期：≥10年；</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工作温度：-20℃~+50℃；</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擦写次数：≥100000次</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FDFFA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张</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56131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D4F3DA">
            <w:pPr>
              <w:jc w:val="center"/>
              <w:rPr>
                <w:rFonts w:hint="eastAsia" w:ascii="宋体" w:hAnsi="宋体" w:eastAsia="宋体" w:cs="宋体"/>
                <w:i w:val="0"/>
                <w:iCs w:val="0"/>
                <w:color w:val="auto"/>
                <w:sz w:val="18"/>
                <w:szCs w:val="18"/>
                <w:highlight w:val="none"/>
                <w:u w:val="none"/>
              </w:rPr>
            </w:pPr>
          </w:p>
        </w:tc>
      </w:tr>
      <w:tr w14:paraId="5F1C4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AE27D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115</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F553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人脸识别门禁一体机</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8371B">
            <w:pPr>
              <w:keepNext w:val="0"/>
              <w:keepLines w:val="0"/>
              <w:widowControl/>
              <w:suppressLineNumbers w:val="0"/>
              <w:jc w:val="left"/>
              <w:textAlignment w:val="center"/>
              <w:rPr>
                <w:rFonts w:hint="eastAsia" w:ascii="宋体" w:hAnsi="宋体" w:eastAsia="宋体" w:cs="宋体"/>
                <w:i w:val="0"/>
                <w:iCs w:val="0"/>
                <w:snapToGrid w:val="0"/>
                <w:color w:val="auto"/>
                <w:kern w:val="0"/>
                <w:sz w:val="18"/>
                <w:szCs w:val="18"/>
                <w:highlight w:val="none"/>
                <w:u w:val="none"/>
                <w:lang w:val="en-US" w:eastAsia="zh-CN" w:bidi="ar"/>
              </w:rPr>
            </w:pPr>
            <w:r>
              <w:rPr>
                <w:rFonts w:hint="eastAsia" w:ascii="宋体" w:hAnsi="宋体" w:eastAsia="宋体" w:cs="宋体"/>
                <w:i w:val="0"/>
                <w:iCs w:val="0"/>
                <w:snapToGrid w:val="0"/>
                <w:color w:val="auto"/>
                <w:kern w:val="0"/>
                <w:sz w:val="18"/>
                <w:szCs w:val="18"/>
                <w:highlight w:val="none"/>
                <w:u w:val="none"/>
                <w:lang w:val="en-US" w:eastAsia="zh-CN" w:bidi="ar"/>
              </w:rPr>
              <w:t>主处理器：高性能嵌入式处理器；</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显示屏：≥7英寸显示屏；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屏幕类型：电容触摸屏；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广告播放：支持图文、视频广告播放；</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摄像头：≥1/2.8" 2MP CMOS高清双目摄像头；</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外壳材料：玻璃/PC+ABS；</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远程验证：支持；</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黑白名单设定：支持；</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实时监控：支持；</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多重认证：支持；</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WEB配置：支持；</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主动注册：支持；</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人脸识别准确率：≥99.90%；</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人脸识别速度：≤0.2s；</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用户容量：≥20000；</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人脸容量：≥20000；</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卡片容量：≥50000张；</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密码容量：≥20000个；</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存储记录数量：≥300000条；</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RS-485接口：≥1个；</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RS-232接口：≥1个；</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韦根接口：≥1路输入/输出；</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USB接口：≥1个USB2.0接口；</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网络接口：≥1个10Mbps/100Mbps自适应以太网口；</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报警输入：≥2路（开关量）；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报警输出：≥1路（继电器）；</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报警联动：支持；</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开门按钮：≥1路；</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门状态检测：≥1路；</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门锁控制：≥1路；</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防反潜：支持；</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防拆报警：支持；</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胁迫报警：支持；</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门超时报警：支持；</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非法闯入报警：支持；</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非法卡超次报警：支持；</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供电方式：DC 12V  2A；</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工作温度：-30℃～+60℃；</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安装方式：壁装;落地式支架安装;桌面式支架安装;闸机安装;86盒安装；</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读卡类型：IC卡</w:t>
            </w:r>
          </w:p>
          <w:p w14:paraId="1A06815B">
            <w:pPr>
              <w:keepNext w:val="0"/>
              <w:keepLines w:val="0"/>
              <w:widowControl/>
              <w:suppressLineNumbers w:val="0"/>
              <w:jc w:val="left"/>
              <w:textAlignment w:val="center"/>
              <w:rPr>
                <w:rFonts w:hint="eastAsia" w:ascii="宋体" w:hAnsi="宋体" w:eastAsia="宋体" w:cs="宋体"/>
                <w:i w:val="0"/>
                <w:iCs w:val="0"/>
                <w:snapToGrid w:val="0"/>
                <w:color w:val="auto"/>
                <w:kern w:val="0"/>
                <w:sz w:val="18"/>
                <w:szCs w:val="18"/>
                <w:highlight w:val="none"/>
                <w:u w:val="none"/>
                <w:lang w:val="en-US" w:eastAsia="zh-CN" w:bidi="ar"/>
              </w:rPr>
            </w:pPr>
            <w:r>
              <w:rPr>
                <w:rFonts w:hint="eastAsia" w:ascii="宋体" w:hAnsi="宋体" w:eastAsia="宋体" w:cs="宋体"/>
                <w:i w:val="0"/>
                <w:iCs w:val="0"/>
                <w:snapToGrid w:val="0"/>
                <w:color w:val="auto"/>
                <w:kern w:val="0"/>
                <w:sz w:val="18"/>
                <w:szCs w:val="18"/>
                <w:highlight w:val="none"/>
                <w:u w:val="none"/>
                <w:lang w:val="en-US" w:eastAsia="zh-CN" w:bidi="ar"/>
              </w:rPr>
              <w:t>支持快捷呼叫功能,在快捷呼叫模式下,可点击对应的快捷键一键呼叫至对应的室内机,无需手动拨号;可自定义的快捷键数量不少于1个；快捷键的名称可自定义,可配置是否展示对应名称;快捷键的位置布局可通过拖曳的方式进行快捷调整</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9CF38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CEA33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27E67">
            <w:pPr>
              <w:jc w:val="center"/>
              <w:rPr>
                <w:rFonts w:hint="eastAsia" w:ascii="宋体" w:hAnsi="宋体" w:eastAsia="宋体" w:cs="宋体"/>
                <w:i w:val="0"/>
                <w:iCs w:val="0"/>
                <w:color w:val="auto"/>
                <w:sz w:val="18"/>
                <w:szCs w:val="18"/>
                <w:highlight w:val="none"/>
                <w:u w:val="none"/>
              </w:rPr>
            </w:pPr>
          </w:p>
        </w:tc>
      </w:tr>
      <w:tr w14:paraId="7CF7D0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DADBC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116</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16A6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双门磁力锁</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2915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产品款式：磁力锁；</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外壳材料：铝合金；</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表面工艺：电镀拉丝；</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安全类型：断电开门；</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最大拉力：≥280kg×2（≥600Lbs×2）直线拉力；</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电源：不标配；</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供电方式：DC 12V 500X2(mA)；</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工作温度：-20℃～+55℃；</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工作环境：室内；</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安装方式：明装</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24642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D8E7F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A78B0">
            <w:pPr>
              <w:jc w:val="center"/>
              <w:rPr>
                <w:rFonts w:hint="eastAsia" w:ascii="宋体" w:hAnsi="宋体" w:eastAsia="宋体" w:cs="宋体"/>
                <w:i w:val="0"/>
                <w:iCs w:val="0"/>
                <w:color w:val="auto"/>
                <w:sz w:val="18"/>
                <w:szCs w:val="18"/>
                <w:highlight w:val="none"/>
                <w:u w:val="none"/>
              </w:rPr>
            </w:pPr>
          </w:p>
        </w:tc>
      </w:tr>
      <w:tr w14:paraId="037795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9314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117</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A328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开门按钮</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9665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外壳材料：塑料外壳；</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产品尺寸：86mm×86mm×25mm；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工作温度：-30℃～+60℃；</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工作湿度：≤95%；</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E1AE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3294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0BC56">
            <w:pPr>
              <w:jc w:val="center"/>
              <w:rPr>
                <w:rFonts w:hint="eastAsia" w:ascii="宋体" w:hAnsi="宋体" w:eastAsia="宋体" w:cs="宋体"/>
                <w:i w:val="0"/>
                <w:iCs w:val="0"/>
                <w:color w:val="auto"/>
                <w:sz w:val="18"/>
                <w:szCs w:val="18"/>
                <w:highlight w:val="none"/>
                <w:u w:val="none"/>
              </w:rPr>
            </w:pPr>
          </w:p>
        </w:tc>
      </w:tr>
      <w:tr w14:paraId="3C61D4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F25D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118</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2C8F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门禁专用电源</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ADA9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门禁专用电源（室内，≥5A）</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9BA48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FEA72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04DED">
            <w:pPr>
              <w:jc w:val="center"/>
              <w:rPr>
                <w:rFonts w:hint="eastAsia" w:ascii="宋体" w:hAnsi="宋体" w:eastAsia="宋体" w:cs="宋体"/>
                <w:i w:val="0"/>
                <w:iCs w:val="0"/>
                <w:color w:val="auto"/>
                <w:sz w:val="18"/>
                <w:szCs w:val="18"/>
                <w:highlight w:val="none"/>
                <w:u w:val="none"/>
              </w:rPr>
            </w:pPr>
          </w:p>
        </w:tc>
      </w:tr>
      <w:tr w14:paraId="2CB20F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FDBD1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119</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BA3A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六类非屏蔽网线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CD29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符合标准：ISO/IEC 11801：2017；IEC 61156-5-2020；TIA-568.2-D-2018;YD/T 1019-2013</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通过标准≥250MHz带宽测试要求 可扩展到≥550MHz带宽</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单根导体直流电阻：≤9.5Ω/100m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额定传输速率(NVP)：≥69%</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电缆对数：4对</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十字骨架材料：PE混合物</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导体材料：无氧圆铜（纯度≥99.99%）</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最小弯曲半径：10倍电缆外径</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导体线规：≥23AWG</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绝缘材料：HDPE</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屏蔽方式：U/UTP</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外护套材料：PVC</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工作温度：-20℃～+60℃</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D73D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AC1DD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0CE86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7DC2DD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1A901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120</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F9AF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电源线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7498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RVS3*2.5mm2</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5F264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EC16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D1009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70D285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7C65E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121</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ADE0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线管</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B437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JDG20管，国标，壁厚≥2mm</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76B58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1ECB2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4EC6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20EC48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2186" w:type="dxa"/>
            <w:gridSpan w:val="2"/>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406BF573">
            <w:pPr>
              <w:jc w:val="center"/>
              <w:rPr>
                <w:rFonts w:hint="eastAsia" w:ascii="宋体" w:hAnsi="宋体" w:eastAsia="宋体" w:cs="宋体"/>
                <w:b/>
                <w:bCs/>
                <w:i w:val="0"/>
                <w:iCs w:val="0"/>
                <w:color w:val="auto"/>
                <w:sz w:val="18"/>
                <w:szCs w:val="18"/>
                <w:highlight w:val="none"/>
                <w:u w:val="none"/>
              </w:rPr>
            </w:pPr>
            <w:r>
              <w:rPr>
                <w:rFonts w:hint="eastAsia" w:ascii="宋体" w:hAnsi="宋体" w:eastAsia="宋体" w:cs="宋体"/>
                <w:b/>
                <w:bCs/>
                <w:i w:val="0"/>
                <w:iCs w:val="0"/>
                <w:snapToGrid w:val="0"/>
                <w:color w:val="auto"/>
                <w:kern w:val="0"/>
                <w:sz w:val="18"/>
                <w:szCs w:val="18"/>
                <w:highlight w:val="none"/>
                <w:u w:val="none"/>
                <w:lang w:val="en-US" w:eastAsia="zh-CN" w:bidi="ar"/>
              </w:rPr>
              <w:t>看护系统</w:t>
            </w:r>
          </w:p>
        </w:tc>
        <w:tc>
          <w:tcPr>
            <w:tcW w:w="4680" w:type="dxa"/>
            <w:tcBorders>
              <w:top w:val="single" w:color="000000" w:sz="4" w:space="0"/>
              <w:left w:val="single" w:color="000000" w:sz="4" w:space="0"/>
              <w:bottom w:val="single" w:color="000000" w:sz="4" w:space="0"/>
              <w:right w:val="single" w:color="000000" w:sz="4" w:space="0"/>
            </w:tcBorders>
            <w:shd w:val="clear" w:color="auto" w:fill="FFFF00"/>
            <w:vAlign w:val="center"/>
          </w:tcPr>
          <w:p w14:paraId="7D47F29B">
            <w:pPr>
              <w:jc w:val="center"/>
              <w:rPr>
                <w:rFonts w:hint="eastAsia" w:ascii="宋体" w:hAnsi="宋体" w:eastAsia="宋体" w:cs="宋体"/>
                <w:b/>
                <w:bCs/>
                <w:i w:val="0"/>
                <w:iCs w:val="0"/>
                <w:color w:val="auto"/>
                <w:sz w:val="18"/>
                <w:szCs w:val="18"/>
                <w:highlight w:val="none"/>
                <w:u w:val="none"/>
              </w:rPr>
            </w:pPr>
          </w:p>
        </w:tc>
        <w:tc>
          <w:tcPr>
            <w:tcW w:w="813" w:type="dxa"/>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60D3D002">
            <w:pPr>
              <w:jc w:val="center"/>
              <w:rPr>
                <w:rFonts w:hint="eastAsia" w:ascii="宋体" w:hAnsi="宋体" w:eastAsia="宋体" w:cs="宋体"/>
                <w:b/>
                <w:bCs/>
                <w:i w:val="0"/>
                <w:iCs w:val="0"/>
                <w:color w:val="auto"/>
                <w:sz w:val="18"/>
                <w:szCs w:val="18"/>
                <w:highlight w:val="none"/>
                <w:u w:val="none"/>
              </w:rPr>
            </w:pPr>
          </w:p>
        </w:tc>
        <w:tc>
          <w:tcPr>
            <w:tcW w:w="707" w:type="dxa"/>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1BA1D099">
            <w:pPr>
              <w:jc w:val="center"/>
              <w:rPr>
                <w:rFonts w:hint="eastAsia" w:ascii="宋体" w:hAnsi="宋体" w:eastAsia="宋体" w:cs="宋体"/>
                <w:b/>
                <w:bCs/>
                <w:i w:val="0"/>
                <w:iCs w:val="0"/>
                <w:color w:val="auto"/>
                <w:sz w:val="18"/>
                <w:szCs w:val="18"/>
                <w:highlight w:val="none"/>
                <w:u w:val="none"/>
              </w:rPr>
            </w:pPr>
          </w:p>
        </w:tc>
        <w:tc>
          <w:tcPr>
            <w:tcW w:w="843" w:type="dxa"/>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4CA60A0B">
            <w:pPr>
              <w:jc w:val="center"/>
              <w:rPr>
                <w:rFonts w:hint="eastAsia" w:ascii="宋体" w:hAnsi="宋体" w:eastAsia="宋体" w:cs="宋体"/>
                <w:b/>
                <w:bCs/>
                <w:i w:val="0"/>
                <w:iCs w:val="0"/>
                <w:color w:val="auto"/>
                <w:sz w:val="18"/>
                <w:szCs w:val="18"/>
                <w:highlight w:val="none"/>
                <w:u w:val="none"/>
              </w:rPr>
            </w:pPr>
          </w:p>
        </w:tc>
      </w:tr>
      <w:tr w14:paraId="2BB62D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B8E39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122</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7921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睡眠监测雷达</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44F9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通过60GHz毫米波雷达技术，实现水平角度1≤00径向探测≤3m范围内人员的实时动态无视频画面，保护隐私，雷达工作频率:60Ghz~60.5Ghz</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安装方式:倾斜安装、吸顶安装</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探测角度:水平≥100垂直≥100</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无线协议:WiFi(默认wiFi,可选Cat.1)</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电源USB输入:≥5V/1A,Type-C接口</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工作温度:≥-10C~+50C</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工作湿度≥:5%~95%RH</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用于对长者睡眠质量进行无接触监测</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呼吸检测功能(静态)：检测值误差范围≤±0.8次/分钟以内</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呼吸检测功能(动态)：检测响应时间为1.5秒，误差≤±1.2次/分钟以内</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心率检测功能(静态)：与心电图机检测值相比，误差范围≤±1.5次/分钟以内</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心率检测功能(动态)：运动后检测响应时间1.8秒，误差≤±2.5次/分钟以内</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数据存储功能：成功存储并读取120组数据，无丢失、错误</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抗干扰度：受干扰后设备运行稳定，呼吸和心率检测结果偏差≤±1次/分钟(呼吸)、≤+2次/分钟(心率)</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68DF3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7AA90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182</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4B9C6">
            <w:pPr>
              <w:jc w:val="center"/>
              <w:rPr>
                <w:rFonts w:hint="eastAsia" w:ascii="宋体" w:hAnsi="宋体" w:eastAsia="宋体" w:cs="宋体"/>
                <w:i w:val="0"/>
                <w:iCs w:val="0"/>
                <w:color w:val="auto"/>
                <w:sz w:val="18"/>
                <w:szCs w:val="18"/>
                <w:highlight w:val="none"/>
                <w:u w:val="none"/>
              </w:rPr>
            </w:pPr>
          </w:p>
        </w:tc>
      </w:tr>
      <w:tr w14:paraId="764781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02E5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123</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3651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睡眠监测APP</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53AE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睡眠检测APP、通过睡眠状态记录、翻身记录、起床记录、呼吸、心眺检查数据形成睡眠质量报告。</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当人员进入扫描范围,雷达实时输出生命体动参数,对人体静坐，深度睡眠,睡眠状态有准确的记录,系统记录睡眠时间,睡眠质量，并提供睡眠报告。家人可通过APP远程查看记录，关爱守护家人。</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00E0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套</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1A41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FB717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0CDBC6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5A233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124</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5F54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防摔倒报警雷达</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56AA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通过60GHz毫米波雷达技术，实现水平角度1≤00径向探测≤3m范围内人员的实时动态无视频画面，保护隐私，雷达工作频率:60Ghz~60.5Ghz</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安装方式:倾斜安装、吸顶安装</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探测角度:水平≥100垂直≥100</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无线协议:WiFi(默认wiFi,可选Cat.1)</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电源USB输入:≥5V/1A,Type-C接口</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工作温度:≥-10C~+50C</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工作湿度≥:5%~95%RH</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跌倒检测功能：准确率≥95%</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静止监测功能(1分钟)：报警准确率≥99%</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活动监测功能：准确率≥95%</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重复测试稳定性：检测准确率≥95%</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响应时间：平均≤0.3秒，最短≤0.2秒，最长≤0.4秒</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0C13B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821AA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278</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8E3626">
            <w:pPr>
              <w:jc w:val="center"/>
              <w:rPr>
                <w:rFonts w:hint="eastAsia" w:ascii="宋体" w:hAnsi="宋体" w:eastAsia="宋体" w:cs="宋体"/>
                <w:i w:val="0"/>
                <w:iCs w:val="0"/>
                <w:color w:val="auto"/>
                <w:sz w:val="18"/>
                <w:szCs w:val="18"/>
                <w:highlight w:val="none"/>
                <w:u w:val="none"/>
              </w:rPr>
            </w:pPr>
          </w:p>
        </w:tc>
      </w:tr>
      <w:tr w14:paraId="30C9B8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71B8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125</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17F1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防跌倒检测APP</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FED4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防跌倒检测APP，结合精准的人工智能算法,可对监测区域的人员跌落、瘫倒、绊倒等多种跌倒姿势识别。</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1、跌倒姿态报警对人体躺在地上的姿态进行识别，实时上报手机</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2、静止驻留报警人体在任何姿态，长时问保持不动，会有多次报警提示</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3、精准生命探测，人体存在探测对活动，静止，昏迷的人体都有准确的持续探测</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4、出入时间记录进入时问，运动幅度记录，离开时问记录</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5、可通过APP远程查看记录，远程推送报警至手机</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B2B4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套</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FAB3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700C8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33B6E1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0F948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126</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FF05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智能床垫</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0B29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防褥疮智能床垫</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气垫尺寸:长200cm宽90cm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气柱数量:≥34</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面料：≥38丝PVC；便孔：有；喷气：有；波动：有</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安全承重:≥270斤</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静音气泵：噪音≤20db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产品特点:睡眠气泵、条形波动喷气、可拆卸便孔、动静切换</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适用：全曲护理床</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EE8BA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张</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7F722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020FCE">
            <w:pPr>
              <w:jc w:val="center"/>
              <w:rPr>
                <w:rFonts w:hint="eastAsia" w:ascii="宋体" w:hAnsi="宋体" w:eastAsia="宋体" w:cs="宋体"/>
                <w:i w:val="0"/>
                <w:iCs w:val="0"/>
                <w:color w:val="auto"/>
                <w:sz w:val="18"/>
                <w:szCs w:val="18"/>
                <w:highlight w:val="none"/>
                <w:u w:val="none"/>
              </w:rPr>
            </w:pPr>
          </w:p>
        </w:tc>
      </w:tr>
      <w:tr w14:paraId="46F823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BCC55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127</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A6CE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防褥疮检测APP</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8E22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根据护理周期、等级设置定时、定期交替喷气透气、波动按摩活血防褥疮</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4EC7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套</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639F8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96E73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0F662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6165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128</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B248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底盒</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DA1F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86底盒、预埋</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F83F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5114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920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8C5D9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3F248A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F8911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129</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083C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开槽预埋及修复</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C137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按床位开槽预埋及修复，强弱电分开</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8B08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0351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9600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6BAB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41F39D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D975C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130</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C9A1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六类非屏蔽网线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5089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符合标准：ISO/IEC 11801：2017；IEC 61156-5-2020；TIA-568.2-D-2018;YD/T 1019-2013</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通过标准≥250MHz带宽测试要求 可扩展到≥550MHz带宽</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单根导体直流电阻：≤9.5Ω/100m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额定传输速率(NVP)：≥69%</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电缆对数：4对</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十字骨架材料：PE混合物</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导体材料：无氧圆铜（纯度≥99.99%）</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最小弯曲半径：10倍电缆外径</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导体线规：≥23AWG</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绝缘材料：HDPE</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屏蔽方式：U/UTP</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外护套材料：PVC</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工作温度：-20℃～+60℃</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69B8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C3D5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27660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039B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284AF9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FCE48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131</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C348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电源线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148C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RVS3*2.5mm2</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DE24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1BE7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20745</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6B6A7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10A003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4FC4E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132</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2344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线管</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759D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JDG20管，国标，壁厚≥2mm</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9294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C9AF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20745</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6400E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149CB8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2186" w:type="dxa"/>
            <w:gridSpan w:val="2"/>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235A639F">
            <w:pPr>
              <w:jc w:val="center"/>
              <w:rPr>
                <w:rFonts w:hint="eastAsia" w:ascii="宋体" w:hAnsi="宋体" w:eastAsia="宋体" w:cs="宋体"/>
                <w:b/>
                <w:bCs/>
                <w:i w:val="0"/>
                <w:iCs w:val="0"/>
                <w:color w:val="auto"/>
                <w:sz w:val="18"/>
                <w:szCs w:val="18"/>
                <w:highlight w:val="none"/>
                <w:u w:val="none"/>
              </w:rPr>
            </w:pPr>
            <w:r>
              <w:rPr>
                <w:rFonts w:hint="eastAsia" w:ascii="宋体" w:hAnsi="宋体" w:eastAsia="宋体" w:cs="宋体"/>
                <w:b/>
                <w:bCs/>
                <w:i w:val="0"/>
                <w:iCs w:val="0"/>
                <w:snapToGrid w:val="0"/>
                <w:color w:val="auto"/>
                <w:kern w:val="0"/>
                <w:sz w:val="18"/>
                <w:szCs w:val="18"/>
                <w:highlight w:val="none"/>
                <w:u w:val="none"/>
                <w:lang w:val="en-US" w:eastAsia="zh-CN" w:bidi="ar"/>
              </w:rPr>
              <w:t>消费管理系统</w:t>
            </w:r>
          </w:p>
        </w:tc>
        <w:tc>
          <w:tcPr>
            <w:tcW w:w="4680" w:type="dxa"/>
            <w:tcBorders>
              <w:top w:val="single" w:color="000000" w:sz="4" w:space="0"/>
              <w:left w:val="single" w:color="000000" w:sz="4" w:space="0"/>
              <w:bottom w:val="single" w:color="000000" w:sz="4" w:space="0"/>
              <w:right w:val="single" w:color="000000" w:sz="4" w:space="0"/>
            </w:tcBorders>
            <w:shd w:val="clear" w:color="auto" w:fill="FFFF00"/>
            <w:vAlign w:val="center"/>
          </w:tcPr>
          <w:p w14:paraId="19068F04">
            <w:pPr>
              <w:jc w:val="center"/>
              <w:rPr>
                <w:rFonts w:hint="eastAsia" w:ascii="宋体" w:hAnsi="宋体" w:eastAsia="宋体" w:cs="宋体"/>
                <w:b/>
                <w:bCs/>
                <w:i w:val="0"/>
                <w:iCs w:val="0"/>
                <w:color w:val="auto"/>
                <w:sz w:val="18"/>
                <w:szCs w:val="18"/>
                <w:highlight w:val="none"/>
                <w:u w:val="none"/>
              </w:rPr>
            </w:pPr>
          </w:p>
        </w:tc>
        <w:tc>
          <w:tcPr>
            <w:tcW w:w="813" w:type="dxa"/>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0A4441E7">
            <w:pPr>
              <w:jc w:val="center"/>
              <w:rPr>
                <w:rFonts w:hint="eastAsia" w:ascii="宋体" w:hAnsi="宋体" w:eastAsia="宋体" w:cs="宋体"/>
                <w:b/>
                <w:bCs/>
                <w:i w:val="0"/>
                <w:iCs w:val="0"/>
                <w:color w:val="auto"/>
                <w:sz w:val="18"/>
                <w:szCs w:val="18"/>
                <w:highlight w:val="none"/>
                <w:u w:val="none"/>
              </w:rPr>
            </w:pPr>
          </w:p>
        </w:tc>
        <w:tc>
          <w:tcPr>
            <w:tcW w:w="707" w:type="dxa"/>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091E9A80">
            <w:pPr>
              <w:jc w:val="center"/>
              <w:rPr>
                <w:rFonts w:hint="eastAsia" w:ascii="宋体" w:hAnsi="宋体" w:eastAsia="宋体" w:cs="宋体"/>
                <w:b/>
                <w:bCs/>
                <w:i w:val="0"/>
                <w:iCs w:val="0"/>
                <w:color w:val="auto"/>
                <w:sz w:val="18"/>
                <w:szCs w:val="18"/>
                <w:highlight w:val="none"/>
                <w:u w:val="none"/>
              </w:rPr>
            </w:pPr>
          </w:p>
        </w:tc>
        <w:tc>
          <w:tcPr>
            <w:tcW w:w="843" w:type="dxa"/>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72168B39">
            <w:pPr>
              <w:jc w:val="center"/>
              <w:rPr>
                <w:rFonts w:hint="eastAsia" w:ascii="宋体" w:hAnsi="宋体" w:eastAsia="宋体" w:cs="宋体"/>
                <w:b/>
                <w:bCs/>
                <w:i w:val="0"/>
                <w:iCs w:val="0"/>
                <w:color w:val="auto"/>
                <w:sz w:val="18"/>
                <w:szCs w:val="18"/>
                <w:highlight w:val="none"/>
                <w:u w:val="none"/>
              </w:rPr>
            </w:pPr>
          </w:p>
        </w:tc>
      </w:tr>
      <w:tr w14:paraId="526206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AAF74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133</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2615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消费系统一体机</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11B9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LINUX 嵌入式系统，支持U盘升级双面高清彩屏，TCP/IP广域网络通讯,集成IC卡模块，动态人脸识别模块于一体，就餐人员扫脸或刷卡完成支付，同时带有消费金额卡内余额、消费成功等语音播报；</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硬件参数：</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人脸精度：≥99.8%</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人脸容量：≥20000张</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脱机记录：≥10000条;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工作电压：DC9V/3A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内置电池：≥1800MA ;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音量调节：支持大小音量调节</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通讯方式：TCP/IP广域网通讯</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外观尺寸： ≥240*240*140mm;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防伪识别：照片、视频、面具、人像模型，活体人脸防伪算法</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语音播报：消费金额、卡内余额、消费成功等;</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液晶显示：主显≥4.3寸，客显≥7寸 高清IPS彩色显示屏</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515F8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7666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809F9">
            <w:pPr>
              <w:jc w:val="center"/>
              <w:rPr>
                <w:rFonts w:hint="eastAsia" w:ascii="宋体" w:hAnsi="宋体" w:eastAsia="宋体" w:cs="宋体"/>
                <w:i w:val="0"/>
                <w:iCs w:val="0"/>
                <w:color w:val="auto"/>
                <w:sz w:val="18"/>
                <w:szCs w:val="18"/>
                <w:highlight w:val="none"/>
                <w:u w:val="none"/>
              </w:rPr>
            </w:pPr>
          </w:p>
        </w:tc>
      </w:tr>
      <w:tr w14:paraId="2AFB5C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5B09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134</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AE1B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小票打印机</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D1A1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打印方式: 直接行式热敏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打印宽度: ≥72mm 纸宽</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点密度≥ 576点/行或≥512点/行</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打印速度≥260毫米/秒</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打印纸≥79.5±0.5毫米×φ80毫米</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行间距≥3.75毫米（可用命令调整行间距）</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输入缓冲≥128k bytes</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AFD9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2EC0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5E734">
            <w:pPr>
              <w:jc w:val="center"/>
              <w:rPr>
                <w:rFonts w:hint="eastAsia" w:ascii="宋体" w:hAnsi="宋体" w:eastAsia="宋体" w:cs="宋体"/>
                <w:i w:val="0"/>
                <w:iCs w:val="0"/>
                <w:color w:val="auto"/>
                <w:sz w:val="18"/>
                <w:szCs w:val="18"/>
                <w:highlight w:val="none"/>
                <w:u w:val="none"/>
              </w:rPr>
            </w:pPr>
          </w:p>
        </w:tc>
      </w:tr>
      <w:tr w14:paraId="621B4B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FFDFC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135</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A804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消费管理系统</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DEBD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o支持人脸识别、刷卡、扫码（二维码）三种支付方式，方便不同使用习惯的老人。</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o实现快速、准确的消费扣款与记录。</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o支持消费数据的汇总、查询与管理</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EA317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套</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A50E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307E9">
            <w:pPr>
              <w:jc w:val="center"/>
              <w:rPr>
                <w:rFonts w:hint="eastAsia" w:ascii="宋体" w:hAnsi="宋体" w:eastAsia="宋体" w:cs="宋体"/>
                <w:i w:val="0"/>
                <w:iCs w:val="0"/>
                <w:color w:val="auto"/>
                <w:sz w:val="18"/>
                <w:szCs w:val="18"/>
                <w:highlight w:val="none"/>
                <w:u w:val="none"/>
              </w:rPr>
            </w:pPr>
          </w:p>
        </w:tc>
      </w:tr>
      <w:tr w14:paraId="02C54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77815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136</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6C26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六类非屏蔽网线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42E8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符合标准：ISO/IEC 11801：2017；IEC 61156-5-2020；TIA-568.2-D-2018;YD/T 1019-2013</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通过标准≥250MHz带宽测试要求 可扩展到≥550MHz带宽</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单根导体直流电阻：≤9.5Ω/100m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额定传输速率(NVP)：≥69%</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电缆对数：4对</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十字骨架材料：PE混合物</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导体材料：无氧圆铜（纯度≥99.99%）</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最小弯曲半径：10倍电缆外径</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导体线规：≥23AWG</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绝缘材料：HDPE</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屏蔽方式：U/UTP</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外护套材料：PVC</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工作温度：-20℃～+60℃</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08F5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EA96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300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3C61B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13B6CD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E9931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137</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D036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电源线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713A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RVS3*2.5mm2</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1D0F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36E7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300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29BCC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5B9DC4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9BC77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138</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3337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开槽预埋及修复</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45AF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开槽预埋及修复，强弱电分开</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2EC5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59EC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75</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2745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297364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94E8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139</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8AC2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线管</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2FAC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JDG20管，国标，壁厚≥2mm</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1AA4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239B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300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CCD28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3BE46C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2186" w:type="dxa"/>
            <w:gridSpan w:val="2"/>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286AE1DF">
            <w:pPr>
              <w:jc w:val="center"/>
              <w:rPr>
                <w:rFonts w:hint="eastAsia" w:ascii="宋体" w:hAnsi="宋体" w:eastAsia="宋体" w:cs="宋体"/>
                <w:b/>
                <w:bCs/>
                <w:i w:val="0"/>
                <w:iCs w:val="0"/>
                <w:color w:val="auto"/>
                <w:sz w:val="18"/>
                <w:szCs w:val="18"/>
                <w:highlight w:val="none"/>
                <w:u w:val="none"/>
              </w:rPr>
            </w:pPr>
            <w:r>
              <w:rPr>
                <w:rFonts w:hint="eastAsia" w:ascii="宋体" w:hAnsi="宋体" w:eastAsia="宋体" w:cs="宋体"/>
                <w:b/>
                <w:bCs/>
                <w:i w:val="0"/>
                <w:iCs w:val="0"/>
                <w:snapToGrid w:val="0"/>
                <w:color w:val="auto"/>
                <w:kern w:val="0"/>
                <w:sz w:val="18"/>
                <w:szCs w:val="18"/>
                <w:highlight w:val="none"/>
                <w:u w:val="none"/>
                <w:lang w:val="en-US" w:eastAsia="zh-CN" w:bidi="ar"/>
              </w:rPr>
              <w:t>无线网络覆盖</w:t>
            </w:r>
          </w:p>
        </w:tc>
        <w:tc>
          <w:tcPr>
            <w:tcW w:w="4680" w:type="dxa"/>
            <w:tcBorders>
              <w:top w:val="single" w:color="000000" w:sz="4" w:space="0"/>
              <w:left w:val="single" w:color="000000" w:sz="4" w:space="0"/>
              <w:bottom w:val="single" w:color="000000" w:sz="4" w:space="0"/>
              <w:right w:val="single" w:color="000000" w:sz="4" w:space="0"/>
            </w:tcBorders>
            <w:shd w:val="clear" w:color="auto" w:fill="FFFF00"/>
            <w:vAlign w:val="center"/>
          </w:tcPr>
          <w:p w14:paraId="216C01FB">
            <w:pPr>
              <w:jc w:val="center"/>
              <w:rPr>
                <w:rFonts w:hint="eastAsia" w:ascii="宋体" w:hAnsi="宋体" w:eastAsia="宋体" w:cs="宋体"/>
                <w:b/>
                <w:bCs/>
                <w:i w:val="0"/>
                <w:iCs w:val="0"/>
                <w:color w:val="auto"/>
                <w:sz w:val="18"/>
                <w:szCs w:val="18"/>
                <w:highlight w:val="none"/>
                <w:u w:val="none"/>
              </w:rPr>
            </w:pPr>
          </w:p>
        </w:tc>
        <w:tc>
          <w:tcPr>
            <w:tcW w:w="813" w:type="dxa"/>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2F69B31C">
            <w:pPr>
              <w:jc w:val="center"/>
              <w:rPr>
                <w:rFonts w:hint="eastAsia" w:ascii="宋体" w:hAnsi="宋体" w:eastAsia="宋体" w:cs="宋体"/>
                <w:b/>
                <w:bCs/>
                <w:i w:val="0"/>
                <w:iCs w:val="0"/>
                <w:color w:val="auto"/>
                <w:sz w:val="18"/>
                <w:szCs w:val="18"/>
                <w:highlight w:val="none"/>
                <w:u w:val="none"/>
              </w:rPr>
            </w:pPr>
          </w:p>
        </w:tc>
        <w:tc>
          <w:tcPr>
            <w:tcW w:w="707" w:type="dxa"/>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41EEBBE5">
            <w:pPr>
              <w:jc w:val="center"/>
              <w:rPr>
                <w:rFonts w:hint="eastAsia" w:ascii="宋体" w:hAnsi="宋体" w:eastAsia="宋体" w:cs="宋体"/>
                <w:b/>
                <w:bCs/>
                <w:i w:val="0"/>
                <w:iCs w:val="0"/>
                <w:color w:val="auto"/>
                <w:sz w:val="18"/>
                <w:szCs w:val="18"/>
                <w:highlight w:val="none"/>
                <w:u w:val="none"/>
              </w:rPr>
            </w:pPr>
          </w:p>
        </w:tc>
        <w:tc>
          <w:tcPr>
            <w:tcW w:w="843" w:type="dxa"/>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013DFE95">
            <w:pPr>
              <w:jc w:val="center"/>
              <w:rPr>
                <w:rFonts w:hint="eastAsia" w:ascii="宋体" w:hAnsi="宋体" w:eastAsia="宋体" w:cs="宋体"/>
                <w:b/>
                <w:bCs/>
                <w:i w:val="0"/>
                <w:iCs w:val="0"/>
                <w:color w:val="auto"/>
                <w:sz w:val="18"/>
                <w:szCs w:val="18"/>
                <w:highlight w:val="none"/>
                <w:u w:val="none"/>
              </w:rPr>
            </w:pPr>
          </w:p>
        </w:tc>
      </w:tr>
      <w:tr w14:paraId="5F8F1B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9D03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140</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AB2D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吸顶无线AP</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9DBA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1、支持802.11ax标准；采用射频设计，≥1个2.4GHz射频卡，≥1个5GHz射频卡；整机空间流≥4条</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2、整机最大无线速率≥2.975Gbps</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3、支持≥1个1G以太网电口、≥1个2.5G SFP光口</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4、整机功耗≤12.95W</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5、支持SSID隐藏，每个SSID可配置单独的认证方式、加密机制，VLAN属性。</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6、支持基于SSID、射频卡的用户数限制。</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7、支持基于终端数或流量的智能负载均衡。</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8、支持带宽限制，支持基于STA/SSID/AP的限速。</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9、为保证无线网络安全，支持PSK认证、Web认证、微信认证、二维码访客认证、短信认证、无感知认证等认证方式；支持WEP（64/128位）、WPA（TKIP）、WPA-PSK、WPA2（AES）、WPA3等数据加密方式。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10、支持非法AP检测及反制。支持数据帧过滤功能，支持白名单、静态黑名单、动态黑名单。</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EEAC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9158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136</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05FCD">
            <w:pPr>
              <w:jc w:val="center"/>
              <w:rPr>
                <w:rFonts w:hint="eastAsia" w:ascii="宋体" w:hAnsi="宋体" w:eastAsia="宋体" w:cs="宋体"/>
                <w:i w:val="0"/>
                <w:iCs w:val="0"/>
                <w:color w:val="auto"/>
                <w:sz w:val="18"/>
                <w:szCs w:val="18"/>
                <w:highlight w:val="none"/>
                <w:u w:val="none"/>
              </w:rPr>
            </w:pPr>
          </w:p>
        </w:tc>
      </w:tr>
      <w:tr w14:paraId="1BE665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031C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141</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BC5B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无线控制器</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E02D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一机一网主机无线控制器功能模块 | 最大可支持512个AP的管理</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4978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4EE6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A5A36">
            <w:pPr>
              <w:jc w:val="center"/>
              <w:rPr>
                <w:rFonts w:hint="eastAsia" w:ascii="宋体" w:hAnsi="宋体" w:eastAsia="宋体" w:cs="宋体"/>
                <w:i w:val="0"/>
                <w:iCs w:val="0"/>
                <w:color w:val="auto"/>
                <w:sz w:val="18"/>
                <w:szCs w:val="18"/>
                <w:highlight w:val="none"/>
                <w:u w:val="none"/>
              </w:rPr>
            </w:pPr>
          </w:p>
        </w:tc>
      </w:tr>
      <w:tr w14:paraId="713961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5C00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142</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6951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24口POE交换机</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099D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1、交换容量≥672Gbps，包转发率≥171Mpps,支持PoE/PoE+，POE输出功率≥370W</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2、配置千兆电口≥24个，非复用千兆光口≥4个</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3、支持RIP、RIPng、OSPFv2、IPv6协议</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4、支持特有的CPU保护策略，对发往CPU的数据流，进行流区分和优先级队列分级处理</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5、实配云管理功能，即插即用，可随时查看网络健康度，告警及时推送，有日记事件供回溯</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6、支持快速检测链路的通断和光纤链路的单向性，并支持端口下的环路检测功能</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7、支持IEEE802.3az标准的EEE节能技术，减小端口功耗</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8、支持SNMPv1/v2C/v3、CLI(Telnet/Console)、RMON(1,2,3,9)、SSH、Syslog、NTP/SNTP、Web管理等</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34DE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8236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1F5BA">
            <w:pPr>
              <w:jc w:val="center"/>
              <w:rPr>
                <w:rFonts w:hint="eastAsia" w:ascii="宋体" w:hAnsi="宋体" w:eastAsia="宋体" w:cs="宋体"/>
                <w:i w:val="0"/>
                <w:iCs w:val="0"/>
                <w:color w:val="auto"/>
                <w:sz w:val="18"/>
                <w:szCs w:val="18"/>
                <w:highlight w:val="none"/>
                <w:u w:val="none"/>
              </w:rPr>
            </w:pPr>
          </w:p>
        </w:tc>
      </w:tr>
      <w:tr w14:paraId="33B161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AF1D7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143</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80A7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24口千兆汇聚交换机</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5272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1、交换容量≥672Gbps，包转发率≥171Mpps。配置千兆电口≥24个，非复用千兆光口≥4个</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2、交换机半导体器件的失效率随温度增加指数上升，为保证设备在弱电井正常工作，设备需在0-50℃</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3、支持虚拟化功能，最多可将9台物理设备虚拟化为一台逻辑设备统一管理，并且链路故障的收敛时间≤30ms</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4、支持MAC地址自动学习和老化</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5、支持≥4K802.1QVLAN</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6、支持ITU-TG.8032国际公有环网协议ERPS,并且链路故障的收敛时间≤50ms</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7、支持广播风暴抑制</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8、支持IEEE802.3az标准的EEE节能技术，减小端口功耗</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9、支持SNMPv1/v2C/v3、CLI(Telnet/Console)、RMON(1,2,3,9)、SSH、Syslog、NTP/SNTP、Web管理</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4ECF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7B51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70713">
            <w:pPr>
              <w:jc w:val="center"/>
              <w:rPr>
                <w:rFonts w:hint="eastAsia" w:ascii="宋体" w:hAnsi="宋体" w:eastAsia="宋体" w:cs="宋体"/>
                <w:i w:val="0"/>
                <w:iCs w:val="0"/>
                <w:color w:val="auto"/>
                <w:sz w:val="18"/>
                <w:szCs w:val="18"/>
                <w:highlight w:val="none"/>
                <w:u w:val="none"/>
              </w:rPr>
            </w:pPr>
          </w:p>
        </w:tc>
      </w:tr>
      <w:tr w14:paraId="1386AC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26078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144</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81B1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光模块</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3EB5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千兆SFP单摸模块(1310nm，≥10km，LC)</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2CA14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23366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12</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152B44">
            <w:pPr>
              <w:jc w:val="center"/>
              <w:rPr>
                <w:rFonts w:hint="eastAsia" w:ascii="宋体" w:hAnsi="宋体" w:eastAsia="宋体" w:cs="宋体"/>
                <w:i w:val="0"/>
                <w:iCs w:val="0"/>
                <w:color w:val="auto"/>
                <w:sz w:val="18"/>
                <w:szCs w:val="18"/>
                <w:highlight w:val="none"/>
                <w:u w:val="none"/>
              </w:rPr>
            </w:pPr>
          </w:p>
        </w:tc>
      </w:tr>
      <w:tr w14:paraId="31A502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D94B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145</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5840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9U壁挂网络机柜</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2093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规格：≥450*550*400高*宽*深(mm)误差±10mm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框架材质：≥1.5mm厚冷轧钢板，表面静电喷塑</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前门材质：玻璃前门</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承重参数：静载≥80kg</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29795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CAE5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D5BB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4F7FF2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DFF96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146</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2174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8位防浪涌PDU</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F79F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≥16A，≥2500W，≥8位PDU</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BE751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7B26B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E449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6474A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C0551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147</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1A5F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楼层UPS配电电缆</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E573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RVS3*2.5</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F553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EB34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720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F90A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36060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07F8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148</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0366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24口六类RJ45配线架</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B783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符合标准：ISO/IEC 11801:2008；YD/T 926.3-2009；TIA /EIA- 568-C.2</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标准19英寸机架式安装</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端口数量：≥24位</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IDC材料：磷青铜</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金针：磷青铜表面镀金</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屏蔽方式：非屏蔽</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卡线后座及线缆保护盖：PC 材料</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进行方式：≥180°垂直进线方式，≥45°斜角卡线簧片设计</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打线方式：兼容T568A/B两种端接方式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插头与插座插合次数：≥1000次</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导线端接次数：≥250次</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卡接导体线规：≥22~26AWG</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工作温度：-25～60℃</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7F94C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1AF0D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68280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282CED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77F5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149</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4B43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六类模块</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9225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符合标准：ISO/IEC 11801:2008；YD/T 926.3-2009；TIA /EIA- 568-C.2</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IDC材料：磷青铜</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金针：磷青铜表面镀金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防尘盖：透明PC材料</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插头与插座插合次数：≥1000次</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导线端接次数：≥250次</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打线方式：兼容T568A/B两种端接方式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卡接导体线规：22~26AWG</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工作温度：-25～60℃</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ED423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D822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192</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84E8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50ED4D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1324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150</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19C4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网络跳线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D55D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六类非屏蔽低烟无卤跳线3米</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标准：ISO/IEC 11801，ANSI/TIA - 568-C.2</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原厂成型，100%通过单体测试，具有更高的可靠性和传输性能</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插头采用灌胶工艺，弹片保护和软尾结构，保障线缆和水晶头之间的连接</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导体规格：多股绞合，软圆铜线，4×2×24AWG</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屏蔽方式: U/UTP</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护套材料：LSZH，护套外径：6.0±0.3mm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插头规格：RJ45，8P8C，簧片表面镀金，透明聚碳酸酯塑胶壳</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线序：T568B-T568B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插拔次数：≥1000次</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最高传输频率：250MHz</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工作温度：-10℃～+60℃</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12D79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根</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F79EB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162</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F80A6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778834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5D9E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151</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F7D9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六类非屏蔽网线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B7B3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符合标准：ISO/IEC 11801：2017；IEC 61156-5-2020；TIA-568.2-D-2018;YD/T 1019-2013</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通过标准≥250MHz带宽测试要求 可扩展到≥550MHz带宽</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单根导体直流电阻：≤9.5Ω/100m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额定传输速率(NVP)：≥69%</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电缆对数：4对</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十字骨架材料：PE混合物</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导体材料：无氧圆铜（纯度≥99.99%）</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最小弯曲半径：10倍电缆外径</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导体线规：≥23AWG</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绝缘材料：HDPE</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屏蔽方式：U/UTP</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外护套材料：PVC</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工作温度：-20℃～+60℃</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F566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A0EC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9720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B5ED5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536728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235D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152</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86B7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线管</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1061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JDG20管，国标，壁厚≥2mm</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0ABF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A78C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9720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9D098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4BD27D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6A908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153</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D6F5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开槽预埋及修复</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6372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开槽预埋及修复</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0BD4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CD82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519</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25BFD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4D3905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E9E31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154</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DA18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12芯室内单模光缆</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7445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符合标准：ISO/IEC 11801 ；ANSI/TIA-568-C.3；YD/T769-2018,IEC 60794-3</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全截面阻水结构，松套管填充特种油膏，确保良好的阻水防潮性能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衰减：20℃（DB/Km）：＠1310≤0.36，＠1550≤0.22</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光纤规格：≥B1.3（9/125μm）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包层不圆度：≤1％</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加强件: 磷化圆钢丝</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动态/静态弯曲半径: ≥20D/10D; 25D/12.5D</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允许压扁力（N）: ≥300/1000;  1000/3000</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允许拉伸力（N）:≥ 600/1500;  1000/3000</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芯数：≥12芯</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存储/工作温度：-40℃～+60℃</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2992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F801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120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9C8D2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14B86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74898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155</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DD50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12口光纤配线架</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52E2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符合标准：ISO/IEC  11801：2008；ANSI/TIA/EIA-568-C.3；YD/T778-2006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端口数量：≥12位</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端口类型：ST 、FC、SC、LC双工</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表面处理：静电喷塑</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安装方式：19″机架式安装</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材料：优质冷扎钢板</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表面颜色：黑色</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工作温度：-25℃～+60℃</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进出光纤方便灵活，有充裕的光纤盘存空间，光纤和尾纤弯曲半径不小于30mm</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4350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835E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64625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5015C2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3FE8E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156</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E39C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LC/LC单模光纤耦合器</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47F7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符合标准：符合标准：ISO/IEC 11801：2008；TIA/EIA-568-C.3；YD/T1272-2009</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卡锁式插接结构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材料：氧化锆陶瓷套管</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插入损耗（含重复性）：≤0.2dB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重复性：≥1000次</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互换性：≤0.2dB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工作温度：-25℃~+70℃</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1C2A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E9F7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12</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1FCCE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46C7C4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E63FA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157</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D383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LC单模尾纤</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6DBB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符合标准：ISO/IEC 11801:2008；TIA/EIA-568-C.3；YD/T1272-2009</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依据标准出厂前100%光学测试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接头材料：氧化锆陶瓷插芯</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插入损耗（含重复性）：≤0.2dB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回波损耗：≥50dB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重复性≥1000次</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互换性：≤0.2dB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工作温度：-25℃~+70℃</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76AB8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根</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11FDE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24</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4D9F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68C22D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174C9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158</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2464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LC-LC单模光纤跳线（3米）</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81E7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符合标准：ISO/IEC 11801:2008；TIA/EIA-568-C.3；YD/T1272-2009</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依据标准出厂前100%光学测试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接头材料：氧化锆陶瓷插芯</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插入损耗（含重复性）：≤0.2dB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回波损耗：≥50dB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重复性≥1000次</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互换性：≤0.2dB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工作温度：-25℃~+70℃</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长度≥3米LC-LC单模双芯光纤跳线</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FC34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根</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3D3D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24</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F913F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58D7C2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4522F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159</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5F80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网络链路</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9426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≥500M宽带、固定IP</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4769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年</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9B667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4CD24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0D6BAA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2186" w:type="dxa"/>
            <w:gridSpan w:val="2"/>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75DF5775">
            <w:pPr>
              <w:jc w:val="center"/>
              <w:rPr>
                <w:rFonts w:hint="eastAsia" w:ascii="宋体" w:hAnsi="宋体" w:eastAsia="宋体" w:cs="宋体"/>
                <w:b/>
                <w:bCs/>
                <w:i w:val="0"/>
                <w:iCs w:val="0"/>
                <w:color w:val="auto"/>
                <w:sz w:val="18"/>
                <w:szCs w:val="18"/>
                <w:highlight w:val="none"/>
                <w:u w:val="none"/>
              </w:rPr>
            </w:pPr>
            <w:r>
              <w:rPr>
                <w:rFonts w:hint="eastAsia" w:ascii="宋体" w:hAnsi="宋体" w:eastAsia="宋体" w:cs="宋体"/>
                <w:b/>
                <w:bCs/>
                <w:i w:val="0"/>
                <w:iCs w:val="0"/>
                <w:snapToGrid w:val="0"/>
                <w:color w:val="auto"/>
                <w:kern w:val="0"/>
                <w:sz w:val="18"/>
                <w:szCs w:val="18"/>
                <w:highlight w:val="none"/>
                <w:u w:val="none"/>
                <w:lang w:val="en-US" w:eastAsia="zh-CN" w:bidi="ar"/>
              </w:rPr>
              <w:t>办公系统</w:t>
            </w:r>
          </w:p>
        </w:tc>
        <w:tc>
          <w:tcPr>
            <w:tcW w:w="4680" w:type="dxa"/>
            <w:tcBorders>
              <w:top w:val="single" w:color="000000" w:sz="4" w:space="0"/>
              <w:left w:val="single" w:color="000000" w:sz="4" w:space="0"/>
              <w:bottom w:val="single" w:color="000000" w:sz="4" w:space="0"/>
              <w:right w:val="single" w:color="000000" w:sz="4" w:space="0"/>
            </w:tcBorders>
            <w:shd w:val="clear" w:color="auto" w:fill="FFFF00"/>
            <w:vAlign w:val="center"/>
          </w:tcPr>
          <w:p w14:paraId="76E05691">
            <w:pPr>
              <w:jc w:val="center"/>
              <w:rPr>
                <w:rFonts w:hint="eastAsia" w:ascii="宋体" w:hAnsi="宋体" w:eastAsia="宋体" w:cs="宋体"/>
                <w:b/>
                <w:bCs/>
                <w:i w:val="0"/>
                <w:iCs w:val="0"/>
                <w:color w:val="auto"/>
                <w:sz w:val="18"/>
                <w:szCs w:val="18"/>
                <w:highlight w:val="none"/>
                <w:u w:val="none"/>
              </w:rPr>
            </w:pPr>
          </w:p>
        </w:tc>
        <w:tc>
          <w:tcPr>
            <w:tcW w:w="813" w:type="dxa"/>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3EE31C96">
            <w:pPr>
              <w:jc w:val="center"/>
              <w:rPr>
                <w:rFonts w:hint="eastAsia" w:ascii="宋体" w:hAnsi="宋体" w:eastAsia="宋体" w:cs="宋体"/>
                <w:b/>
                <w:bCs/>
                <w:i w:val="0"/>
                <w:iCs w:val="0"/>
                <w:color w:val="auto"/>
                <w:sz w:val="18"/>
                <w:szCs w:val="18"/>
                <w:highlight w:val="none"/>
                <w:u w:val="none"/>
              </w:rPr>
            </w:pPr>
          </w:p>
        </w:tc>
        <w:tc>
          <w:tcPr>
            <w:tcW w:w="707" w:type="dxa"/>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67C29185">
            <w:pPr>
              <w:jc w:val="center"/>
              <w:rPr>
                <w:rFonts w:hint="eastAsia" w:ascii="宋体" w:hAnsi="宋体" w:eastAsia="宋体" w:cs="宋体"/>
                <w:b/>
                <w:bCs/>
                <w:i w:val="0"/>
                <w:iCs w:val="0"/>
                <w:color w:val="auto"/>
                <w:sz w:val="18"/>
                <w:szCs w:val="18"/>
                <w:highlight w:val="none"/>
                <w:u w:val="none"/>
              </w:rPr>
            </w:pPr>
          </w:p>
        </w:tc>
        <w:tc>
          <w:tcPr>
            <w:tcW w:w="843" w:type="dxa"/>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55FF2502">
            <w:pPr>
              <w:jc w:val="center"/>
              <w:rPr>
                <w:rFonts w:hint="eastAsia" w:ascii="宋体" w:hAnsi="宋体" w:eastAsia="宋体" w:cs="宋体"/>
                <w:b/>
                <w:bCs/>
                <w:i w:val="0"/>
                <w:iCs w:val="0"/>
                <w:color w:val="auto"/>
                <w:sz w:val="18"/>
                <w:szCs w:val="18"/>
                <w:highlight w:val="none"/>
                <w:u w:val="none"/>
              </w:rPr>
            </w:pPr>
          </w:p>
        </w:tc>
      </w:tr>
      <w:tr w14:paraId="2A7801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079B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160</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8FBD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A3激光打印机</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1AD0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类型：≥A3激光单打打印机；打印速度：≥30页/分钟；颜色类型：黑色；涵盖功能：打印；双面打印：自动；最大原稿尺寸：≥A3；内存容量：≥128；供纸容量：标配纸盒：≥250页；网络功能：支持有线网络打印；</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C8D6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6D72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E5BF1">
            <w:pPr>
              <w:jc w:val="center"/>
              <w:rPr>
                <w:rFonts w:hint="eastAsia" w:ascii="宋体" w:hAnsi="宋体" w:eastAsia="宋体" w:cs="宋体"/>
                <w:i w:val="0"/>
                <w:iCs w:val="0"/>
                <w:color w:val="auto"/>
                <w:sz w:val="18"/>
                <w:szCs w:val="18"/>
                <w:highlight w:val="none"/>
                <w:u w:val="none"/>
              </w:rPr>
            </w:pPr>
          </w:p>
        </w:tc>
      </w:tr>
      <w:tr w14:paraId="43E6EB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1EC8B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161</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91EE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电脑</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D49A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国产≥8核心≥16线程</w:t>
            </w:r>
            <w:r>
              <w:rPr>
                <w:rStyle w:val="10"/>
                <w:rFonts w:eastAsia="宋体"/>
                <w:snapToGrid w:val="0"/>
                <w:color w:val="auto"/>
                <w:highlight w:val="none"/>
                <w:lang w:val="en-US" w:eastAsia="zh-CN" w:bidi="ar"/>
              </w:rPr>
              <w:t>‌</w:t>
            </w:r>
            <w:r>
              <w:rPr>
                <w:rStyle w:val="9"/>
                <w:snapToGrid w:val="0"/>
                <w:color w:val="auto"/>
                <w:highlight w:val="none"/>
                <w:lang w:val="en-US" w:eastAsia="zh-CN" w:bidi="ar"/>
              </w:rPr>
              <w:t>CPU，基准主频为</w:t>
            </w:r>
            <w:r>
              <w:rPr>
                <w:rStyle w:val="10"/>
                <w:rFonts w:eastAsia="宋体"/>
                <w:snapToGrid w:val="0"/>
                <w:color w:val="auto"/>
                <w:highlight w:val="none"/>
                <w:lang w:val="en-US" w:eastAsia="zh-CN" w:bidi="ar"/>
              </w:rPr>
              <w:t>‌≥</w:t>
            </w:r>
            <w:r>
              <w:rPr>
                <w:rStyle w:val="9"/>
                <w:snapToGrid w:val="0"/>
                <w:color w:val="auto"/>
                <w:highlight w:val="none"/>
                <w:lang w:val="en-US" w:eastAsia="zh-CN" w:bidi="ar"/>
              </w:rPr>
              <w:t>3.0GHz</w:t>
            </w:r>
            <w:r>
              <w:rPr>
                <w:rStyle w:val="10"/>
                <w:rFonts w:eastAsia="宋体"/>
                <w:snapToGrid w:val="0"/>
                <w:color w:val="auto"/>
                <w:highlight w:val="none"/>
                <w:lang w:val="en-US" w:eastAsia="zh-CN" w:bidi="ar"/>
              </w:rPr>
              <w:t>‌</w:t>
            </w:r>
            <w:r>
              <w:rPr>
                <w:rStyle w:val="9"/>
                <w:snapToGrid w:val="0"/>
                <w:color w:val="auto"/>
                <w:highlight w:val="none"/>
                <w:lang w:val="en-US" w:eastAsia="zh-CN" w:bidi="ar"/>
              </w:rPr>
              <w:t>/≥16G DDR4/≥1TBG固态/集成/≥550W电源/</w:t>
            </w:r>
            <w:r>
              <w:rPr>
                <w:rStyle w:val="9"/>
                <w:rFonts w:hint="eastAsia"/>
                <w:snapToGrid w:val="0"/>
                <w:color w:val="auto"/>
                <w:highlight w:val="none"/>
                <w:lang w:val="en-US" w:eastAsia="zh-CN" w:bidi="ar"/>
              </w:rPr>
              <w:t>国产</w:t>
            </w:r>
            <w:r>
              <w:rPr>
                <w:rStyle w:val="9"/>
                <w:snapToGrid w:val="0"/>
                <w:color w:val="auto"/>
                <w:highlight w:val="none"/>
                <w:lang w:val="en-US" w:eastAsia="zh-CN" w:bidi="ar"/>
              </w:rPr>
              <w:t>操作系统 ≥23升机箱</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A456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套</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D792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61384">
            <w:pPr>
              <w:jc w:val="center"/>
              <w:rPr>
                <w:rFonts w:hint="eastAsia" w:ascii="宋体" w:hAnsi="宋体" w:eastAsia="宋体" w:cs="宋体"/>
                <w:i w:val="0"/>
                <w:iCs w:val="0"/>
                <w:color w:val="auto"/>
                <w:sz w:val="18"/>
                <w:szCs w:val="18"/>
                <w:highlight w:val="none"/>
                <w:u w:val="none"/>
              </w:rPr>
            </w:pPr>
          </w:p>
        </w:tc>
      </w:tr>
      <w:tr w14:paraId="691D22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718C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162</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A20E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显示器</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4BCD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屏幕尺寸</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：≥23.5英寸</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面板类型</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：IPS</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分辨率</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1920×1080</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刷新率</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：≥100Hz</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接口</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：支持VGA和 HDMI 接口</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7791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F20F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5F6AD">
            <w:pPr>
              <w:jc w:val="center"/>
              <w:rPr>
                <w:rFonts w:hint="eastAsia" w:ascii="宋体" w:hAnsi="宋体" w:eastAsia="宋体" w:cs="宋体"/>
                <w:i w:val="0"/>
                <w:iCs w:val="0"/>
                <w:color w:val="auto"/>
                <w:sz w:val="18"/>
                <w:szCs w:val="18"/>
                <w:highlight w:val="none"/>
                <w:u w:val="none"/>
              </w:rPr>
            </w:pPr>
          </w:p>
        </w:tc>
      </w:tr>
      <w:tr w14:paraId="4753DD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2186" w:type="dxa"/>
            <w:gridSpan w:val="2"/>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10E463D2">
            <w:pPr>
              <w:jc w:val="center"/>
              <w:rPr>
                <w:rFonts w:hint="eastAsia" w:ascii="宋体" w:hAnsi="宋体" w:eastAsia="宋体" w:cs="宋体"/>
                <w:b/>
                <w:bCs/>
                <w:i w:val="0"/>
                <w:iCs w:val="0"/>
                <w:color w:val="auto"/>
                <w:sz w:val="18"/>
                <w:szCs w:val="18"/>
                <w:highlight w:val="none"/>
                <w:u w:val="none"/>
              </w:rPr>
            </w:pPr>
            <w:r>
              <w:rPr>
                <w:rFonts w:hint="eastAsia" w:ascii="宋体" w:hAnsi="宋体" w:eastAsia="宋体" w:cs="宋体"/>
                <w:b/>
                <w:bCs/>
                <w:i w:val="0"/>
                <w:iCs w:val="0"/>
                <w:snapToGrid w:val="0"/>
                <w:color w:val="auto"/>
                <w:kern w:val="0"/>
                <w:sz w:val="18"/>
                <w:szCs w:val="18"/>
                <w:highlight w:val="none"/>
                <w:u w:val="none"/>
                <w:lang w:val="en-US" w:eastAsia="zh-CN" w:bidi="ar"/>
              </w:rPr>
              <w:t>智能分析视频监控系统</w:t>
            </w:r>
          </w:p>
        </w:tc>
        <w:tc>
          <w:tcPr>
            <w:tcW w:w="4680" w:type="dxa"/>
            <w:tcBorders>
              <w:top w:val="single" w:color="000000" w:sz="4" w:space="0"/>
              <w:left w:val="single" w:color="000000" w:sz="4" w:space="0"/>
              <w:bottom w:val="single" w:color="000000" w:sz="4" w:space="0"/>
              <w:right w:val="single" w:color="000000" w:sz="4" w:space="0"/>
            </w:tcBorders>
            <w:shd w:val="clear" w:color="auto" w:fill="FFFF00"/>
            <w:vAlign w:val="center"/>
          </w:tcPr>
          <w:p w14:paraId="7FF4351C">
            <w:pPr>
              <w:jc w:val="center"/>
              <w:rPr>
                <w:rFonts w:hint="eastAsia" w:ascii="宋体" w:hAnsi="宋体" w:eastAsia="宋体" w:cs="宋体"/>
                <w:b/>
                <w:bCs/>
                <w:i w:val="0"/>
                <w:iCs w:val="0"/>
                <w:color w:val="auto"/>
                <w:sz w:val="18"/>
                <w:szCs w:val="18"/>
                <w:highlight w:val="none"/>
                <w:u w:val="none"/>
              </w:rPr>
            </w:pPr>
          </w:p>
        </w:tc>
        <w:tc>
          <w:tcPr>
            <w:tcW w:w="813" w:type="dxa"/>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0066B8BD">
            <w:pPr>
              <w:jc w:val="center"/>
              <w:rPr>
                <w:rFonts w:hint="eastAsia" w:ascii="宋体" w:hAnsi="宋体" w:eastAsia="宋体" w:cs="宋体"/>
                <w:b/>
                <w:bCs/>
                <w:i w:val="0"/>
                <w:iCs w:val="0"/>
                <w:color w:val="auto"/>
                <w:sz w:val="18"/>
                <w:szCs w:val="18"/>
                <w:highlight w:val="none"/>
                <w:u w:val="none"/>
              </w:rPr>
            </w:pPr>
          </w:p>
        </w:tc>
        <w:tc>
          <w:tcPr>
            <w:tcW w:w="707" w:type="dxa"/>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3177B60C">
            <w:pPr>
              <w:jc w:val="center"/>
              <w:rPr>
                <w:rFonts w:hint="eastAsia" w:ascii="宋体" w:hAnsi="宋体" w:eastAsia="宋体" w:cs="宋体"/>
                <w:b/>
                <w:bCs/>
                <w:i w:val="0"/>
                <w:iCs w:val="0"/>
                <w:color w:val="auto"/>
                <w:sz w:val="18"/>
                <w:szCs w:val="18"/>
                <w:highlight w:val="none"/>
                <w:u w:val="none"/>
              </w:rPr>
            </w:pPr>
          </w:p>
        </w:tc>
        <w:tc>
          <w:tcPr>
            <w:tcW w:w="843" w:type="dxa"/>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42774644">
            <w:pPr>
              <w:jc w:val="center"/>
              <w:rPr>
                <w:rFonts w:hint="eastAsia" w:ascii="宋体" w:hAnsi="宋体" w:eastAsia="宋体" w:cs="宋体"/>
                <w:b/>
                <w:bCs/>
                <w:i w:val="0"/>
                <w:iCs w:val="0"/>
                <w:color w:val="auto"/>
                <w:sz w:val="18"/>
                <w:szCs w:val="18"/>
                <w:highlight w:val="none"/>
                <w:u w:val="none"/>
              </w:rPr>
            </w:pPr>
          </w:p>
        </w:tc>
      </w:tr>
      <w:tr w14:paraId="07D949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96"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F345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163</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D143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防跌倒摄像机</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2C44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1、≥400万像素、可对特定场景（走廊、餐厅、活动室等进行人员跌倒视频告警提醒</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2、支持≥H.265技术；</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3、红外补光（≥30米）；</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4、防水≥IP66；</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5、镜头2.8/4/6/8mm可选。</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14F74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B597C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2CCB7C">
            <w:pPr>
              <w:jc w:val="center"/>
              <w:rPr>
                <w:rFonts w:hint="eastAsia" w:ascii="宋体" w:hAnsi="宋体" w:eastAsia="宋体" w:cs="宋体"/>
                <w:i w:val="0"/>
                <w:iCs w:val="0"/>
                <w:color w:val="auto"/>
                <w:sz w:val="18"/>
                <w:szCs w:val="18"/>
                <w:highlight w:val="none"/>
                <w:u w:val="none"/>
              </w:rPr>
            </w:pPr>
          </w:p>
        </w:tc>
      </w:tr>
      <w:tr w14:paraId="3F7670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CC7DC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164</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E70C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厨房防油污枪机</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B5EA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1、≥400万像素、厨房防油污</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2、支持≥H.265技术；</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3、红外补光（≥30米）；</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4、防水≥IP66；</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5、镜头2.8/4/6/8mm可选。</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6159C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44E4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8854C">
            <w:pPr>
              <w:jc w:val="center"/>
              <w:rPr>
                <w:rFonts w:hint="eastAsia" w:ascii="宋体" w:hAnsi="宋体" w:eastAsia="宋体" w:cs="宋体"/>
                <w:i w:val="0"/>
                <w:iCs w:val="0"/>
                <w:color w:val="auto"/>
                <w:sz w:val="18"/>
                <w:szCs w:val="18"/>
                <w:highlight w:val="none"/>
                <w:u w:val="none"/>
              </w:rPr>
            </w:pPr>
          </w:p>
        </w:tc>
      </w:tr>
      <w:tr w14:paraId="16D0DA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88CB1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165</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2566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枪机装支架</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499A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安装方式：壁装；</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承重：≥1.0kg；</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旋转角度：水平：0~180°；垂直：-30°~0；</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0551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A074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90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CF3D75">
            <w:pPr>
              <w:jc w:val="center"/>
              <w:rPr>
                <w:rFonts w:hint="eastAsia" w:ascii="宋体" w:hAnsi="宋体" w:eastAsia="宋体" w:cs="宋体"/>
                <w:i w:val="0"/>
                <w:iCs w:val="0"/>
                <w:color w:val="auto"/>
                <w:sz w:val="18"/>
                <w:szCs w:val="18"/>
                <w:highlight w:val="none"/>
                <w:u w:val="none"/>
              </w:rPr>
            </w:pPr>
          </w:p>
        </w:tc>
      </w:tr>
      <w:tr w14:paraId="212EF3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1021E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166</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4689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电梯半球（对讲）</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43A8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1、≥400万像素；带拾音</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2、支持≥H.265技术；</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4、防水≥IP66；</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5、镜头2.8/4/6/8mm可选。</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17F85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BFDA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7CE868">
            <w:pPr>
              <w:jc w:val="center"/>
              <w:rPr>
                <w:rFonts w:hint="eastAsia" w:ascii="宋体" w:hAnsi="宋体" w:eastAsia="宋体" w:cs="宋体"/>
                <w:i w:val="0"/>
                <w:iCs w:val="0"/>
                <w:color w:val="auto"/>
                <w:sz w:val="18"/>
                <w:szCs w:val="18"/>
                <w:highlight w:val="none"/>
                <w:u w:val="none"/>
              </w:rPr>
            </w:pPr>
          </w:p>
        </w:tc>
      </w:tr>
      <w:tr w14:paraId="787FDB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6"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157BB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167</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1D8F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无线网桥</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1A33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频段：2.4GHz</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传输距离：≥100米</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标准：IEEE802.11b/g/n</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速率：≥300Mbps</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接口：wan:1个10/100MRJ-45接口</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供电：支持POE</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0E0B9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对</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BC09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B4F63">
            <w:pPr>
              <w:jc w:val="center"/>
              <w:rPr>
                <w:rFonts w:hint="eastAsia" w:ascii="宋体" w:hAnsi="宋体" w:eastAsia="宋体" w:cs="宋体"/>
                <w:i w:val="0"/>
                <w:iCs w:val="0"/>
                <w:color w:val="auto"/>
                <w:sz w:val="18"/>
                <w:szCs w:val="18"/>
                <w:highlight w:val="none"/>
                <w:u w:val="none"/>
              </w:rPr>
            </w:pPr>
          </w:p>
        </w:tc>
      </w:tr>
      <w:tr w14:paraId="12940D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716A0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168</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5A68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24口POE交换机</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255D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1、交换容量≥672Gbps，包转发率≥171Mpps,支持PoE/PoE+，POE输出功率≥370W</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2、配置千兆电口≥24个，非复用千兆光口≥4个</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3、支持RIP、RIPng、OSPFv2、IPv6协议</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4、支持特有的CPU保护策略，对发往CPU的数据流，进行流区分和优先级队列分级处理</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5、实配云管理功能，即插即用，可随时查看网络健康度，告警及时推送，有日记事件供回溯</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6、支持快速检测链路的通断和光纤链路的单向性，并支持端口下的环路检测功能</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7、支持IEEE802.3az标准的EEE节能技术，减小端口功耗</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8、支持SNMPv1/v2C/v3、CLI(Telnet/Console)、RMON(1,2,3,9)、SSH、Syslog、NTP/SNTP、Web管理</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4134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8F58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E3995">
            <w:pPr>
              <w:jc w:val="center"/>
              <w:rPr>
                <w:rFonts w:hint="eastAsia" w:ascii="宋体" w:hAnsi="宋体" w:eastAsia="宋体" w:cs="宋体"/>
                <w:i w:val="0"/>
                <w:iCs w:val="0"/>
                <w:color w:val="auto"/>
                <w:sz w:val="18"/>
                <w:szCs w:val="18"/>
                <w:highlight w:val="none"/>
                <w:u w:val="none"/>
              </w:rPr>
            </w:pPr>
          </w:p>
        </w:tc>
      </w:tr>
      <w:tr w14:paraId="235E84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A120A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169</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1D49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光模块</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FB25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千兆SFP单摸模块(1310nm，≥10km，LC)</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BC5E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3FE8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2A07E">
            <w:pPr>
              <w:jc w:val="center"/>
              <w:rPr>
                <w:rFonts w:hint="eastAsia" w:ascii="宋体" w:hAnsi="宋体" w:eastAsia="宋体" w:cs="宋体"/>
                <w:i w:val="0"/>
                <w:iCs w:val="0"/>
                <w:color w:val="auto"/>
                <w:sz w:val="18"/>
                <w:szCs w:val="18"/>
                <w:highlight w:val="none"/>
                <w:u w:val="none"/>
              </w:rPr>
            </w:pPr>
          </w:p>
        </w:tc>
      </w:tr>
      <w:tr w14:paraId="454787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BADDD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170</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4D0E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24口六类RJ45配线架</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B821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符合标准：ISO/IEC 11801:2008；YD/T 926.3-2009；TIA /EIA- 568-C.2</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标准19英寸机架式安装</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端口数量：≥24位</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IDC材料：磷青铜</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金针：磷青铜表面镀金</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屏蔽方式：非屏蔽</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卡线后座及线缆保护盖：PC 材料</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进行方式：≥180°垂直进线方式，≥45°斜角卡线簧片设计</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打线方式：兼容T568A/B两种端接方式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插头与插座插合次数：≥1000次</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导线端接次数：≥250次</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卡接导体线规：≥22~26AWG</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工作温度：-25～60℃</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5877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77449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D6FF0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4A7887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A3B69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171</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F56F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六类模块</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BF31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符合标准：ISO/IEC 11801:2008；YD/T 926.3-2009；TIA /EIA- 568-C.2</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IDC材料：磷青铜</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 xml:space="preserve">金针：磷青铜表面镀金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防尘盖：透明PC材料</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插头与插座插合次数：≥1000次</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导线端接次数：≥250次</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打线方式：兼容T568A/B两种端接方式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卡接导体线规：22~26AWG</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工作温度：-25～60℃</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C55E4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397D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192</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8490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20C2EF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91B7F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172</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8E9D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网络跳线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FAD3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六类非屏蔽低烟无卤跳线3米</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标准：ISO/IEC 11801，ANSI/TIA - 568-C.2</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原厂成型，100%通过单体测试，具有更高的可靠性和传输性能</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插头采用灌胶工艺，弹片保护和软尾结构，保障线缆和水晶头之间的连接</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导体规格：多股绞合，软圆铜线，4×2×24AWG</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屏蔽方式: U/UTP</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护套材料：LSZH，护套外径：6.0±0.3mm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插头规格：RJ45，8P8C，簧片表面镀金，透明聚碳酸酯塑胶壳</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线序：T568B-T568B</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插拔次数：≥1000次</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最高传输频率：250MHz</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工作温度：-10℃～+60℃</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FE37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根</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C09A2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106</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70260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784808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E991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173</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90CD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六类非屏蔽网线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A495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符合标准：ISO/IEC 11801：2017；IEC 61156-5-2020；TIA-568.2-D-2018;YD/T 1019-2013</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通过标准≥250MHz带宽测试要求 可扩展到≥550MHz带宽</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单根导体直流电阻：≤9.5Ω/100m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额定传输速率(NVP)：≥69%</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电缆对数：4对</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十字骨架材料：PE混合物</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导体材料：无氧圆铜（纯度≥99.99%）</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最小弯曲半径：10倍电缆外径</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导体线规：≥23AWG</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绝缘材料：HDPE</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屏蔽方式：U/UTP</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外护套材料：PVC</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工作温度：-20℃～+60℃</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A63A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AE9E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5880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CBFE7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7C5032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7AE5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174</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F82C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线管</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6280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JDG20管，国标，壁厚≥2mm</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096F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E69F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5880</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FAB37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28CCD1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76"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20874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175</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CC56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监视器显示屏</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42BD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 工业级宽视角55英寸面板，适合7*24小时连续工作</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 4K超高清显示，对比度≥1200:1</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 显示面积大、体积小、重量轻，屏比≥16:9</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4. 极速响应，画质流畅无拖尾，亮度（cd/m2）：≥380</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5. 遥控、按键双重控制，支持远程开关机</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6. 自动消除残影功能，保护液晶屏的长期使用</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7. 专业散热设计，延长设备使用寿命</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8. 内置高性能电源设计，能耗低，静音</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9.输入接口：HDMI 2.0≥3、USB 2.0≥1、AV≥1、Component≥1</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10.输出接口：Coaxial≥1、Earphone≥1、内置喇叭≥2</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9BC4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CF288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3E2CB1">
            <w:pPr>
              <w:jc w:val="center"/>
              <w:rPr>
                <w:rFonts w:hint="eastAsia" w:ascii="宋体" w:hAnsi="宋体" w:eastAsia="宋体" w:cs="宋体"/>
                <w:i w:val="0"/>
                <w:iCs w:val="0"/>
                <w:color w:val="auto"/>
                <w:sz w:val="18"/>
                <w:szCs w:val="18"/>
                <w:highlight w:val="none"/>
                <w:u w:val="none"/>
              </w:rPr>
            </w:pPr>
          </w:p>
        </w:tc>
      </w:tr>
      <w:tr w14:paraId="72F138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8"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885F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176</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4CA0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壁装支架</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C5EA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适配监视器尺寸55英寸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承重：≥30-50kg</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材质：1.5~2.5mm厚冷轧钢板（SPCC），表面喷塑防腐</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999B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个</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A1A6A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BFEE2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58DAF7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ACB57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177</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34AB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视频高清线</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704E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HDMI线材质: 纯铜长度:≥15米</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09B1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根</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633F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E54A6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6C2543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08"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C80D5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178</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0F5F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防跌倒分析服务器</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7D78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防跌倒分析服务器、自带国产化操作系统，支持全中文管理界面或直连显示器输出</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支持视频监控与对监控画面进行特定动作分析，可对特定场景（走廊、餐厅、活动室等进行人员跌倒视频告警提醒）</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采用基于计算机视觉技术的姿态识别算法，通过摄像头捕捉老年人的动作姿态，生成姿态模型，用于分析其行为模式。这项技术不仅能够判断是否发生摔倒等异常行为，还可以监测老年人的日常活动规律，为健康管理提供数据支持</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国产</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x86 架构处理器</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，采用</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8核16线程</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设计，基础频率</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3.0GHz</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，/16GDDR4/1TBG固态/550W电源</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1881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502C8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3749F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6D7125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6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B0D20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179</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A8D4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后厨巡检超脑</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CBDC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明厨亮灶后厨巡检超脑，支持行为分析≥4种，如：未带口罩、未带厨师帽、未穿工作服、动火离人检查等，用于安全预警，联动，触发录像、弹窗、声光提示、短信通知，手机推送，支持多画面显示、轮巡、云台控制、录像回放（支持快放、慢放、按帧播放）、录像切片快速定位</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国产</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x86 架构处理器</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，采用</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8核16线程</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设计，基础频率</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3.0GHz</w:t>
            </w:r>
            <w:r>
              <w:rPr>
                <w:rStyle w:val="8"/>
                <w:rFonts w:eastAsia="宋体"/>
                <w:snapToGrid w:val="0"/>
                <w:color w:val="auto"/>
                <w:highlight w:val="none"/>
                <w:lang w:val="en-US" w:eastAsia="zh-CN" w:bidi="ar"/>
              </w:rPr>
              <w:t>‌</w:t>
            </w:r>
            <w:r>
              <w:rPr>
                <w:rFonts w:hint="eastAsia" w:ascii="宋体" w:hAnsi="宋体" w:eastAsia="宋体" w:cs="宋体"/>
                <w:i w:val="0"/>
                <w:iCs w:val="0"/>
                <w:snapToGrid w:val="0"/>
                <w:color w:val="auto"/>
                <w:kern w:val="0"/>
                <w:sz w:val="18"/>
                <w:szCs w:val="18"/>
                <w:highlight w:val="none"/>
                <w:u w:val="none"/>
                <w:lang w:val="en-US" w:eastAsia="zh-CN" w:bidi="ar"/>
              </w:rPr>
              <w:t>，/16GDDR4/1TBG固态/550W电源</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ABDA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3A80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B1723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p>
        </w:tc>
      </w:tr>
      <w:tr w14:paraId="0869DA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DBC54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180</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D9D1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硬盘录像机</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36D3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≥32路、≥8盘位，支持≥H.265技术；</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1、应自动记录设备信息相关的日志信息；</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2、支持码流加密技术加密后在网络中传输；</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3、支持码流通道加密技术加密后在网络中传输；</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4、支持配置导出功能；</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2FA5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DBEA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A7D624">
            <w:pPr>
              <w:jc w:val="center"/>
              <w:rPr>
                <w:rFonts w:hint="eastAsia" w:ascii="宋体" w:hAnsi="宋体" w:eastAsia="宋体" w:cs="宋体"/>
                <w:i w:val="0"/>
                <w:iCs w:val="0"/>
                <w:color w:val="auto"/>
                <w:sz w:val="18"/>
                <w:szCs w:val="18"/>
                <w:highlight w:val="none"/>
                <w:u w:val="none"/>
              </w:rPr>
            </w:pPr>
          </w:p>
        </w:tc>
      </w:tr>
      <w:tr w14:paraId="47D6E8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91A36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181</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15F4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硬盘</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79F9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≥6T，5400转，监控专用硬盘</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6E97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块</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88BA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24</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A224FF">
            <w:pPr>
              <w:jc w:val="center"/>
              <w:rPr>
                <w:rFonts w:hint="eastAsia" w:ascii="宋体" w:hAnsi="宋体" w:eastAsia="宋体" w:cs="宋体"/>
                <w:i w:val="0"/>
                <w:iCs w:val="0"/>
                <w:color w:val="auto"/>
                <w:sz w:val="18"/>
                <w:szCs w:val="18"/>
                <w:highlight w:val="none"/>
                <w:u w:val="none"/>
              </w:rPr>
            </w:pPr>
          </w:p>
        </w:tc>
      </w:tr>
      <w:tr w14:paraId="3B643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28"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D9925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182</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2A6D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高清解码器</w:t>
            </w:r>
          </w:p>
        </w:tc>
        <w:tc>
          <w:tcPr>
            <w:tcW w:w="4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23F3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画面分割：单屏支持1/4/6/8/9/16/25/36/64固定分割；支持M×N自定义分割，M×N≤64；</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视频压缩标准：H.265;H.264;MJPEG;MPEG4;SVAC;MPEG2；</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解码能力：支持1路32MP@25fps/3路12MP@15fps/4路8MP@30fps/6路6MP@25fps/8路5MP@25fps/9路4MP@25fps/10路3MP@30fps/16路1080p@30fps/64路D1@30fps同时解码；</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视频输出路数：1路</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720E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台</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5ECE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w:t>
            </w:r>
          </w:p>
        </w:tc>
        <w:tc>
          <w:tcPr>
            <w:tcW w:w="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402C04">
            <w:pPr>
              <w:jc w:val="center"/>
              <w:rPr>
                <w:rFonts w:hint="eastAsia" w:ascii="宋体" w:hAnsi="宋体" w:eastAsia="宋体" w:cs="宋体"/>
                <w:i w:val="0"/>
                <w:iCs w:val="0"/>
                <w:color w:val="auto"/>
                <w:sz w:val="18"/>
                <w:szCs w:val="18"/>
                <w:highlight w:val="none"/>
                <w:u w:val="none"/>
              </w:rPr>
            </w:pPr>
          </w:p>
        </w:tc>
      </w:tr>
      <w:tr w14:paraId="402F86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922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950395C">
            <w:pPr>
              <w:keepNext w:val="0"/>
              <w:keepLines w:val="0"/>
              <w:pageBreakBefore w:val="0"/>
              <w:widowControl w:val="0"/>
              <w:kinsoku w:val="0"/>
              <w:wordWrap/>
              <w:overflowPunct/>
              <w:topLinePunct w:val="0"/>
              <w:autoSpaceDE w:val="0"/>
              <w:autoSpaceDN w:val="0"/>
              <w:bidi w:val="0"/>
              <w:adjustRightInd w:val="0"/>
              <w:snapToGrid w:val="0"/>
              <w:spacing w:line="240" w:lineRule="auto"/>
              <w:ind w:right="0" w:rightChars="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备注：</w:t>
            </w:r>
          </w:p>
          <w:p w14:paraId="340AEB89">
            <w:pPr>
              <w:keepNext w:val="0"/>
              <w:keepLines w:val="0"/>
              <w:pageBreakBefore w:val="0"/>
              <w:widowControl w:val="0"/>
              <w:kinsoku w:val="0"/>
              <w:wordWrap/>
              <w:overflowPunct/>
              <w:topLinePunct w:val="0"/>
              <w:autoSpaceDE w:val="0"/>
              <w:autoSpaceDN w:val="0"/>
              <w:bidi w:val="0"/>
              <w:adjustRightInd w:val="0"/>
              <w:snapToGrid w:val="0"/>
              <w:spacing w:line="240" w:lineRule="auto"/>
              <w:ind w:right="0" w:rightChars="0"/>
              <w:textAlignment w:val="baseline"/>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本项目为货物类政府采购项目，需求清单中标✭号产品为辅材、定制、配套组件等产品，招标文件明确豁免投标开标一览明细表品牌（可不填写品牌，只需填写制造商/承接（建）商）、规格（招标文件未写明规格的，也可以不填写规格）、型号、单品技术参数填报义务，在满足参数的基础上以“国产、国标、定制、配套”字样代替。</w:t>
            </w:r>
          </w:p>
          <w:p w14:paraId="4B2C5C70">
            <w:pPr>
              <w:keepNext w:val="0"/>
              <w:keepLines w:val="0"/>
              <w:pageBreakBefore w:val="0"/>
              <w:widowControl w:val="0"/>
              <w:kinsoku w:val="0"/>
              <w:wordWrap/>
              <w:overflowPunct/>
              <w:topLinePunct w:val="0"/>
              <w:autoSpaceDE w:val="0"/>
              <w:autoSpaceDN w:val="0"/>
              <w:bidi w:val="0"/>
              <w:adjustRightInd w:val="0"/>
              <w:snapToGrid w:val="0"/>
              <w:spacing w:line="240" w:lineRule="auto"/>
              <w:ind w:right="0" w:rightChars="0"/>
              <w:textAlignment w:val="baseline"/>
              <w:rPr>
                <w:rFonts w:hint="default" w:ascii="宋体" w:hAnsi="宋体" w:eastAsia="宋体" w:cs="宋体"/>
                <w:i w:val="0"/>
                <w:iCs w:val="0"/>
                <w:snapToGrid w:val="0"/>
                <w:color w:val="auto"/>
                <w:kern w:val="0"/>
                <w:sz w:val="18"/>
                <w:szCs w:val="18"/>
                <w:highlight w:val="none"/>
                <w:u w:val="none"/>
                <w:lang w:val="en-US" w:eastAsia="zh-CN" w:bidi="ar"/>
              </w:rPr>
            </w:pPr>
            <w:r>
              <w:rPr>
                <w:rFonts w:hint="eastAsia" w:ascii="宋体" w:hAnsi="宋体" w:eastAsia="宋体" w:cs="宋体"/>
                <w:color w:val="auto"/>
                <w:spacing w:val="0"/>
                <w:w w:val="100"/>
                <w:position w:val="0"/>
                <w:sz w:val="24"/>
                <w:szCs w:val="24"/>
                <w:highlight w:val="none"/>
                <w:lang w:val="en-US" w:eastAsia="zh-CN"/>
              </w:rPr>
              <w:t>2、所投产品‘睡眠监测雷达与防摔倒报警雷达’须通过统一软件集中管理。</w:t>
            </w:r>
          </w:p>
        </w:tc>
      </w:tr>
    </w:tbl>
    <w:p w14:paraId="673B0A44">
      <w:pPr>
        <w:numPr>
          <w:ilvl w:val="0"/>
          <w:numId w:val="0"/>
        </w:numPr>
        <w:spacing w:before="78" w:line="208" w:lineRule="auto"/>
        <w:jc w:val="center"/>
        <w:rPr>
          <w:rFonts w:hint="eastAsia" w:asciiTheme="minorEastAsia" w:hAnsiTheme="minorEastAsia" w:eastAsiaTheme="minorEastAsia" w:cstheme="minorEastAsia"/>
          <w:b/>
          <w:bCs/>
          <w:color w:val="auto"/>
          <w:spacing w:val="-3"/>
          <w:sz w:val="24"/>
          <w:szCs w:val="24"/>
          <w:highlight w:val="none"/>
          <w:lang w:val="en-US" w:eastAsia="zh-CN"/>
        </w:rPr>
      </w:pPr>
    </w:p>
    <w:p w14:paraId="67638745">
      <w:pPr>
        <w:pStyle w:val="3"/>
        <w:pageBreakBefore w:val="0"/>
        <w:kinsoku w:val="0"/>
        <w:wordWrap/>
        <w:overflowPunct/>
        <w:topLinePunct w:val="0"/>
        <w:autoSpaceDE w:val="0"/>
        <w:autoSpaceDN w:val="0"/>
        <w:bidi w:val="0"/>
        <w:adjustRightInd w:val="0"/>
        <w:snapToGrid w:val="0"/>
        <w:spacing w:beforeLines="0" w:afterLines="0" w:line="360" w:lineRule="auto"/>
        <w:ind w:firstLine="462" w:firstLineChars="200"/>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5"/>
          <w:sz w:val="24"/>
          <w:szCs w:val="24"/>
          <w:highlight w:val="none"/>
        </w:rPr>
        <w:t>（二）</w:t>
      </w:r>
      <w:r>
        <w:rPr>
          <w:rFonts w:hint="eastAsia" w:asciiTheme="minorEastAsia" w:hAnsiTheme="minorEastAsia" w:eastAsiaTheme="minorEastAsia" w:cstheme="minorEastAsia"/>
          <w:color w:val="auto"/>
          <w:spacing w:val="14"/>
          <w:sz w:val="24"/>
          <w:szCs w:val="24"/>
          <w:highlight w:val="none"/>
        </w:rPr>
        <w:t xml:space="preserve"> </w:t>
      </w:r>
      <w:r>
        <w:rPr>
          <w:rFonts w:hint="eastAsia" w:asciiTheme="minorEastAsia" w:hAnsiTheme="minorEastAsia" w:eastAsiaTheme="minorEastAsia" w:cstheme="minorEastAsia"/>
          <w:color w:val="auto"/>
          <w:spacing w:val="-5"/>
          <w:sz w:val="24"/>
          <w:szCs w:val="24"/>
          <w:highlight w:val="none"/>
        </w:rPr>
        <w:t>商务条件</w:t>
      </w:r>
    </w:p>
    <w:p w14:paraId="3142E7D6">
      <w:pPr>
        <w:pageBreakBefore w:val="0"/>
        <w:kinsoku w:val="0"/>
        <w:wordWrap/>
        <w:overflowPunct/>
        <w:topLinePunct w:val="0"/>
        <w:autoSpaceDE w:val="0"/>
        <w:autoSpaceDN w:val="0"/>
        <w:bidi w:val="0"/>
        <w:adjustRightInd w:val="0"/>
        <w:snapToGrid w:val="0"/>
        <w:spacing w:line="360" w:lineRule="auto"/>
        <w:ind w:firstLine="482" w:firstLineChars="200"/>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b/>
          <w:bCs/>
          <w:color w:val="auto"/>
          <w:sz w:val="24"/>
          <w:szCs w:val="24"/>
          <w:highlight w:val="none"/>
        </w:rPr>
        <w:t>1</w:t>
      </w:r>
      <w:r>
        <w:rPr>
          <w:rFonts w:hint="eastAsia" w:asciiTheme="minorEastAsia" w:hAnsiTheme="minorEastAsia" w:eastAsiaTheme="minorEastAsia" w:cstheme="minorEastAsia"/>
          <w:b/>
          <w:bCs/>
          <w:color w:val="auto"/>
          <w:sz w:val="24"/>
          <w:szCs w:val="24"/>
          <w:highlight w:val="none"/>
          <w:lang w:eastAsia="zh-CN"/>
        </w:rPr>
        <w:t>、</w:t>
      </w:r>
      <w:r>
        <w:rPr>
          <w:rFonts w:hint="eastAsia" w:asciiTheme="minorEastAsia" w:hAnsiTheme="minorEastAsia" w:eastAsiaTheme="minorEastAsia" w:cstheme="minorEastAsia"/>
          <w:b/>
          <w:bCs/>
          <w:color w:val="auto"/>
          <w:sz w:val="24"/>
          <w:szCs w:val="24"/>
          <w:highlight w:val="none"/>
        </w:rPr>
        <w:t>交货时间：</w:t>
      </w:r>
      <w:r>
        <w:rPr>
          <w:rFonts w:hint="eastAsia" w:asciiTheme="minorEastAsia" w:hAnsiTheme="minorEastAsia" w:eastAsiaTheme="minorEastAsia" w:cstheme="minorEastAsia"/>
          <w:color w:val="auto"/>
          <w:sz w:val="24"/>
          <w:szCs w:val="24"/>
          <w:highlight w:val="none"/>
        </w:rPr>
        <w:t xml:space="preserve">在合同签订之日起90天内完成全部货物到场、安装及调试并验收合格 </w:t>
      </w:r>
    </w:p>
    <w:p w14:paraId="18CA63CD">
      <w:pPr>
        <w:pageBreakBefore w:val="0"/>
        <w:kinsoku w:val="0"/>
        <w:wordWrap/>
        <w:overflowPunct/>
        <w:topLinePunct w:val="0"/>
        <w:autoSpaceDE w:val="0"/>
        <w:autoSpaceDN w:val="0"/>
        <w:bidi w:val="0"/>
        <w:adjustRightInd w:val="0"/>
        <w:snapToGrid w:val="0"/>
        <w:spacing w:line="360" w:lineRule="auto"/>
        <w:ind w:firstLine="482" w:firstLineChars="200"/>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b/>
          <w:bCs/>
          <w:color w:val="auto"/>
          <w:sz w:val="24"/>
          <w:szCs w:val="24"/>
          <w:highlight w:val="none"/>
        </w:rPr>
        <w:t>2</w:t>
      </w:r>
      <w:r>
        <w:rPr>
          <w:rFonts w:hint="eastAsia" w:asciiTheme="minorEastAsia" w:hAnsiTheme="minorEastAsia" w:eastAsiaTheme="minorEastAsia" w:cstheme="minorEastAsia"/>
          <w:b/>
          <w:bCs/>
          <w:color w:val="auto"/>
          <w:sz w:val="24"/>
          <w:szCs w:val="24"/>
          <w:highlight w:val="none"/>
          <w:lang w:eastAsia="zh-CN"/>
        </w:rPr>
        <w:t>、</w:t>
      </w:r>
      <w:r>
        <w:rPr>
          <w:rFonts w:hint="eastAsia" w:asciiTheme="minorEastAsia" w:hAnsiTheme="minorEastAsia" w:eastAsiaTheme="minorEastAsia" w:cstheme="minorEastAsia"/>
          <w:b/>
          <w:bCs/>
          <w:color w:val="auto"/>
          <w:sz w:val="24"/>
          <w:szCs w:val="24"/>
          <w:highlight w:val="none"/>
        </w:rPr>
        <w:t>交货地点：</w:t>
      </w:r>
      <w:r>
        <w:rPr>
          <w:rFonts w:hint="eastAsia" w:asciiTheme="minorEastAsia" w:hAnsiTheme="minorEastAsia" w:eastAsiaTheme="minorEastAsia" w:cstheme="minorEastAsia"/>
          <w:color w:val="auto"/>
          <w:sz w:val="24"/>
          <w:szCs w:val="24"/>
          <w:highlight w:val="none"/>
        </w:rPr>
        <w:t>采购人指定地点。</w:t>
      </w:r>
    </w:p>
    <w:p w14:paraId="2E490E68">
      <w:pPr>
        <w:pageBreakBefore w:val="0"/>
        <w:kinsoku w:val="0"/>
        <w:wordWrap/>
        <w:overflowPunct/>
        <w:topLinePunct w:val="0"/>
        <w:autoSpaceDE w:val="0"/>
        <w:autoSpaceDN w:val="0"/>
        <w:bidi w:val="0"/>
        <w:adjustRightInd w:val="0"/>
        <w:snapToGrid w:val="0"/>
        <w:spacing w:line="360" w:lineRule="auto"/>
        <w:ind w:firstLine="482" w:firstLineChars="200"/>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b/>
          <w:bCs/>
          <w:color w:val="auto"/>
          <w:sz w:val="24"/>
          <w:szCs w:val="24"/>
          <w:highlight w:val="none"/>
          <w:lang w:val="en-US" w:eastAsia="zh-CN"/>
        </w:rPr>
        <w:t>3</w:t>
      </w:r>
      <w:r>
        <w:rPr>
          <w:rFonts w:hint="eastAsia" w:asciiTheme="minorEastAsia" w:hAnsiTheme="minorEastAsia" w:eastAsiaTheme="minorEastAsia" w:cstheme="minorEastAsia"/>
          <w:b/>
          <w:bCs/>
          <w:color w:val="auto"/>
          <w:sz w:val="24"/>
          <w:szCs w:val="24"/>
          <w:highlight w:val="none"/>
          <w:lang w:eastAsia="zh-CN"/>
        </w:rPr>
        <w:t>、</w:t>
      </w:r>
      <w:r>
        <w:rPr>
          <w:rFonts w:hint="eastAsia" w:asciiTheme="minorEastAsia" w:hAnsiTheme="minorEastAsia" w:eastAsiaTheme="minorEastAsia" w:cstheme="minorEastAsia"/>
          <w:b/>
          <w:bCs/>
          <w:color w:val="auto"/>
          <w:sz w:val="24"/>
          <w:szCs w:val="24"/>
          <w:highlight w:val="none"/>
        </w:rPr>
        <w:t>付款方式：</w:t>
      </w:r>
      <w:r>
        <w:rPr>
          <w:rFonts w:hint="eastAsia" w:asciiTheme="minorEastAsia" w:hAnsiTheme="minorEastAsia" w:eastAsiaTheme="minorEastAsia" w:cstheme="minorEastAsia"/>
          <w:color w:val="auto"/>
          <w:sz w:val="24"/>
          <w:szCs w:val="24"/>
          <w:highlight w:val="none"/>
        </w:rPr>
        <w:t>合同签订后10个工作日内支付至合同金额的10%；货款支付按货物到场金额的80%支付，货物全部到场并安装调试完成，且验收合格后支付至合同总价的100%。</w:t>
      </w:r>
    </w:p>
    <w:p w14:paraId="57314425">
      <w:pPr>
        <w:pageBreakBefore w:val="0"/>
        <w:kinsoku w:val="0"/>
        <w:wordWrap/>
        <w:overflowPunct/>
        <w:topLinePunct w:val="0"/>
        <w:autoSpaceDE w:val="0"/>
        <w:autoSpaceDN w:val="0"/>
        <w:bidi w:val="0"/>
        <w:adjustRightInd w:val="0"/>
        <w:snapToGrid w:val="0"/>
        <w:spacing w:line="360" w:lineRule="auto"/>
        <w:ind w:firstLine="482" w:firstLineChars="200"/>
        <w:textAlignment w:val="baseline"/>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b/>
          <w:bCs/>
          <w:color w:val="auto"/>
          <w:sz w:val="24"/>
          <w:szCs w:val="24"/>
          <w:highlight w:val="none"/>
          <w:lang w:val="en-US" w:eastAsia="zh-CN"/>
        </w:rPr>
        <w:t>4、交货包装：</w:t>
      </w:r>
      <w:r>
        <w:rPr>
          <w:rFonts w:hint="eastAsia" w:asciiTheme="minorEastAsia" w:hAnsiTheme="minorEastAsia" w:eastAsiaTheme="minorEastAsia" w:cstheme="minorEastAsia"/>
          <w:color w:val="auto"/>
          <w:sz w:val="24"/>
          <w:szCs w:val="24"/>
          <w:highlight w:val="none"/>
          <w:lang w:val="en-US" w:eastAsia="zh-CN"/>
        </w:rPr>
        <w:t xml:space="preserve">所提供产品必须是全新的，货物送达时，由采购人自行验收货物型号、规格、数量、外观质量及货物包装完整无损，若验收结果不符合招标文件参数要求的，采购人有权拒绝验收，终止合同同时没收履约保证金并拒绝支付该批次货物款项，按照合同违约责任执行。 </w:t>
      </w:r>
    </w:p>
    <w:p w14:paraId="6A1375CB">
      <w:pPr>
        <w:pageBreakBefore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 xml:space="preserve">4.1、提供的全部产品均应均应采用本行业通用的方式进行包装，且该包装应符合国家有关包装的法律、法规的规定；这类包装应适应于远距离运输、防潮、防震、防锈和防野 蛮装卸，以确保货物安全无损运抵指定现场。由于包装不善所引起的货物锈蚀、损坏和损失 均由中标人负责。 </w:t>
      </w:r>
    </w:p>
    <w:p w14:paraId="4F77A0FD">
      <w:pPr>
        <w:pageBreakBefore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 xml:space="preserve">4.2、交货时，须提供设备的全部资料，如产品合格证、装箱单、使用说明书、出厂检验报告等。 </w:t>
      </w:r>
    </w:p>
    <w:p w14:paraId="157D02BA">
      <w:pPr>
        <w:pageBreakBefore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4.3、提供的全部货物所有附件必须都配备齐全。</w:t>
      </w:r>
    </w:p>
    <w:p w14:paraId="19BCAC4B">
      <w:pPr>
        <w:pStyle w:val="4"/>
        <w:pageBreakBefore w:val="0"/>
        <w:wordWrap/>
        <w:overflowPunct/>
        <w:topLinePunct w:val="0"/>
        <w:bidi w:val="0"/>
        <w:adjustRightInd w:val="0"/>
        <w:spacing w:line="360" w:lineRule="auto"/>
        <w:ind w:left="0" w:leftChars="0" w:right="0" w:rightChars="0" w:firstLine="462" w:firstLineChars="200"/>
        <w:jc w:val="left"/>
        <w:rPr>
          <w:rFonts w:hint="eastAsia" w:ascii="宋体" w:hAnsi="宋体" w:eastAsia="宋体" w:cs="宋体"/>
          <w:color w:val="auto"/>
          <w:spacing w:val="-5"/>
          <w:sz w:val="24"/>
          <w:szCs w:val="24"/>
          <w:highlight w:val="none"/>
        </w:rPr>
      </w:pPr>
      <w:r>
        <w:rPr>
          <w:rFonts w:hint="eastAsia" w:ascii="宋体" w:hAnsi="宋体" w:eastAsia="宋体" w:cs="宋体"/>
          <w:b/>
          <w:bCs/>
          <w:color w:val="auto"/>
          <w:spacing w:val="-5"/>
          <w:sz w:val="24"/>
          <w:szCs w:val="24"/>
          <w:highlight w:val="none"/>
          <w:lang w:val="en-US" w:eastAsia="zh-CN"/>
        </w:rPr>
        <w:t>5、</w:t>
      </w:r>
      <w:r>
        <w:rPr>
          <w:rFonts w:hint="eastAsia" w:ascii="宋体" w:hAnsi="宋体" w:eastAsia="宋体" w:cs="宋体"/>
          <w:b/>
          <w:bCs/>
          <w:color w:val="auto"/>
          <w:spacing w:val="-5"/>
          <w:sz w:val="24"/>
          <w:szCs w:val="24"/>
          <w:highlight w:val="none"/>
        </w:rPr>
        <w:t>货物安装调试完成以后</w:t>
      </w:r>
      <w:r>
        <w:rPr>
          <w:rFonts w:hint="eastAsia" w:ascii="宋体" w:hAnsi="宋体" w:eastAsia="宋体" w:cs="宋体"/>
          <w:color w:val="auto"/>
          <w:spacing w:val="-5"/>
          <w:sz w:val="24"/>
          <w:szCs w:val="24"/>
          <w:highlight w:val="none"/>
        </w:rPr>
        <w:t>，在</w:t>
      </w:r>
      <w:r>
        <w:rPr>
          <w:rFonts w:hint="eastAsia" w:ascii="宋体" w:hAnsi="宋体" w:eastAsia="宋体" w:cs="宋体"/>
          <w:color w:val="auto"/>
          <w:spacing w:val="-5"/>
          <w:sz w:val="24"/>
          <w:szCs w:val="24"/>
          <w:highlight w:val="none"/>
          <w:lang w:val="en-US" w:eastAsia="zh-CN"/>
        </w:rPr>
        <w:t>10日</w:t>
      </w:r>
      <w:r>
        <w:rPr>
          <w:rFonts w:hint="eastAsia" w:ascii="宋体" w:hAnsi="宋体" w:eastAsia="宋体" w:cs="宋体"/>
          <w:color w:val="auto"/>
          <w:spacing w:val="-5"/>
          <w:sz w:val="24"/>
          <w:szCs w:val="24"/>
          <w:highlight w:val="none"/>
        </w:rPr>
        <w:t>内由招标人（或其授权代表）组织技术专家或委托第三方专业机构对货物依照招标文件上的技术规格要求、以及国家有关标准进行验收；货物性能达到技术要求的，给予签收；验收合格后由招标人（或其授权代表）签署确认验收合格文件；全部技术资料等应当在验收合格后移交招标人。</w:t>
      </w:r>
    </w:p>
    <w:p w14:paraId="28E4346D">
      <w:pPr>
        <w:pStyle w:val="4"/>
        <w:pageBreakBefore w:val="0"/>
        <w:wordWrap/>
        <w:overflowPunct/>
        <w:topLinePunct w:val="0"/>
        <w:bidi w:val="0"/>
        <w:adjustRightInd w:val="0"/>
        <w:spacing w:line="360" w:lineRule="auto"/>
        <w:ind w:left="0" w:leftChars="0" w:right="0" w:rightChars="0" w:firstLine="460" w:firstLineChars="200"/>
        <w:jc w:val="left"/>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lang w:val="en-US" w:eastAsia="zh-CN"/>
        </w:rPr>
        <w:t>5.1、</w:t>
      </w:r>
      <w:r>
        <w:rPr>
          <w:rFonts w:hint="eastAsia" w:ascii="宋体" w:hAnsi="宋体" w:eastAsia="宋体" w:cs="宋体"/>
          <w:color w:val="auto"/>
          <w:spacing w:val="-5"/>
          <w:sz w:val="24"/>
          <w:szCs w:val="24"/>
          <w:highlight w:val="none"/>
        </w:rPr>
        <w:t xml:space="preserve"> 交付验收标准：依次序对照适用标准为：</w:t>
      </w:r>
    </w:p>
    <w:p w14:paraId="6A6DE87A">
      <w:pPr>
        <w:pStyle w:val="4"/>
        <w:pageBreakBefore w:val="0"/>
        <w:wordWrap/>
        <w:overflowPunct/>
        <w:topLinePunct w:val="0"/>
        <w:bidi w:val="0"/>
        <w:adjustRightInd w:val="0"/>
        <w:spacing w:line="360" w:lineRule="auto"/>
        <w:ind w:left="0" w:leftChars="0" w:right="0" w:rightChars="0" w:firstLine="480" w:firstLineChars="200"/>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①符合中华人民共和国国家安全质量标准、环保标准或行业标准；</w:t>
      </w:r>
    </w:p>
    <w:p w14:paraId="42E5661F">
      <w:pPr>
        <w:pStyle w:val="4"/>
        <w:pageBreakBefore w:val="0"/>
        <w:wordWrap/>
        <w:overflowPunct/>
        <w:topLinePunct w:val="0"/>
        <w:bidi w:val="0"/>
        <w:adjustRightInd w:val="0"/>
        <w:spacing w:line="360" w:lineRule="auto"/>
        <w:ind w:left="0" w:leftChars="0" w:right="0" w:rightChars="0" w:firstLine="480" w:firstLineChars="200"/>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②符合招标文件和投标承诺中招标人认可的合理最佳配置、参数及各项要求；</w:t>
      </w:r>
    </w:p>
    <w:p w14:paraId="0DB0E8EF">
      <w:pPr>
        <w:pStyle w:val="4"/>
        <w:pageBreakBefore w:val="0"/>
        <w:wordWrap/>
        <w:overflowPunct/>
        <w:topLinePunct w:val="0"/>
        <w:bidi w:val="0"/>
        <w:adjustRightInd w:val="0"/>
        <w:spacing w:line="360" w:lineRule="auto"/>
        <w:ind w:left="0" w:leftChars="0" w:right="0" w:rightChars="0" w:firstLine="480" w:firstLineChars="200"/>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5.2、</w:t>
      </w:r>
      <w:r>
        <w:rPr>
          <w:rFonts w:hint="eastAsia" w:ascii="宋体" w:hAnsi="宋体" w:eastAsia="宋体" w:cs="宋体"/>
          <w:color w:val="auto"/>
          <w:sz w:val="24"/>
          <w:szCs w:val="24"/>
          <w:highlight w:val="none"/>
        </w:rPr>
        <w:t xml:space="preserve">中标人须为验收提供必需的设备、工具及其他便利条件； </w:t>
      </w:r>
    </w:p>
    <w:p w14:paraId="053E69F6">
      <w:pPr>
        <w:pStyle w:val="4"/>
        <w:pageBreakBefore w:val="0"/>
        <w:wordWrap/>
        <w:overflowPunct/>
        <w:topLinePunct w:val="0"/>
        <w:bidi w:val="0"/>
        <w:adjustRightInd w:val="0"/>
        <w:spacing w:line="360" w:lineRule="auto"/>
        <w:ind w:left="0" w:leftChars="0" w:right="0" w:rightChars="0" w:firstLine="480" w:firstLineChars="200"/>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5.3、</w:t>
      </w:r>
      <w:r>
        <w:rPr>
          <w:rFonts w:hint="eastAsia" w:ascii="宋体" w:hAnsi="宋体" w:eastAsia="宋体" w:cs="宋体"/>
          <w:color w:val="auto"/>
          <w:sz w:val="24"/>
          <w:szCs w:val="24"/>
          <w:highlight w:val="none"/>
        </w:rPr>
        <w:t xml:space="preserve">在验收过程中发现数量不足或有质量、技术等问题，中标人应负责按照采购人的要求采取补足、更换或退货等措施妥善处理，并承担由此发生的一切费用和损失； </w:t>
      </w:r>
    </w:p>
    <w:p w14:paraId="64B5C147">
      <w:pPr>
        <w:pageBreakBefore w:val="0"/>
        <w:kinsoku w:val="0"/>
        <w:wordWrap/>
        <w:overflowPunct/>
        <w:topLinePunct w:val="0"/>
        <w:autoSpaceDE w:val="0"/>
        <w:autoSpaceDN w:val="0"/>
        <w:bidi w:val="0"/>
        <w:adjustRightInd w:val="0"/>
        <w:snapToGrid w:val="0"/>
        <w:spacing w:line="360" w:lineRule="auto"/>
        <w:ind w:firstLine="482" w:firstLineChars="200"/>
        <w:textAlignment w:val="baseline"/>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lang w:val="en-US" w:eastAsia="zh-CN"/>
        </w:rPr>
        <w:t>6、</w:t>
      </w:r>
      <w:r>
        <w:rPr>
          <w:rFonts w:hint="eastAsia" w:asciiTheme="minorEastAsia" w:hAnsiTheme="minorEastAsia" w:eastAsiaTheme="minorEastAsia" w:cstheme="minorEastAsia"/>
          <w:b/>
          <w:bCs/>
          <w:color w:val="auto"/>
          <w:sz w:val="24"/>
          <w:szCs w:val="24"/>
          <w:highlight w:val="none"/>
        </w:rPr>
        <w:t>售后服务</w:t>
      </w:r>
    </w:p>
    <w:p w14:paraId="50A4629F">
      <w:pPr>
        <w:pageBreakBefore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6</w:t>
      </w:r>
      <w:r>
        <w:rPr>
          <w:rFonts w:hint="eastAsia" w:asciiTheme="minorEastAsia" w:hAnsiTheme="minorEastAsia" w:eastAsiaTheme="minorEastAsia" w:cstheme="minorEastAsia"/>
          <w:color w:val="auto"/>
          <w:sz w:val="24"/>
          <w:szCs w:val="24"/>
          <w:highlight w:val="none"/>
        </w:rPr>
        <w:t>.1</w:t>
      </w:r>
      <w:r>
        <w:rPr>
          <w:rFonts w:hint="eastAsia" w:asciiTheme="minorEastAsia" w:hAnsiTheme="minorEastAsia" w:eastAsiaTheme="minorEastAsia" w:cstheme="minorEastAsia"/>
          <w:color w:val="auto"/>
          <w:sz w:val="24"/>
          <w:szCs w:val="24"/>
          <w:highlight w:val="none"/>
          <w:lang w:val="en-US" w:eastAsia="zh-CN"/>
        </w:rPr>
        <w:t>、</w:t>
      </w:r>
      <w:r>
        <w:rPr>
          <w:rFonts w:hint="eastAsia" w:asciiTheme="minorEastAsia" w:hAnsiTheme="minorEastAsia" w:eastAsiaTheme="minorEastAsia" w:cstheme="minorEastAsia"/>
          <w:color w:val="auto"/>
          <w:sz w:val="24"/>
          <w:szCs w:val="24"/>
          <w:highlight w:val="none"/>
        </w:rPr>
        <w:t xml:space="preserve"> 质量保修期 ：所投货物提供最低1年保修期（如制造商保修期超过一年的按制造商保修期保修）。（技术要求有规定的，以其规定为准，投标人有优于招标文件承诺的以其承诺为准）。不在保修范围内的附件、配件、易损品等，各投标人应在投标文件中单独列表说明，写出相应的保修期、更换单价，否则代表承诺免费保修期内免费更换附件 、配件、易损品等。保修期内，免费更换零配件、免工时费。</w:t>
      </w:r>
    </w:p>
    <w:p w14:paraId="114BFEA5">
      <w:pPr>
        <w:pageBreakBefore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6</w:t>
      </w:r>
      <w:r>
        <w:rPr>
          <w:rFonts w:hint="eastAsia" w:asciiTheme="minorEastAsia" w:hAnsiTheme="minorEastAsia" w:eastAsiaTheme="minorEastAsia" w:cstheme="minorEastAsia"/>
          <w:color w:val="auto"/>
          <w:sz w:val="24"/>
          <w:szCs w:val="24"/>
          <w:highlight w:val="none"/>
        </w:rPr>
        <w:t>.2</w:t>
      </w:r>
      <w:r>
        <w:rPr>
          <w:rFonts w:hint="eastAsia" w:asciiTheme="minorEastAsia" w:hAnsiTheme="minorEastAsia" w:eastAsiaTheme="minorEastAsia" w:cstheme="minorEastAsia"/>
          <w:color w:val="auto"/>
          <w:sz w:val="24"/>
          <w:szCs w:val="24"/>
          <w:highlight w:val="none"/>
          <w:lang w:val="en-US" w:eastAsia="zh-CN"/>
        </w:rPr>
        <w:t>、</w:t>
      </w:r>
      <w:r>
        <w:rPr>
          <w:rFonts w:hint="eastAsia" w:asciiTheme="minorEastAsia" w:hAnsiTheme="minorEastAsia" w:eastAsiaTheme="minorEastAsia" w:cstheme="minorEastAsia"/>
          <w:color w:val="auto"/>
          <w:sz w:val="24"/>
          <w:szCs w:val="24"/>
          <w:highlight w:val="none"/>
        </w:rPr>
        <w:t xml:space="preserve"> 所提供产品由工程师负责安装、调试、维修并负责现场操作及培训，直至用户能够正确使用。</w:t>
      </w:r>
    </w:p>
    <w:p w14:paraId="19B6EAC5">
      <w:pPr>
        <w:pageBreakBefore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6</w:t>
      </w:r>
      <w:r>
        <w:rPr>
          <w:rFonts w:hint="eastAsia" w:asciiTheme="minorEastAsia" w:hAnsiTheme="minorEastAsia" w:eastAsiaTheme="minorEastAsia" w:cstheme="minorEastAsia"/>
          <w:color w:val="auto"/>
          <w:sz w:val="24"/>
          <w:szCs w:val="24"/>
          <w:highlight w:val="none"/>
        </w:rPr>
        <w:t>.3</w:t>
      </w:r>
      <w:r>
        <w:rPr>
          <w:rFonts w:hint="eastAsia" w:asciiTheme="minorEastAsia" w:hAnsiTheme="minorEastAsia" w:eastAsiaTheme="minorEastAsia" w:cstheme="minorEastAsia"/>
          <w:color w:val="auto"/>
          <w:sz w:val="24"/>
          <w:szCs w:val="24"/>
          <w:highlight w:val="none"/>
          <w:lang w:val="en-US" w:eastAsia="zh-CN"/>
        </w:rPr>
        <w:t>、</w:t>
      </w:r>
      <w:r>
        <w:rPr>
          <w:rFonts w:hint="eastAsia" w:asciiTheme="minorEastAsia" w:hAnsiTheme="minorEastAsia" w:eastAsiaTheme="minorEastAsia" w:cstheme="minorEastAsia"/>
          <w:color w:val="auto"/>
          <w:sz w:val="24"/>
          <w:szCs w:val="24"/>
          <w:highlight w:val="none"/>
        </w:rPr>
        <w:t>发生质量问题的处理方式：免费保修期内，如果有因质量问题而引起的损坏，中标人应对货物予以维修或更换，全部服务费和更换货物或配件的费用由中标人承担，中标人如不能修理或不能调换，按货物原价赔偿处理。</w:t>
      </w:r>
    </w:p>
    <w:p w14:paraId="6ABED451">
      <w:pPr>
        <w:pageBreakBefore w:val="0"/>
        <w:kinsoku w:val="0"/>
        <w:wordWrap/>
        <w:overflowPunct/>
        <w:topLinePunct w:val="0"/>
        <w:autoSpaceDE w:val="0"/>
        <w:autoSpaceDN w:val="0"/>
        <w:bidi w:val="0"/>
        <w:adjustRightInd w:val="0"/>
        <w:snapToGrid w:val="0"/>
        <w:spacing w:line="360" w:lineRule="auto"/>
        <w:ind w:firstLine="476" w:firstLineChars="200"/>
        <w:textAlignment w:val="baseline"/>
        <w:rPr>
          <w:rFonts w:hint="eastAsia" w:asciiTheme="minorEastAsia" w:hAnsiTheme="minorEastAsia" w:eastAsiaTheme="minorEastAsia" w:cstheme="minorEastAsia"/>
          <w:color w:val="auto"/>
          <w:sz w:val="24"/>
          <w:szCs w:val="24"/>
          <w:highlight w:val="none"/>
        </w:rPr>
      </w:pPr>
      <w:r>
        <w:rPr>
          <w:rFonts w:hint="eastAsia" w:ascii="宋体" w:hAnsi="宋体" w:eastAsia="宋体" w:cs="宋体"/>
          <w:b/>
          <w:bCs/>
          <w:snapToGrid w:val="0"/>
          <w:color w:val="auto"/>
          <w:w w:val="99"/>
          <w:sz w:val="24"/>
          <w:szCs w:val="24"/>
          <w:highlight w:val="none"/>
          <w:lang w:val="en-US" w:eastAsia="zh-CN" w:bidi="ar-SA"/>
        </w:rPr>
        <w:t>7、</w:t>
      </w:r>
      <w:r>
        <w:rPr>
          <w:rFonts w:hint="eastAsia" w:ascii="宋体" w:hAnsi="宋体" w:eastAsia="宋体" w:cs="宋体"/>
          <w:b/>
          <w:bCs/>
          <w:color w:val="auto"/>
          <w:sz w:val="24"/>
          <w:szCs w:val="24"/>
          <w:highlight w:val="none"/>
        </w:rPr>
        <w:t xml:space="preserve">培训要求: </w:t>
      </w:r>
      <w:r>
        <w:rPr>
          <w:rFonts w:hint="eastAsia" w:ascii="宋体" w:hAnsi="宋体" w:eastAsia="宋体" w:cs="宋体"/>
          <w:color w:val="auto"/>
          <w:sz w:val="24"/>
          <w:szCs w:val="24"/>
          <w:highlight w:val="none"/>
        </w:rPr>
        <w:t>安装调试完毕后，内容应涉及产品的操作使用和保养、产品简易的故障判别及排除维修，应在采购人所在地对操作人员进行免费培训，使其能独立进行常规操作</w:t>
      </w:r>
      <w:r>
        <w:rPr>
          <w:rFonts w:hint="eastAsia" w:ascii="宋体" w:hAnsi="宋体" w:eastAsia="宋体" w:cs="宋体"/>
          <w:b/>
          <w:bCs/>
          <w:color w:val="auto"/>
          <w:sz w:val="24"/>
          <w:szCs w:val="24"/>
          <w:highlight w:val="none"/>
        </w:rPr>
        <w:t>。</w:t>
      </w:r>
    </w:p>
    <w:p w14:paraId="61D439E2">
      <w:pPr>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8</w:t>
      </w:r>
      <w:r>
        <w:rPr>
          <w:rFonts w:hint="eastAsia" w:asciiTheme="minorEastAsia" w:hAnsiTheme="minorEastAsia" w:eastAsiaTheme="minorEastAsia" w:cstheme="minorEastAsia"/>
          <w:color w:val="auto"/>
          <w:sz w:val="24"/>
          <w:szCs w:val="24"/>
          <w:highlight w:val="none"/>
        </w:rPr>
        <w:t>、其它未尽事宜，与采购人签订合同时再商议。</w:t>
      </w:r>
    </w:p>
    <w:p w14:paraId="228DE03E">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swiss"/>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D6E2FF7"/>
    <w:rsid w:val="4B382E79"/>
    <w:rsid w:val="708A26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spacing w:beforeLines="0" w:beforeAutospacing="0" w:afterLines="0" w:afterAutospacing="0" w:line="240" w:lineRule="auto"/>
      <w:jc w:val="left"/>
      <w:outlineLvl w:val="0"/>
    </w:pPr>
    <w:rPr>
      <w:rFonts w:eastAsia="仿宋" w:cs="Times New Roman" w:asciiTheme="minorAscii" w:hAnsiTheme="minorAscii"/>
      <w:b/>
      <w:kern w:val="44"/>
      <w:sz w:val="28"/>
    </w:rPr>
  </w:style>
  <w:style w:type="paragraph" w:styleId="3">
    <w:name w:val="heading 3"/>
    <w:basedOn w:val="1"/>
    <w:next w:val="1"/>
    <w:unhideWhenUsed/>
    <w:qFormat/>
    <w:uiPriority w:val="0"/>
    <w:pPr>
      <w:keepNext/>
      <w:keepLines/>
      <w:spacing w:beforeLines="0" w:beforeAutospacing="0" w:afterLines="0" w:afterAutospacing="0" w:line="360" w:lineRule="auto"/>
      <w:ind w:firstLine="0" w:firstLineChars="0"/>
      <w:outlineLvl w:val="2"/>
    </w:pPr>
    <w:rPr>
      <w:b/>
      <w:sz w:val="28"/>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4">
    <w:name w:val="Body Text"/>
    <w:basedOn w:val="1"/>
    <w:next w:val="5"/>
    <w:qFormat/>
    <w:uiPriority w:val="0"/>
    <w:rPr>
      <w:rFonts w:ascii="仿宋" w:hAnsi="仿宋" w:eastAsia="仿宋" w:cs="仿宋"/>
      <w:sz w:val="30"/>
      <w:szCs w:val="30"/>
    </w:rPr>
  </w:style>
  <w:style w:type="paragraph" w:styleId="5">
    <w:name w:val="Body Text First Indent"/>
    <w:basedOn w:val="4"/>
    <w:next w:val="1"/>
    <w:qFormat/>
    <w:uiPriority w:val="0"/>
    <w:pPr>
      <w:ind w:firstLine="420" w:firstLineChars="100"/>
    </w:pPr>
  </w:style>
  <w:style w:type="character" w:customStyle="1" w:styleId="8">
    <w:name w:val="font131"/>
    <w:basedOn w:val="7"/>
    <w:qFormat/>
    <w:uiPriority w:val="0"/>
    <w:rPr>
      <w:rFonts w:hint="default" w:ascii="Times New Roman" w:hAnsi="Times New Roman" w:cs="Times New Roman"/>
      <w:color w:val="000000"/>
      <w:sz w:val="18"/>
      <w:szCs w:val="18"/>
      <w:u w:val="none"/>
    </w:rPr>
  </w:style>
  <w:style w:type="character" w:customStyle="1" w:styleId="9">
    <w:name w:val="font15"/>
    <w:basedOn w:val="7"/>
    <w:qFormat/>
    <w:uiPriority w:val="0"/>
    <w:rPr>
      <w:rFonts w:hint="eastAsia" w:ascii="宋体" w:hAnsi="宋体" w:eastAsia="宋体" w:cs="宋体"/>
      <w:color w:val="000000"/>
      <w:sz w:val="18"/>
      <w:szCs w:val="18"/>
      <w:u w:val="none"/>
    </w:rPr>
  </w:style>
  <w:style w:type="character" w:customStyle="1" w:styleId="10">
    <w:name w:val="font141"/>
    <w:basedOn w:val="7"/>
    <w:qFormat/>
    <w:uiPriority w:val="0"/>
    <w:rPr>
      <w:rFonts w:hint="default" w:ascii="Times New Roman" w:hAnsi="Times New Roman" w:cs="Times New Roman"/>
      <w:color w:val="000000"/>
      <w:sz w:val="18"/>
      <w:szCs w:val="18"/>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28</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2025-12-15T01:00:00Z</dcterms:created>
  <dc:creator>Administrator</dc:creator>
  <cp:lastModifiedBy>Administrator</cp:lastModifiedBy>
  <dcterms:modified xsi:type="dcterms:W3CDTF">2026-06-16T09:11:36Z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A1A82FEABD674AE38C5D60F00E4D87C3_12</vt:lpwstr>
  </property>
  <property fmtid="{D5CDD505-2E9C-101B-9397-08002B2CF9AE}" pid="4" name="KSOTemplateDocerSaveRecord">
    <vt:lpwstr>eyJoZGlkIjoiZjI1NGM0Nzk3NzFjMzkzZmFjNDRkYjE1YjRjYTZhYTUiLCJ1c2VySWQiOiIxMTU4ODk5OTYxIn0=</vt:lpwstr>
  </property>
</Properties>
</file>