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670D83">
      <w:pPr>
        <w:pageBreakBefore w:val="0"/>
        <w:widowControl w:val="0"/>
        <w:wordWrap/>
        <w:overflowPunct/>
        <w:topLinePunct w:val="0"/>
        <w:bidi w:val="0"/>
        <w:spacing w:before="47" w:line="219" w:lineRule="auto"/>
        <w:jc w:val="center"/>
        <w:outlineLvl w:val="1"/>
        <w:rPr>
          <w:rFonts w:ascii="宋体" w:hAnsi="宋体" w:eastAsia="宋体" w:cs="宋体"/>
          <w:color w:val="auto"/>
          <w:spacing w:val="0"/>
          <w:w w:val="100"/>
          <w:position w:val="0"/>
          <w:sz w:val="24"/>
          <w:szCs w:val="24"/>
        </w:rPr>
      </w:pPr>
      <w:bookmarkStart w:id="0" w:name="_Toc8337"/>
      <w:bookmarkStart w:id="1" w:name="_Toc12773"/>
      <w:bookmarkStart w:id="2" w:name="_Toc13700"/>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二、采购需求</w:t>
      </w:r>
      <w:bookmarkEnd w:id="0"/>
      <w:bookmarkEnd w:id="1"/>
      <w:bookmarkEnd w:id="2"/>
    </w:p>
    <w:p w14:paraId="50EC529F">
      <w:pPr>
        <w:pageBreakBefore w:val="0"/>
        <w:widowControl w:val="0"/>
        <w:wordWrap/>
        <w:overflowPunct/>
        <w:topLinePunct w:val="0"/>
        <w:bidi w:val="0"/>
        <w:spacing w:line="258" w:lineRule="auto"/>
        <w:rPr>
          <w:color w:val="auto"/>
          <w:spacing w:val="0"/>
          <w:w w:val="100"/>
          <w:position w:val="0"/>
        </w:rPr>
      </w:pPr>
    </w:p>
    <w:p w14:paraId="4E33A97B">
      <w:pPr>
        <w:pageBreakBefore w:val="0"/>
        <w:widowControl w:val="0"/>
        <w:numPr>
          <w:ilvl w:val="0"/>
          <w:numId w:val="0"/>
        </w:numPr>
        <w:wordWrap/>
        <w:overflowPunct/>
        <w:topLinePunct w:val="0"/>
        <w:bidi w:val="0"/>
        <w:spacing w:before="78" w:line="219" w:lineRule="auto"/>
        <w:rPr>
          <w:rFonts w:hint="default"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（一）标的清单</w:t>
      </w:r>
    </w:p>
    <w:tbl>
      <w:tblPr>
        <w:tblStyle w:val="8"/>
        <w:tblW w:w="84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5"/>
        <w:gridCol w:w="825"/>
        <w:gridCol w:w="2418"/>
        <w:gridCol w:w="938"/>
        <w:gridCol w:w="806"/>
        <w:gridCol w:w="2232"/>
      </w:tblGrid>
      <w:tr w14:paraId="44DFC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5" w:hRule="atLeast"/>
          <w:tblHeader/>
          <w:jc w:val="center"/>
        </w:trPr>
        <w:tc>
          <w:tcPr>
            <w:tcW w:w="1265" w:type="dxa"/>
            <w:noWrap w:val="0"/>
            <w:vAlign w:val="center"/>
          </w:tcPr>
          <w:p w14:paraId="6ECF8DFF">
            <w:pPr>
              <w:widowControl/>
              <w:spacing w:line="360" w:lineRule="exact"/>
              <w:jc w:val="center"/>
              <w:rPr>
                <w:rFonts w:hint="eastAsia" w:ascii="宋体" w:hAnsi="宋体" w:eastAsia="宋体" w:cs="宋体"/>
                <w:b/>
                <w:bCs/>
                <w:color w:val="000000"/>
                <w:kern w:val="0"/>
                <w:sz w:val="21"/>
                <w:szCs w:val="21"/>
                <w:highlight w:val="none"/>
                <w:lang w:val="en-US" w:eastAsia="zh-CN" w:bidi="ar-SA"/>
              </w:rPr>
            </w:pPr>
            <w:r>
              <w:rPr>
                <w:rFonts w:hint="eastAsia" w:ascii="宋体" w:hAnsi="宋体" w:eastAsia="宋体" w:cs="宋体"/>
                <w:b/>
                <w:bCs/>
                <w:color w:val="000000"/>
                <w:kern w:val="0"/>
                <w:sz w:val="21"/>
                <w:szCs w:val="21"/>
                <w:highlight w:val="none"/>
                <w:lang w:val="en-US" w:eastAsia="zh-CN" w:bidi="ar-SA"/>
              </w:rPr>
              <w:t>包名称</w:t>
            </w:r>
          </w:p>
        </w:tc>
        <w:tc>
          <w:tcPr>
            <w:tcW w:w="825" w:type="dxa"/>
            <w:noWrap w:val="0"/>
            <w:vAlign w:val="center"/>
          </w:tcPr>
          <w:p w14:paraId="0CC25F2D">
            <w:pPr>
              <w:widowControl/>
              <w:spacing w:line="360" w:lineRule="exact"/>
              <w:jc w:val="center"/>
              <w:rPr>
                <w:rFonts w:hint="eastAsia" w:ascii="宋体" w:hAnsi="宋体" w:eastAsia="宋体" w:cs="宋体"/>
                <w:b/>
                <w:bCs/>
                <w:color w:val="000000"/>
                <w:kern w:val="0"/>
                <w:sz w:val="21"/>
                <w:szCs w:val="21"/>
                <w:highlight w:val="none"/>
                <w:lang w:val="en-US" w:eastAsia="zh-CN" w:bidi="ar-SA"/>
              </w:rPr>
            </w:pPr>
            <w:r>
              <w:rPr>
                <w:rFonts w:hint="eastAsia" w:ascii="宋体" w:hAnsi="宋体" w:eastAsia="宋体" w:cs="宋体"/>
                <w:b/>
                <w:bCs/>
                <w:color w:val="000000"/>
                <w:kern w:val="0"/>
                <w:sz w:val="21"/>
                <w:szCs w:val="21"/>
                <w:highlight w:val="none"/>
                <w:lang w:val="en-US" w:eastAsia="zh-CN" w:bidi="ar-SA"/>
              </w:rPr>
              <w:t>序号</w:t>
            </w:r>
          </w:p>
        </w:tc>
        <w:tc>
          <w:tcPr>
            <w:tcW w:w="2418" w:type="dxa"/>
            <w:noWrap w:val="0"/>
            <w:vAlign w:val="center"/>
          </w:tcPr>
          <w:p w14:paraId="355AE97A">
            <w:pPr>
              <w:widowControl/>
              <w:spacing w:line="360" w:lineRule="exact"/>
              <w:jc w:val="center"/>
              <w:rPr>
                <w:rFonts w:hint="eastAsia" w:ascii="宋体" w:hAnsi="宋体" w:eastAsia="宋体" w:cs="宋体"/>
                <w:b/>
                <w:bCs/>
                <w:color w:val="000000"/>
                <w:kern w:val="0"/>
                <w:sz w:val="21"/>
                <w:szCs w:val="21"/>
                <w:highlight w:val="none"/>
                <w:lang w:val="en-US" w:eastAsia="zh-CN" w:bidi="ar-SA"/>
              </w:rPr>
            </w:pPr>
            <w:r>
              <w:rPr>
                <w:rFonts w:hint="eastAsia" w:ascii="宋体" w:hAnsi="宋体" w:eastAsia="宋体" w:cs="宋体"/>
                <w:b/>
                <w:bCs/>
                <w:color w:val="000000"/>
                <w:kern w:val="0"/>
                <w:sz w:val="21"/>
                <w:szCs w:val="21"/>
                <w:highlight w:val="none"/>
                <w:lang w:val="en-US" w:eastAsia="zh-CN" w:bidi="ar-SA"/>
              </w:rPr>
              <w:t>分项项目名称</w:t>
            </w:r>
          </w:p>
        </w:tc>
        <w:tc>
          <w:tcPr>
            <w:tcW w:w="938" w:type="dxa"/>
            <w:noWrap w:val="0"/>
            <w:vAlign w:val="center"/>
          </w:tcPr>
          <w:p w14:paraId="1067DA64">
            <w:pPr>
              <w:widowControl/>
              <w:spacing w:line="360" w:lineRule="exact"/>
              <w:jc w:val="center"/>
              <w:rPr>
                <w:rFonts w:hint="eastAsia" w:ascii="宋体" w:hAnsi="宋体" w:eastAsia="宋体" w:cs="宋体"/>
                <w:b/>
                <w:bCs/>
                <w:color w:val="000000"/>
                <w:kern w:val="0"/>
                <w:sz w:val="21"/>
                <w:szCs w:val="21"/>
                <w:highlight w:val="none"/>
                <w:lang w:val="en-US" w:eastAsia="zh-CN" w:bidi="ar-SA"/>
              </w:rPr>
            </w:pPr>
            <w:r>
              <w:rPr>
                <w:rFonts w:hint="eastAsia" w:ascii="宋体" w:hAnsi="宋体" w:eastAsia="宋体" w:cs="宋体"/>
                <w:b/>
                <w:bCs/>
                <w:color w:val="000000"/>
                <w:kern w:val="0"/>
                <w:sz w:val="21"/>
                <w:szCs w:val="21"/>
                <w:highlight w:val="none"/>
                <w:lang w:val="en-US" w:eastAsia="zh-CN" w:bidi="ar-SA"/>
              </w:rPr>
              <w:t>单位</w:t>
            </w:r>
          </w:p>
        </w:tc>
        <w:tc>
          <w:tcPr>
            <w:tcW w:w="806" w:type="dxa"/>
            <w:noWrap w:val="0"/>
            <w:vAlign w:val="center"/>
          </w:tcPr>
          <w:p w14:paraId="3784406B">
            <w:pPr>
              <w:widowControl/>
              <w:spacing w:line="360" w:lineRule="exact"/>
              <w:jc w:val="center"/>
              <w:rPr>
                <w:rFonts w:hint="eastAsia" w:ascii="宋体" w:hAnsi="宋体" w:eastAsia="宋体" w:cs="宋体"/>
                <w:b/>
                <w:bCs/>
                <w:color w:val="000000"/>
                <w:kern w:val="0"/>
                <w:sz w:val="21"/>
                <w:szCs w:val="21"/>
                <w:highlight w:val="none"/>
                <w:lang w:val="en-US" w:eastAsia="zh-CN" w:bidi="ar-SA"/>
              </w:rPr>
            </w:pPr>
            <w:r>
              <w:rPr>
                <w:rFonts w:hint="eastAsia" w:ascii="宋体" w:hAnsi="宋体" w:eastAsia="宋体" w:cs="宋体"/>
                <w:b/>
                <w:bCs/>
                <w:color w:val="000000"/>
                <w:kern w:val="0"/>
                <w:sz w:val="21"/>
                <w:szCs w:val="21"/>
                <w:highlight w:val="none"/>
                <w:lang w:val="en-US" w:eastAsia="zh-CN" w:bidi="ar-SA"/>
              </w:rPr>
              <w:t>数量</w:t>
            </w:r>
          </w:p>
        </w:tc>
        <w:tc>
          <w:tcPr>
            <w:tcW w:w="2232" w:type="dxa"/>
            <w:noWrap w:val="0"/>
            <w:vAlign w:val="center"/>
          </w:tcPr>
          <w:p w14:paraId="4F955EEF">
            <w:pPr>
              <w:widowControl/>
              <w:spacing w:line="360" w:lineRule="exact"/>
              <w:jc w:val="center"/>
              <w:rPr>
                <w:rFonts w:hint="eastAsia" w:ascii="宋体" w:hAnsi="宋体" w:eastAsia="宋体" w:cs="宋体"/>
                <w:b/>
                <w:bCs/>
                <w:color w:val="000000"/>
                <w:kern w:val="0"/>
                <w:sz w:val="21"/>
                <w:szCs w:val="21"/>
                <w:highlight w:val="none"/>
                <w:lang w:val="en-US" w:eastAsia="zh-CN" w:bidi="ar-SA"/>
              </w:rPr>
            </w:pPr>
            <w:r>
              <w:rPr>
                <w:rFonts w:hint="eastAsia" w:ascii="宋体" w:hAnsi="宋体"/>
                <w:b/>
                <w:bCs/>
                <w:color w:val="auto"/>
                <w:highlight w:val="none"/>
                <w:lang w:eastAsia="zh-CN"/>
              </w:rPr>
              <w:t>采购标的对应的中小企业划分标准所属行业</w:t>
            </w:r>
          </w:p>
        </w:tc>
      </w:tr>
      <w:tr w14:paraId="30D7D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jc w:val="center"/>
        </w:trPr>
        <w:tc>
          <w:tcPr>
            <w:tcW w:w="1265" w:type="dxa"/>
            <w:vMerge w:val="restart"/>
            <w:noWrap w:val="0"/>
            <w:vAlign w:val="center"/>
          </w:tcPr>
          <w:p w14:paraId="634E6C48">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江西省2025年全国农作物病虫疫情监测分中心（省级）田间监测点建设项目包1</w:t>
            </w:r>
          </w:p>
        </w:tc>
        <w:tc>
          <w:tcPr>
            <w:tcW w:w="825" w:type="dxa"/>
            <w:noWrap w:val="0"/>
            <w:vAlign w:val="center"/>
          </w:tcPr>
          <w:p w14:paraId="78906A36">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1</w:t>
            </w:r>
          </w:p>
        </w:tc>
        <w:tc>
          <w:tcPr>
            <w:tcW w:w="2418" w:type="dxa"/>
            <w:noWrap w:val="0"/>
            <w:vAlign w:val="center"/>
          </w:tcPr>
          <w:p w14:paraId="387DEBE6">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农作物病虫害实时监控物联网系统</w:t>
            </w:r>
          </w:p>
        </w:tc>
        <w:tc>
          <w:tcPr>
            <w:tcW w:w="938" w:type="dxa"/>
            <w:noWrap w:val="0"/>
            <w:vAlign w:val="center"/>
          </w:tcPr>
          <w:p w14:paraId="2F90EDC3">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套</w:t>
            </w:r>
          </w:p>
        </w:tc>
        <w:tc>
          <w:tcPr>
            <w:tcW w:w="806" w:type="dxa"/>
            <w:noWrap w:val="0"/>
            <w:vAlign w:val="center"/>
          </w:tcPr>
          <w:p w14:paraId="0B776478">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8</w:t>
            </w:r>
          </w:p>
        </w:tc>
        <w:tc>
          <w:tcPr>
            <w:tcW w:w="2232" w:type="dxa"/>
            <w:noWrap w:val="0"/>
            <w:vAlign w:val="center"/>
          </w:tcPr>
          <w:p w14:paraId="2D2CEB1A">
            <w:pPr>
              <w:widowControl w:val="0"/>
              <w:kinsoku/>
              <w:wordWrap w:val="0"/>
              <w:topLinePunct/>
              <w:autoSpaceDE/>
              <w:autoSpaceDN/>
              <w:spacing w:line="44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color w:val="auto"/>
                <w:highlight w:val="none"/>
                <w:lang w:val="en-US" w:eastAsia="zh-CN"/>
              </w:rPr>
              <w:t>工业</w:t>
            </w:r>
          </w:p>
        </w:tc>
      </w:tr>
      <w:tr w14:paraId="051EB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5" w:hRule="atLeast"/>
          <w:jc w:val="center"/>
        </w:trPr>
        <w:tc>
          <w:tcPr>
            <w:tcW w:w="1265" w:type="dxa"/>
            <w:vMerge w:val="continue"/>
            <w:noWrap w:val="0"/>
            <w:vAlign w:val="center"/>
          </w:tcPr>
          <w:p w14:paraId="0AA33D6A">
            <w:pPr>
              <w:widowControl/>
              <w:spacing w:line="360" w:lineRule="exact"/>
              <w:jc w:val="center"/>
              <w:rPr>
                <w:rFonts w:hint="eastAsia" w:ascii="宋体" w:hAnsi="宋体" w:eastAsia="宋体" w:cs="宋体"/>
                <w:color w:val="000000"/>
                <w:kern w:val="0"/>
                <w:sz w:val="21"/>
                <w:szCs w:val="21"/>
                <w:highlight w:val="none"/>
                <w:lang w:val="en-US" w:eastAsia="zh-CN" w:bidi="ar-SA"/>
              </w:rPr>
            </w:pPr>
          </w:p>
        </w:tc>
        <w:tc>
          <w:tcPr>
            <w:tcW w:w="825" w:type="dxa"/>
            <w:noWrap w:val="0"/>
            <w:vAlign w:val="center"/>
          </w:tcPr>
          <w:p w14:paraId="5267A8D2">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2</w:t>
            </w:r>
          </w:p>
        </w:tc>
        <w:tc>
          <w:tcPr>
            <w:tcW w:w="2418" w:type="dxa"/>
            <w:noWrap w:val="0"/>
            <w:vAlign w:val="center"/>
          </w:tcPr>
          <w:p w14:paraId="17E6667F">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虫情信息自动采集传输系统</w:t>
            </w:r>
          </w:p>
        </w:tc>
        <w:tc>
          <w:tcPr>
            <w:tcW w:w="938" w:type="dxa"/>
            <w:noWrap w:val="0"/>
            <w:vAlign w:val="center"/>
          </w:tcPr>
          <w:p w14:paraId="6BD78A5C">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套</w:t>
            </w:r>
          </w:p>
        </w:tc>
        <w:tc>
          <w:tcPr>
            <w:tcW w:w="806" w:type="dxa"/>
            <w:noWrap w:val="0"/>
            <w:vAlign w:val="center"/>
          </w:tcPr>
          <w:p w14:paraId="76AE4472">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22</w:t>
            </w:r>
          </w:p>
        </w:tc>
        <w:tc>
          <w:tcPr>
            <w:tcW w:w="2232" w:type="dxa"/>
            <w:noWrap w:val="0"/>
            <w:vAlign w:val="center"/>
          </w:tcPr>
          <w:p w14:paraId="5EE2BC95">
            <w:pPr>
              <w:widowControl w:val="0"/>
              <w:kinsoku/>
              <w:wordWrap w:val="0"/>
              <w:topLinePunct/>
              <w:autoSpaceDE/>
              <w:autoSpaceDN/>
              <w:spacing w:line="44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color w:val="auto"/>
                <w:highlight w:val="none"/>
                <w:lang w:val="en-US" w:eastAsia="zh-CN"/>
              </w:rPr>
              <w:t>工业</w:t>
            </w:r>
          </w:p>
        </w:tc>
      </w:tr>
      <w:tr w14:paraId="75A866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65" w:type="dxa"/>
            <w:vMerge w:val="continue"/>
            <w:noWrap w:val="0"/>
            <w:vAlign w:val="center"/>
          </w:tcPr>
          <w:p w14:paraId="5EFAFF53">
            <w:pPr>
              <w:widowControl/>
              <w:spacing w:line="360" w:lineRule="exact"/>
              <w:jc w:val="center"/>
              <w:rPr>
                <w:rFonts w:hint="eastAsia" w:ascii="宋体" w:hAnsi="宋体" w:eastAsia="宋体" w:cs="宋体"/>
                <w:color w:val="000000"/>
                <w:kern w:val="0"/>
                <w:sz w:val="21"/>
                <w:szCs w:val="21"/>
                <w:highlight w:val="none"/>
                <w:lang w:val="en-US" w:eastAsia="zh-CN" w:bidi="ar-SA"/>
              </w:rPr>
            </w:pPr>
          </w:p>
        </w:tc>
        <w:tc>
          <w:tcPr>
            <w:tcW w:w="825" w:type="dxa"/>
            <w:noWrap w:val="0"/>
            <w:vAlign w:val="center"/>
          </w:tcPr>
          <w:p w14:paraId="54B3E931">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3</w:t>
            </w:r>
          </w:p>
        </w:tc>
        <w:tc>
          <w:tcPr>
            <w:tcW w:w="2418" w:type="dxa"/>
            <w:noWrap w:val="0"/>
            <w:vAlign w:val="center"/>
          </w:tcPr>
          <w:p w14:paraId="3FEB2974">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害虫性诱自动诱捕器</w:t>
            </w:r>
          </w:p>
        </w:tc>
        <w:tc>
          <w:tcPr>
            <w:tcW w:w="938" w:type="dxa"/>
            <w:noWrap w:val="0"/>
            <w:vAlign w:val="center"/>
          </w:tcPr>
          <w:p w14:paraId="33B7AD42">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套</w:t>
            </w:r>
          </w:p>
        </w:tc>
        <w:tc>
          <w:tcPr>
            <w:tcW w:w="806" w:type="dxa"/>
            <w:noWrap w:val="0"/>
            <w:vAlign w:val="center"/>
          </w:tcPr>
          <w:p w14:paraId="3A911F4B">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22</w:t>
            </w:r>
          </w:p>
        </w:tc>
        <w:tc>
          <w:tcPr>
            <w:tcW w:w="2232" w:type="dxa"/>
            <w:noWrap w:val="0"/>
            <w:vAlign w:val="center"/>
          </w:tcPr>
          <w:p w14:paraId="36B45413">
            <w:pPr>
              <w:widowControl w:val="0"/>
              <w:kinsoku/>
              <w:wordWrap w:val="0"/>
              <w:topLinePunct/>
              <w:autoSpaceDE/>
              <w:autoSpaceDN/>
              <w:spacing w:line="44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color w:val="auto"/>
                <w:highlight w:val="none"/>
                <w:lang w:val="en-US" w:eastAsia="zh-CN"/>
              </w:rPr>
              <w:t>工业</w:t>
            </w:r>
          </w:p>
        </w:tc>
      </w:tr>
      <w:tr w14:paraId="3568B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65" w:type="dxa"/>
            <w:vMerge w:val="continue"/>
            <w:noWrap w:val="0"/>
            <w:vAlign w:val="center"/>
          </w:tcPr>
          <w:p w14:paraId="06F2BC34">
            <w:pPr>
              <w:widowControl/>
              <w:spacing w:line="360" w:lineRule="exact"/>
              <w:jc w:val="center"/>
              <w:rPr>
                <w:rFonts w:hint="eastAsia" w:ascii="宋体" w:hAnsi="宋体" w:eastAsia="宋体" w:cs="宋体"/>
                <w:color w:val="000000"/>
                <w:kern w:val="0"/>
                <w:sz w:val="21"/>
                <w:szCs w:val="21"/>
                <w:highlight w:val="none"/>
                <w:lang w:val="en-US" w:eastAsia="zh-CN" w:bidi="ar-SA"/>
              </w:rPr>
            </w:pPr>
          </w:p>
        </w:tc>
        <w:tc>
          <w:tcPr>
            <w:tcW w:w="825" w:type="dxa"/>
            <w:noWrap w:val="0"/>
            <w:vAlign w:val="center"/>
          </w:tcPr>
          <w:p w14:paraId="45001F90">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4</w:t>
            </w:r>
          </w:p>
        </w:tc>
        <w:tc>
          <w:tcPr>
            <w:tcW w:w="2418" w:type="dxa"/>
            <w:noWrap w:val="0"/>
            <w:vAlign w:val="center"/>
          </w:tcPr>
          <w:p w14:paraId="732F7904">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小虫体智能测报系统</w:t>
            </w:r>
          </w:p>
        </w:tc>
        <w:tc>
          <w:tcPr>
            <w:tcW w:w="938" w:type="dxa"/>
            <w:noWrap w:val="0"/>
            <w:vAlign w:val="center"/>
          </w:tcPr>
          <w:p w14:paraId="6A0B70B1">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套</w:t>
            </w:r>
          </w:p>
        </w:tc>
        <w:tc>
          <w:tcPr>
            <w:tcW w:w="806" w:type="dxa"/>
            <w:noWrap w:val="0"/>
            <w:vAlign w:val="center"/>
          </w:tcPr>
          <w:p w14:paraId="65F02B59">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8</w:t>
            </w:r>
          </w:p>
        </w:tc>
        <w:tc>
          <w:tcPr>
            <w:tcW w:w="2232" w:type="dxa"/>
            <w:noWrap w:val="0"/>
            <w:vAlign w:val="center"/>
          </w:tcPr>
          <w:p w14:paraId="5CAE4BFF">
            <w:pPr>
              <w:widowControl w:val="0"/>
              <w:kinsoku/>
              <w:wordWrap w:val="0"/>
              <w:topLinePunct/>
              <w:autoSpaceDE/>
              <w:autoSpaceDN/>
              <w:spacing w:line="44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color w:val="auto"/>
                <w:highlight w:val="none"/>
                <w:lang w:val="en-US" w:eastAsia="zh-CN"/>
              </w:rPr>
              <w:t>工业</w:t>
            </w:r>
          </w:p>
        </w:tc>
      </w:tr>
      <w:tr w14:paraId="09725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65" w:type="dxa"/>
            <w:vMerge w:val="continue"/>
            <w:noWrap w:val="0"/>
            <w:vAlign w:val="center"/>
          </w:tcPr>
          <w:p w14:paraId="78AC7BF6">
            <w:pPr>
              <w:widowControl/>
              <w:spacing w:line="360" w:lineRule="exact"/>
              <w:jc w:val="center"/>
              <w:rPr>
                <w:rFonts w:hint="eastAsia" w:ascii="宋体" w:hAnsi="宋体" w:eastAsia="宋体" w:cs="宋体"/>
                <w:color w:val="000000"/>
                <w:kern w:val="0"/>
                <w:sz w:val="21"/>
                <w:szCs w:val="21"/>
                <w:highlight w:val="none"/>
                <w:lang w:val="en-US" w:eastAsia="zh-CN" w:bidi="ar-SA"/>
              </w:rPr>
            </w:pPr>
          </w:p>
        </w:tc>
        <w:tc>
          <w:tcPr>
            <w:tcW w:w="825" w:type="dxa"/>
            <w:noWrap w:val="0"/>
            <w:vAlign w:val="center"/>
          </w:tcPr>
          <w:p w14:paraId="0A6047C5">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5</w:t>
            </w:r>
          </w:p>
        </w:tc>
        <w:tc>
          <w:tcPr>
            <w:tcW w:w="2418" w:type="dxa"/>
            <w:noWrap w:val="0"/>
            <w:vAlign w:val="center"/>
          </w:tcPr>
          <w:p w14:paraId="2B1732EC">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小气候监测仪</w:t>
            </w:r>
          </w:p>
        </w:tc>
        <w:tc>
          <w:tcPr>
            <w:tcW w:w="938" w:type="dxa"/>
            <w:noWrap w:val="0"/>
            <w:vAlign w:val="center"/>
          </w:tcPr>
          <w:p w14:paraId="693063B3">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套</w:t>
            </w:r>
          </w:p>
        </w:tc>
        <w:tc>
          <w:tcPr>
            <w:tcW w:w="806" w:type="dxa"/>
            <w:noWrap w:val="0"/>
            <w:vAlign w:val="center"/>
          </w:tcPr>
          <w:p w14:paraId="51323AA1">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22</w:t>
            </w:r>
          </w:p>
        </w:tc>
        <w:tc>
          <w:tcPr>
            <w:tcW w:w="2232" w:type="dxa"/>
            <w:noWrap w:val="0"/>
            <w:vAlign w:val="center"/>
          </w:tcPr>
          <w:p w14:paraId="0AEEA52B">
            <w:pPr>
              <w:widowControl w:val="0"/>
              <w:kinsoku/>
              <w:wordWrap w:val="0"/>
              <w:topLinePunct/>
              <w:autoSpaceDE/>
              <w:autoSpaceDN/>
              <w:spacing w:line="44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color w:val="auto"/>
                <w:highlight w:val="none"/>
                <w:lang w:val="en-US" w:eastAsia="zh-CN"/>
              </w:rPr>
              <w:t>工业</w:t>
            </w:r>
          </w:p>
        </w:tc>
      </w:tr>
      <w:tr w14:paraId="5F86E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265" w:type="dxa"/>
            <w:vMerge w:val="continue"/>
            <w:noWrap w:val="0"/>
            <w:vAlign w:val="center"/>
          </w:tcPr>
          <w:p w14:paraId="2E5DD104">
            <w:pPr>
              <w:widowControl/>
              <w:spacing w:line="360" w:lineRule="exact"/>
              <w:jc w:val="center"/>
              <w:rPr>
                <w:rFonts w:hint="eastAsia" w:ascii="宋体" w:hAnsi="宋体" w:eastAsia="宋体" w:cs="宋体"/>
                <w:color w:val="000000"/>
                <w:kern w:val="0"/>
                <w:sz w:val="21"/>
                <w:szCs w:val="21"/>
                <w:highlight w:val="none"/>
                <w:lang w:val="en-US" w:eastAsia="zh-CN" w:bidi="ar-SA"/>
              </w:rPr>
            </w:pPr>
          </w:p>
        </w:tc>
        <w:tc>
          <w:tcPr>
            <w:tcW w:w="825" w:type="dxa"/>
            <w:noWrap w:val="0"/>
            <w:vAlign w:val="center"/>
          </w:tcPr>
          <w:p w14:paraId="31C9B3BE">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6</w:t>
            </w:r>
          </w:p>
        </w:tc>
        <w:tc>
          <w:tcPr>
            <w:tcW w:w="2418" w:type="dxa"/>
            <w:noWrap w:val="0"/>
            <w:vAlign w:val="center"/>
          </w:tcPr>
          <w:p w14:paraId="2ECEEB48">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农林生态远程实时监测系统</w:t>
            </w:r>
          </w:p>
        </w:tc>
        <w:tc>
          <w:tcPr>
            <w:tcW w:w="938" w:type="dxa"/>
            <w:noWrap w:val="0"/>
            <w:vAlign w:val="center"/>
          </w:tcPr>
          <w:p w14:paraId="5655ABAC">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套</w:t>
            </w:r>
          </w:p>
        </w:tc>
        <w:tc>
          <w:tcPr>
            <w:tcW w:w="806" w:type="dxa"/>
            <w:noWrap w:val="0"/>
            <w:vAlign w:val="center"/>
          </w:tcPr>
          <w:p w14:paraId="5F97ACC0">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22</w:t>
            </w:r>
          </w:p>
        </w:tc>
        <w:tc>
          <w:tcPr>
            <w:tcW w:w="2232" w:type="dxa"/>
            <w:noWrap w:val="0"/>
            <w:vAlign w:val="center"/>
          </w:tcPr>
          <w:p w14:paraId="69DE1E94">
            <w:pPr>
              <w:widowControl w:val="0"/>
              <w:kinsoku/>
              <w:wordWrap w:val="0"/>
              <w:topLinePunct/>
              <w:autoSpaceDE/>
              <w:autoSpaceDN/>
              <w:spacing w:line="44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color w:val="auto"/>
                <w:highlight w:val="none"/>
                <w:lang w:val="en-US" w:eastAsia="zh-CN"/>
              </w:rPr>
              <w:t>工业</w:t>
            </w:r>
          </w:p>
        </w:tc>
      </w:tr>
      <w:tr w14:paraId="7F9BE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7" w:hRule="atLeast"/>
          <w:jc w:val="center"/>
        </w:trPr>
        <w:tc>
          <w:tcPr>
            <w:tcW w:w="1265" w:type="dxa"/>
            <w:vMerge w:val="continue"/>
            <w:noWrap w:val="0"/>
            <w:vAlign w:val="center"/>
          </w:tcPr>
          <w:p w14:paraId="1651372A">
            <w:pPr>
              <w:widowControl/>
              <w:spacing w:line="360" w:lineRule="exact"/>
              <w:jc w:val="center"/>
              <w:rPr>
                <w:rFonts w:hint="eastAsia" w:ascii="宋体" w:hAnsi="宋体" w:eastAsia="宋体" w:cs="宋体"/>
                <w:color w:val="000000"/>
                <w:kern w:val="0"/>
                <w:sz w:val="21"/>
                <w:szCs w:val="21"/>
                <w:highlight w:val="none"/>
                <w:lang w:val="en-US" w:eastAsia="zh-CN" w:bidi="ar-SA"/>
              </w:rPr>
            </w:pPr>
          </w:p>
        </w:tc>
        <w:tc>
          <w:tcPr>
            <w:tcW w:w="825" w:type="dxa"/>
            <w:noWrap w:val="0"/>
            <w:vAlign w:val="center"/>
          </w:tcPr>
          <w:p w14:paraId="4892F1CF">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7</w:t>
            </w:r>
          </w:p>
        </w:tc>
        <w:tc>
          <w:tcPr>
            <w:tcW w:w="2418" w:type="dxa"/>
            <w:noWrap w:val="0"/>
            <w:vAlign w:val="center"/>
          </w:tcPr>
          <w:p w14:paraId="380DC7CD">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田间可移动智能监测调查工具</w:t>
            </w:r>
          </w:p>
        </w:tc>
        <w:tc>
          <w:tcPr>
            <w:tcW w:w="938" w:type="dxa"/>
            <w:noWrap w:val="0"/>
            <w:vAlign w:val="center"/>
          </w:tcPr>
          <w:p w14:paraId="7A00DFB7">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套</w:t>
            </w:r>
          </w:p>
        </w:tc>
        <w:tc>
          <w:tcPr>
            <w:tcW w:w="806" w:type="dxa"/>
            <w:noWrap w:val="0"/>
            <w:vAlign w:val="center"/>
          </w:tcPr>
          <w:p w14:paraId="3B7DF7AF">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8</w:t>
            </w:r>
          </w:p>
        </w:tc>
        <w:tc>
          <w:tcPr>
            <w:tcW w:w="2232" w:type="dxa"/>
            <w:noWrap w:val="0"/>
            <w:vAlign w:val="center"/>
          </w:tcPr>
          <w:p w14:paraId="58F627AF">
            <w:pPr>
              <w:widowControl w:val="0"/>
              <w:kinsoku/>
              <w:wordWrap w:val="0"/>
              <w:topLinePunct/>
              <w:autoSpaceDE/>
              <w:autoSpaceDN/>
              <w:spacing w:line="44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color w:val="auto"/>
                <w:highlight w:val="none"/>
                <w:lang w:val="en-US" w:eastAsia="zh-CN"/>
              </w:rPr>
              <w:t>工业</w:t>
            </w:r>
          </w:p>
        </w:tc>
      </w:tr>
      <w:tr w14:paraId="0B1E59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265" w:type="dxa"/>
            <w:vMerge w:val="continue"/>
            <w:noWrap w:val="0"/>
            <w:vAlign w:val="center"/>
          </w:tcPr>
          <w:p w14:paraId="2E291B4D">
            <w:pPr>
              <w:widowControl/>
              <w:spacing w:line="360" w:lineRule="exact"/>
              <w:jc w:val="center"/>
              <w:rPr>
                <w:rFonts w:hint="eastAsia" w:ascii="宋体" w:hAnsi="宋体" w:eastAsia="宋体" w:cs="宋体"/>
                <w:color w:val="000000"/>
                <w:kern w:val="0"/>
                <w:sz w:val="21"/>
                <w:szCs w:val="21"/>
                <w:highlight w:val="none"/>
                <w:lang w:val="en-US" w:eastAsia="zh-CN" w:bidi="ar-SA"/>
              </w:rPr>
            </w:pPr>
          </w:p>
        </w:tc>
        <w:tc>
          <w:tcPr>
            <w:tcW w:w="825" w:type="dxa"/>
            <w:noWrap w:val="0"/>
            <w:vAlign w:val="center"/>
          </w:tcPr>
          <w:p w14:paraId="171E5DF1">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8</w:t>
            </w:r>
          </w:p>
        </w:tc>
        <w:tc>
          <w:tcPr>
            <w:tcW w:w="2418" w:type="dxa"/>
            <w:noWrap w:val="0"/>
            <w:vAlign w:val="center"/>
          </w:tcPr>
          <w:p w14:paraId="188D9F72">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鼠害物联网智能监测系统</w:t>
            </w:r>
          </w:p>
        </w:tc>
        <w:tc>
          <w:tcPr>
            <w:tcW w:w="938" w:type="dxa"/>
            <w:noWrap w:val="0"/>
            <w:vAlign w:val="center"/>
          </w:tcPr>
          <w:p w14:paraId="25967E5E">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套</w:t>
            </w:r>
          </w:p>
        </w:tc>
        <w:tc>
          <w:tcPr>
            <w:tcW w:w="806" w:type="dxa"/>
            <w:noWrap w:val="0"/>
            <w:vAlign w:val="center"/>
          </w:tcPr>
          <w:p w14:paraId="49AA3353">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8</w:t>
            </w:r>
          </w:p>
        </w:tc>
        <w:tc>
          <w:tcPr>
            <w:tcW w:w="2232" w:type="dxa"/>
            <w:noWrap w:val="0"/>
            <w:vAlign w:val="center"/>
          </w:tcPr>
          <w:p w14:paraId="4CE1483A">
            <w:pPr>
              <w:widowControl w:val="0"/>
              <w:kinsoku/>
              <w:wordWrap w:val="0"/>
              <w:topLinePunct/>
              <w:autoSpaceDE/>
              <w:autoSpaceDN/>
              <w:spacing w:line="44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color w:val="auto"/>
                <w:highlight w:val="none"/>
                <w:lang w:val="en-US" w:eastAsia="zh-CN"/>
              </w:rPr>
              <w:t>工业</w:t>
            </w:r>
          </w:p>
        </w:tc>
      </w:tr>
      <w:tr w14:paraId="5379B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65" w:type="dxa"/>
            <w:vMerge w:val="continue"/>
            <w:noWrap w:val="0"/>
            <w:vAlign w:val="center"/>
          </w:tcPr>
          <w:p w14:paraId="6909C0EA">
            <w:pPr>
              <w:widowControl/>
              <w:spacing w:line="360" w:lineRule="exact"/>
              <w:jc w:val="center"/>
              <w:rPr>
                <w:rFonts w:hint="eastAsia" w:ascii="宋体" w:hAnsi="宋体" w:eastAsia="宋体" w:cs="宋体"/>
                <w:color w:val="000000"/>
                <w:kern w:val="0"/>
                <w:sz w:val="21"/>
                <w:szCs w:val="21"/>
                <w:highlight w:val="none"/>
                <w:lang w:val="en-US" w:eastAsia="zh-CN" w:bidi="ar-SA"/>
              </w:rPr>
            </w:pPr>
          </w:p>
        </w:tc>
        <w:tc>
          <w:tcPr>
            <w:tcW w:w="825" w:type="dxa"/>
            <w:noWrap w:val="0"/>
            <w:vAlign w:val="center"/>
          </w:tcPr>
          <w:p w14:paraId="56ECE1C9">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9</w:t>
            </w:r>
          </w:p>
        </w:tc>
        <w:tc>
          <w:tcPr>
            <w:tcW w:w="2418" w:type="dxa"/>
            <w:noWrap w:val="0"/>
            <w:vAlign w:val="center"/>
          </w:tcPr>
          <w:p w14:paraId="519D155B">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病虫害调查工具箱</w:t>
            </w:r>
          </w:p>
        </w:tc>
        <w:tc>
          <w:tcPr>
            <w:tcW w:w="938" w:type="dxa"/>
            <w:noWrap w:val="0"/>
            <w:vAlign w:val="center"/>
          </w:tcPr>
          <w:p w14:paraId="6604DA7B">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套</w:t>
            </w:r>
          </w:p>
        </w:tc>
        <w:tc>
          <w:tcPr>
            <w:tcW w:w="806" w:type="dxa"/>
            <w:noWrap w:val="0"/>
            <w:vAlign w:val="center"/>
          </w:tcPr>
          <w:p w14:paraId="1A085573">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22</w:t>
            </w:r>
          </w:p>
        </w:tc>
        <w:tc>
          <w:tcPr>
            <w:tcW w:w="2232" w:type="dxa"/>
            <w:noWrap w:val="0"/>
            <w:vAlign w:val="center"/>
          </w:tcPr>
          <w:p w14:paraId="2A668B9F">
            <w:pPr>
              <w:widowControl w:val="0"/>
              <w:kinsoku/>
              <w:wordWrap w:val="0"/>
              <w:topLinePunct/>
              <w:autoSpaceDE/>
              <w:autoSpaceDN/>
              <w:spacing w:line="44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color w:val="auto"/>
                <w:highlight w:val="none"/>
                <w:lang w:val="en-US" w:eastAsia="zh-CN"/>
              </w:rPr>
              <w:t>工业</w:t>
            </w:r>
          </w:p>
        </w:tc>
      </w:tr>
      <w:tr w14:paraId="78165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65" w:type="dxa"/>
            <w:vMerge w:val="continue"/>
            <w:noWrap w:val="0"/>
            <w:vAlign w:val="center"/>
          </w:tcPr>
          <w:p w14:paraId="715E14F8">
            <w:pPr>
              <w:widowControl/>
              <w:spacing w:line="360" w:lineRule="exact"/>
              <w:jc w:val="center"/>
              <w:rPr>
                <w:rFonts w:hint="eastAsia" w:ascii="宋体" w:hAnsi="宋体" w:eastAsia="宋体" w:cs="宋体"/>
                <w:color w:val="000000"/>
                <w:kern w:val="0"/>
                <w:sz w:val="21"/>
                <w:szCs w:val="21"/>
                <w:highlight w:val="none"/>
                <w:lang w:val="en-US" w:eastAsia="zh-CN" w:bidi="ar-SA"/>
              </w:rPr>
            </w:pPr>
          </w:p>
        </w:tc>
        <w:tc>
          <w:tcPr>
            <w:tcW w:w="825" w:type="dxa"/>
            <w:noWrap w:val="0"/>
            <w:vAlign w:val="center"/>
          </w:tcPr>
          <w:p w14:paraId="2876A53A">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10</w:t>
            </w:r>
          </w:p>
        </w:tc>
        <w:tc>
          <w:tcPr>
            <w:tcW w:w="2418" w:type="dxa"/>
            <w:noWrap w:val="0"/>
            <w:vAlign w:val="center"/>
          </w:tcPr>
          <w:p w14:paraId="405BC53A">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工具房</w:t>
            </w:r>
          </w:p>
        </w:tc>
        <w:tc>
          <w:tcPr>
            <w:tcW w:w="938" w:type="dxa"/>
            <w:noWrap w:val="0"/>
            <w:vAlign w:val="center"/>
          </w:tcPr>
          <w:p w14:paraId="288C77AA">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平方米</w:t>
            </w:r>
          </w:p>
        </w:tc>
        <w:tc>
          <w:tcPr>
            <w:tcW w:w="806" w:type="dxa"/>
            <w:noWrap w:val="0"/>
            <w:vAlign w:val="center"/>
          </w:tcPr>
          <w:p w14:paraId="594297C7">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132</w:t>
            </w:r>
          </w:p>
        </w:tc>
        <w:tc>
          <w:tcPr>
            <w:tcW w:w="2232" w:type="dxa"/>
            <w:noWrap w:val="0"/>
            <w:vAlign w:val="center"/>
          </w:tcPr>
          <w:p w14:paraId="400F8765">
            <w:pPr>
              <w:widowControl w:val="0"/>
              <w:kinsoku/>
              <w:wordWrap w:val="0"/>
              <w:topLinePunct/>
              <w:autoSpaceDE/>
              <w:autoSpaceDN/>
              <w:spacing w:line="44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color w:val="auto"/>
                <w:highlight w:val="none"/>
                <w:lang w:eastAsia="zh-CN"/>
              </w:rPr>
              <w:t>其他未列明行业</w:t>
            </w:r>
          </w:p>
        </w:tc>
      </w:tr>
      <w:tr w14:paraId="28EE1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65" w:type="dxa"/>
            <w:vMerge w:val="continue"/>
            <w:noWrap w:val="0"/>
            <w:vAlign w:val="center"/>
          </w:tcPr>
          <w:p w14:paraId="2ECC64ED">
            <w:pPr>
              <w:widowControl/>
              <w:spacing w:line="360" w:lineRule="exact"/>
              <w:jc w:val="center"/>
              <w:rPr>
                <w:rFonts w:hint="eastAsia" w:ascii="宋体" w:hAnsi="宋体" w:eastAsia="宋体" w:cs="宋体"/>
                <w:color w:val="000000"/>
                <w:kern w:val="0"/>
                <w:sz w:val="21"/>
                <w:szCs w:val="21"/>
                <w:highlight w:val="none"/>
                <w:lang w:val="en-US" w:eastAsia="zh-CN" w:bidi="ar-SA"/>
              </w:rPr>
            </w:pPr>
          </w:p>
        </w:tc>
        <w:tc>
          <w:tcPr>
            <w:tcW w:w="825" w:type="dxa"/>
            <w:noWrap w:val="0"/>
            <w:vAlign w:val="center"/>
          </w:tcPr>
          <w:p w14:paraId="13D103B3">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11</w:t>
            </w:r>
          </w:p>
        </w:tc>
        <w:tc>
          <w:tcPr>
            <w:tcW w:w="2418" w:type="dxa"/>
            <w:noWrap w:val="0"/>
            <w:vAlign w:val="center"/>
          </w:tcPr>
          <w:p w14:paraId="06A7578C">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围栏</w:t>
            </w:r>
          </w:p>
        </w:tc>
        <w:tc>
          <w:tcPr>
            <w:tcW w:w="938" w:type="dxa"/>
            <w:noWrap w:val="0"/>
            <w:vAlign w:val="center"/>
          </w:tcPr>
          <w:p w14:paraId="0B566156">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米</w:t>
            </w:r>
          </w:p>
        </w:tc>
        <w:tc>
          <w:tcPr>
            <w:tcW w:w="806" w:type="dxa"/>
            <w:noWrap w:val="0"/>
            <w:vAlign w:val="center"/>
          </w:tcPr>
          <w:p w14:paraId="001A397C">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528</w:t>
            </w:r>
          </w:p>
        </w:tc>
        <w:tc>
          <w:tcPr>
            <w:tcW w:w="2232" w:type="dxa"/>
            <w:noWrap w:val="0"/>
            <w:vAlign w:val="center"/>
          </w:tcPr>
          <w:p w14:paraId="74A33830">
            <w:pPr>
              <w:widowControl w:val="0"/>
              <w:kinsoku/>
              <w:wordWrap w:val="0"/>
              <w:topLinePunct/>
              <w:autoSpaceDE/>
              <w:autoSpaceDN/>
              <w:spacing w:line="44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color w:val="auto"/>
                <w:highlight w:val="none"/>
                <w:lang w:eastAsia="zh-CN"/>
              </w:rPr>
              <w:t>其他未列明行业</w:t>
            </w:r>
          </w:p>
        </w:tc>
      </w:tr>
      <w:tr w14:paraId="32F66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65" w:type="dxa"/>
            <w:vMerge w:val="continue"/>
            <w:noWrap w:val="0"/>
            <w:vAlign w:val="center"/>
          </w:tcPr>
          <w:p w14:paraId="318A9092">
            <w:pPr>
              <w:widowControl/>
              <w:spacing w:line="360" w:lineRule="exact"/>
              <w:jc w:val="center"/>
              <w:rPr>
                <w:rFonts w:hint="eastAsia" w:ascii="宋体" w:hAnsi="宋体" w:eastAsia="宋体" w:cs="宋体"/>
                <w:color w:val="000000"/>
                <w:kern w:val="0"/>
                <w:sz w:val="21"/>
                <w:szCs w:val="21"/>
                <w:highlight w:val="none"/>
                <w:lang w:val="en-US" w:eastAsia="zh-CN" w:bidi="ar-SA"/>
              </w:rPr>
            </w:pPr>
          </w:p>
        </w:tc>
        <w:tc>
          <w:tcPr>
            <w:tcW w:w="825" w:type="dxa"/>
            <w:noWrap w:val="0"/>
            <w:vAlign w:val="center"/>
          </w:tcPr>
          <w:p w14:paraId="6AD90909">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12</w:t>
            </w:r>
          </w:p>
        </w:tc>
        <w:tc>
          <w:tcPr>
            <w:tcW w:w="2418" w:type="dxa"/>
            <w:noWrap w:val="0"/>
            <w:vAlign w:val="center"/>
          </w:tcPr>
          <w:p w14:paraId="5AC7D2BC">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安装供电工程</w:t>
            </w:r>
          </w:p>
        </w:tc>
        <w:tc>
          <w:tcPr>
            <w:tcW w:w="938" w:type="dxa"/>
            <w:noWrap w:val="0"/>
            <w:vAlign w:val="center"/>
          </w:tcPr>
          <w:p w14:paraId="3E75AC20">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套</w:t>
            </w:r>
          </w:p>
        </w:tc>
        <w:tc>
          <w:tcPr>
            <w:tcW w:w="806" w:type="dxa"/>
            <w:noWrap w:val="0"/>
            <w:vAlign w:val="center"/>
          </w:tcPr>
          <w:p w14:paraId="1FBDB226">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22</w:t>
            </w:r>
          </w:p>
        </w:tc>
        <w:tc>
          <w:tcPr>
            <w:tcW w:w="2232" w:type="dxa"/>
            <w:noWrap w:val="0"/>
            <w:vAlign w:val="center"/>
          </w:tcPr>
          <w:p w14:paraId="30360471">
            <w:pPr>
              <w:widowControl w:val="0"/>
              <w:kinsoku/>
              <w:wordWrap w:val="0"/>
              <w:topLinePunct/>
              <w:autoSpaceDE/>
              <w:autoSpaceDN/>
              <w:spacing w:line="44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color w:val="auto"/>
                <w:highlight w:val="none"/>
                <w:lang w:eastAsia="zh-CN"/>
              </w:rPr>
              <w:t>其他未列明行业</w:t>
            </w:r>
          </w:p>
        </w:tc>
      </w:tr>
      <w:tr w14:paraId="31100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65" w:type="dxa"/>
            <w:vMerge w:val="continue"/>
            <w:shd w:val="clear" w:color="auto" w:fill="auto"/>
            <w:noWrap w:val="0"/>
            <w:vAlign w:val="center"/>
          </w:tcPr>
          <w:p w14:paraId="3189E2AB">
            <w:pPr>
              <w:widowControl/>
              <w:spacing w:line="360" w:lineRule="exact"/>
              <w:jc w:val="center"/>
              <w:rPr>
                <w:rFonts w:hint="eastAsia" w:ascii="宋体" w:hAnsi="宋体" w:eastAsia="宋体" w:cs="宋体"/>
                <w:color w:val="000000"/>
                <w:kern w:val="0"/>
                <w:sz w:val="21"/>
                <w:szCs w:val="21"/>
                <w:highlight w:val="none"/>
                <w:lang w:val="en-US" w:eastAsia="zh-CN" w:bidi="ar-SA"/>
              </w:rPr>
            </w:pPr>
          </w:p>
        </w:tc>
        <w:tc>
          <w:tcPr>
            <w:tcW w:w="825" w:type="dxa"/>
            <w:shd w:val="clear" w:color="auto" w:fill="auto"/>
            <w:noWrap w:val="0"/>
            <w:vAlign w:val="center"/>
          </w:tcPr>
          <w:p w14:paraId="62B3DCD5">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13</w:t>
            </w:r>
          </w:p>
        </w:tc>
        <w:tc>
          <w:tcPr>
            <w:tcW w:w="2418" w:type="dxa"/>
            <w:shd w:val="clear" w:color="000000" w:fill="FFFFFF"/>
            <w:noWrap w:val="0"/>
            <w:vAlign w:val="center"/>
          </w:tcPr>
          <w:p w14:paraId="7BE45020">
            <w:pPr>
              <w:widowControl/>
              <w:adjustRightInd w:val="0"/>
              <w:snapToGrid w:val="0"/>
              <w:spacing w:beforeLines="15" w:afterLines="15" w:line="260" w:lineRule="exact"/>
              <w:jc w:val="center"/>
              <w:textAlignment w:val="center"/>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 xml:space="preserve">病虫害调查电动车          </w:t>
            </w:r>
          </w:p>
        </w:tc>
        <w:tc>
          <w:tcPr>
            <w:tcW w:w="938" w:type="dxa"/>
            <w:shd w:val="clear" w:color="000000" w:fill="FFFFFF"/>
            <w:noWrap w:val="0"/>
            <w:vAlign w:val="center"/>
          </w:tcPr>
          <w:p w14:paraId="0A5E1547">
            <w:pPr>
              <w:widowControl/>
              <w:adjustRightInd w:val="0"/>
              <w:snapToGrid w:val="0"/>
              <w:spacing w:beforeLines="15" w:afterLines="15" w:line="260" w:lineRule="exact"/>
              <w:jc w:val="center"/>
              <w:textAlignment w:val="center"/>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辆</w:t>
            </w:r>
          </w:p>
        </w:tc>
        <w:tc>
          <w:tcPr>
            <w:tcW w:w="806" w:type="dxa"/>
            <w:shd w:val="clear" w:color="000000" w:fill="FFFFFF"/>
            <w:noWrap w:val="0"/>
            <w:vAlign w:val="center"/>
          </w:tcPr>
          <w:p w14:paraId="1AD4DFD4">
            <w:pPr>
              <w:widowControl/>
              <w:adjustRightInd w:val="0"/>
              <w:snapToGrid w:val="0"/>
              <w:spacing w:beforeLines="15" w:afterLines="15" w:line="260" w:lineRule="exact"/>
              <w:jc w:val="center"/>
              <w:textAlignment w:val="center"/>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bidi="ar-SA"/>
              </w:rPr>
              <w:t>16</w:t>
            </w:r>
          </w:p>
        </w:tc>
        <w:tc>
          <w:tcPr>
            <w:tcW w:w="2232" w:type="dxa"/>
            <w:noWrap w:val="0"/>
            <w:vAlign w:val="center"/>
          </w:tcPr>
          <w:p w14:paraId="69E72D0E">
            <w:pPr>
              <w:widowControl w:val="0"/>
              <w:kinsoku/>
              <w:wordWrap w:val="0"/>
              <w:topLinePunct/>
              <w:autoSpaceDE/>
              <w:autoSpaceDN/>
              <w:spacing w:line="440" w:lineRule="exact"/>
              <w:jc w:val="center"/>
              <w:rPr>
                <w:rFonts w:hint="eastAsia" w:ascii="宋体" w:hAnsi="宋体" w:eastAsia="宋体" w:cs="宋体"/>
                <w:color w:val="auto"/>
                <w:kern w:val="0"/>
                <w:sz w:val="21"/>
                <w:szCs w:val="21"/>
                <w:highlight w:val="none"/>
                <w:lang w:val="en-US" w:eastAsia="zh-CN" w:bidi="ar-SA"/>
              </w:rPr>
            </w:pPr>
            <w:r>
              <w:rPr>
                <w:rFonts w:hint="eastAsia" w:ascii="宋体" w:hAnsi="宋体"/>
                <w:color w:val="auto"/>
                <w:highlight w:val="none"/>
                <w:lang w:val="en-US" w:eastAsia="zh-CN"/>
              </w:rPr>
              <w:t>工业</w:t>
            </w:r>
          </w:p>
        </w:tc>
      </w:tr>
      <w:tr w14:paraId="06DDD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65" w:type="dxa"/>
            <w:vMerge w:val="continue"/>
            <w:noWrap w:val="0"/>
            <w:vAlign w:val="center"/>
          </w:tcPr>
          <w:p w14:paraId="6BD06077">
            <w:pPr>
              <w:widowControl/>
              <w:spacing w:line="360" w:lineRule="exact"/>
              <w:jc w:val="center"/>
              <w:rPr>
                <w:rFonts w:hint="eastAsia" w:ascii="宋体" w:hAnsi="宋体" w:eastAsia="宋体" w:cs="宋体"/>
                <w:color w:val="000000"/>
                <w:kern w:val="0"/>
                <w:sz w:val="21"/>
                <w:szCs w:val="21"/>
                <w:highlight w:val="none"/>
                <w:lang w:val="en-US" w:eastAsia="zh-CN" w:bidi="ar-SA"/>
              </w:rPr>
            </w:pPr>
          </w:p>
        </w:tc>
        <w:tc>
          <w:tcPr>
            <w:tcW w:w="825" w:type="dxa"/>
            <w:noWrap w:val="0"/>
            <w:vAlign w:val="center"/>
          </w:tcPr>
          <w:p w14:paraId="42665F50">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14</w:t>
            </w:r>
          </w:p>
        </w:tc>
        <w:tc>
          <w:tcPr>
            <w:tcW w:w="2418" w:type="dxa"/>
            <w:noWrap w:val="0"/>
            <w:vAlign w:val="center"/>
          </w:tcPr>
          <w:p w14:paraId="6A285095">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auto"/>
                <w:kern w:val="0"/>
                <w:sz w:val="21"/>
                <w:szCs w:val="21"/>
                <w:highlight w:val="none"/>
                <w:lang w:val="en-US" w:eastAsia="zh-CN"/>
              </w:rPr>
              <w:t>数码生物显微镜</w:t>
            </w:r>
          </w:p>
        </w:tc>
        <w:tc>
          <w:tcPr>
            <w:tcW w:w="938" w:type="dxa"/>
            <w:noWrap w:val="0"/>
            <w:vAlign w:val="center"/>
          </w:tcPr>
          <w:p w14:paraId="6F9179D9">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台</w:t>
            </w:r>
          </w:p>
        </w:tc>
        <w:tc>
          <w:tcPr>
            <w:tcW w:w="806" w:type="dxa"/>
            <w:noWrap w:val="0"/>
            <w:vAlign w:val="center"/>
          </w:tcPr>
          <w:p w14:paraId="385C17C7">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4</w:t>
            </w:r>
          </w:p>
        </w:tc>
        <w:tc>
          <w:tcPr>
            <w:tcW w:w="2232" w:type="dxa"/>
            <w:noWrap w:val="0"/>
            <w:vAlign w:val="center"/>
          </w:tcPr>
          <w:p w14:paraId="1A766F9D">
            <w:pPr>
              <w:widowControl w:val="0"/>
              <w:kinsoku/>
              <w:wordWrap w:val="0"/>
              <w:topLinePunct/>
              <w:autoSpaceDE/>
              <w:autoSpaceDN/>
              <w:spacing w:line="44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color w:val="auto"/>
                <w:highlight w:val="none"/>
                <w:lang w:val="en-US" w:eastAsia="zh-CN"/>
              </w:rPr>
              <w:t>工业</w:t>
            </w:r>
          </w:p>
        </w:tc>
      </w:tr>
      <w:tr w14:paraId="55035E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2" w:hRule="atLeast"/>
          <w:jc w:val="center"/>
        </w:trPr>
        <w:tc>
          <w:tcPr>
            <w:tcW w:w="1265" w:type="dxa"/>
            <w:vMerge w:val="continue"/>
            <w:noWrap w:val="0"/>
            <w:vAlign w:val="center"/>
          </w:tcPr>
          <w:p w14:paraId="1756A5C8">
            <w:pPr>
              <w:widowControl/>
              <w:spacing w:line="360" w:lineRule="exact"/>
              <w:jc w:val="center"/>
              <w:rPr>
                <w:rFonts w:hint="eastAsia" w:ascii="宋体" w:hAnsi="宋体" w:eastAsia="宋体" w:cs="宋体"/>
                <w:color w:val="000000"/>
                <w:kern w:val="0"/>
                <w:sz w:val="21"/>
                <w:szCs w:val="21"/>
                <w:highlight w:val="none"/>
                <w:lang w:val="en-US" w:eastAsia="zh-CN" w:bidi="ar-SA"/>
              </w:rPr>
            </w:pPr>
          </w:p>
        </w:tc>
        <w:tc>
          <w:tcPr>
            <w:tcW w:w="825" w:type="dxa"/>
            <w:noWrap w:val="0"/>
            <w:vAlign w:val="center"/>
          </w:tcPr>
          <w:p w14:paraId="2D924AD3">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15</w:t>
            </w:r>
          </w:p>
        </w:tc>
        <w:tc>
          <w:tcPr>
            <w:tcW w:w="2418" w:type="dxa"/>
            <w:noWrap w:val="0"/>
            <w:vAlign w:val="center"/>
          </w:tcPr>
          <w:p w14:paraId="169347C9">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县级农作物病虫疫情监测预警信息系统</w:t>
            </w:r>
          </w:p>
        </w:tc>
        <w:tc>
          <w:tcPr>
            <w:tcW w:w="938" w:type="dxa"/>
            <w:noWrap w:val="0"/>
            <w:vAlign w:val="center"/>
          </w:tcPr>
          <w:p w14:paraId="26833EAB">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套</w:t>
            </w:r>
          </w:p>
        </w:tc>
        <w:tc>
          <w:tcPr>
            <w:tcW w:w="806" w:type="dxa"/>
            <w:noWrap w:val="0"/>
            <w:vAlign w:val="center"/>
          </w:tcPr>
          <w:p w14:paraId="4B6A5D7A">
            <w:pPr>
              <w:widowControl/>
              <w:spacing w:line="36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4</w:t>
            </w:r>
          </w:p>
        </w:tc>
        <w:tc>
          <w:tcPr>
            <w:tcW w:w="2232" w:type="dxa"/>
            <w:noWrap w:val="0"/>
            <w:vAlign w:val="center"/>
          </w:tcPr>
          <w:p w14:paraId="21205715">
            <w:pPr>
              <w:widowControl w:val="0"/>
              <w:kinsoku/>
              <w:wordWrap w:val="0"/>
              <w:topLinePunct/>
              <w:autoSpaceDE/>
              <w:autoSpaceDN/>
              <w:spacing w:line="440" w:lineRule="exact"/>
              <w:jc w:val="center"/>
              <w:rPr>
                <w:rFonts w:hint="eastAsia" w:ascii="宋体" w:hAnsi="宋体" w:eastAsia="宋体" w:cs="宋体"/>
                <w:color w:val="000000"/>
                <w:kern w:val="0"/>
                <w:sz w:val="21"/>
                <w:szCs w:val="21"/>
                <w:highlight w:val="none"/>
                <w:lang w:val="en-US" w:eastAsia="zh-CN" w:bidi="ar-SA"/>
              </w:rPr>
            </w:pPr>
            <w:r>
              <w:rPr>
                <w:rFonts w:hint="eastAsia" w:ascii="宋体" w:hAnsi="宋体"/>
                <w:color w:val="auto"/>
                <w:highlight w:val="none"/>
                <w:lang w:val="en-US" w:eastAsia="zh-CN"/>
              </w:rPr>
              <w:t>工业</w:t>
            </w:r>
          </w:p>
        </w:tc>
      </w:tr>
    </w:tbl>
    <w:p w14:paraId="52CC44C0">
      <w:pPr>
        <w:pageBreakBefore w:val="0"/>
        <w:widowControl w:val="0"/>
        <w:wordWrap/>
        <w:overflowPunct/>
        <w:topLinePunct w:val="0"/>
        <w:bidi w:val="0"/>
        <w:spacing w:line="242" w:lineRule="auto"/>
        <w:rPr>
          <w:color w:val="auto"/>
          <w:spacing w:val="0"/>
          <w:w w:val="100"/>
          <w:position w:val="0"/>
        </w:rPr>
      </w:pPr>
    </w:p>
    <w:p w14:paraId="4967E802">
      <w:pPr>
        <w:pageBreakBefore w:val="0"/>
        <w:widowControl w:val="0"/>
        <w:wordWrap/>
        <w:overflowPunct/>
        <w:topLinePunct w:val="0"/>
        <w:bidi w:val="0"/>
        <w:spacing w:line="242" w:lineRule="auto"/>
        <w:rPr>
          <w:color w:val="auto"/>
          <w:spacing w:val="0"/>
          <w:w w:val="100"/>
          <w:position w:val="0"/>
        </w:rPr>
      </w:pPr>
    </w:p>
    <w:p w14:paraId="6974FB9B">
      <w:pPr>
        <w:pageBreakBefore w:val="0"/>
        <w:widowControl w:val="0"/>
        <w:numPr>
          <w:ilvl w:val="0"/>
          <w:numId w:val="0"/>
        </w:numPr>
        <w:wordWrap/>
        <w:overflowPunct/>
        <w:topLinePunct w:val="0"/>
        <w:bidi w:val="0"/>
        <w:spacing w:before="78" w:line="219" w:lineRule="auto"/>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二、技术要求</w:t>
      </w:r>
    </w:p>
    <w:p w14:paraId="4838B26D">
      <w:pPr>
        <w:pageBreakBefore w:val="0"/>
        <w:widowControl w:val="0"/>
        <w:numPr>
          <w:ilvl w:val="0"/>
          <w:numId w:val="0"/>
        </w:numPr>
        <w:wordWrap/>
        <w:overflowPunct/>
        <w:topLinePunct w:val="0"/>
        <w:bidi w:val="0"/>
        <w:spacing w:before="78" w:line="219" w:lineRule="auto"/>
        <w:rPr>
          <w:rFonts w:hint="eastAsia" w:ascii="宋体" w:hAnsi="宋体" w:eastAsia="宋体" w:cs="宋体"/>
          <w:color w:val="auto"/>
          <w:spacing w:val="0"/>
          <w:w w:val="100"/>
          <w:position w:val="0"/>
          <w:sz w:val="24"/>
          <w:szCs w:val="24"/>
          <w:lang w:val="en-US" w:eastAsia="zh-CN"/>
        </w:rPr>
      </w:pPr>
    </w:p>
    <w:p w14:paraId="7D1987C6">
      <w:pPr>
        <w:pageBreakBefore w:val="0"/>
        <w:widowControl w:val="0"/>
        <w:numPr>
          <w:ilvl w:val="0"/>
          <w:numId w:val="0"/>
        </w:numPr>
        <w:wordWrap/>
        <w:overflowPunct/>
        <w:topLinePunct w:val="0"/>
        <w:bidi w:val="0"/>
        <w:spacing w:before="78" w:line="219" w:lineRule="auto"/>
        <w:rPr>
          <w:rFonts w:hint="eastAsia" w:ascii="宋体" w:hAnsi="宋体" w:eastAsia="宋体" w:cs="宋体"/>
          <w:color w:val="auto"/>
          <w:spacing w:val="0"/>
          <w:w w:val="100"/>
          <w:position w:val="0"/>
          <w:sz w:val="24"/>
          <w:szCs w:val="24"/>
          <w:lang w:val="en-US" w:eastAsia="zh-CN"/>
        </w:rPr>
      </w:pPr>
    </w:p>
    <w:p w14:paraId="6AC1AD49">
      <w:pPr>
        <w:pageBreakBefore w:val="0"/>
        <w:widowControl w:val="0"/>
        <w:numPr>
          <w:ilvl w:val="0"/>
          <w:numId w:val="0"/>
        </w:numPr>
        <w:wordWrap/>
        <w:overflowPunct/>
        <w:topLinePunct w:val="0"/>
        <w:bidi w:val="0"/>
        <w:spacing w:before="78" w:line="219" w:lineRule="auto"/>
        <w:rPr>
          <w:rFonts w:hint="eastAsia" w:ascii="宋体" w:hAnsi="宋体" w:eastAsia="宋体" w:cs="宋体"/>
          <w:color w:val="auto"/>
          <w:spacing w:val="0"/>
          <w:w w:val="100"/>
          <w:position w:val="0"/>
          <w:sz w:val="24"/>
          <w:szCs w:val="24"/>
          <w:lang w:val="en-US" w:eastAsia="zh-CN"/>
        </w:rPr>
      </w:pPr>
    </w:p>
    <w:tbl>
      <w:tblPr>
        <w:tblStyle w:val="7"/>
        <w:tblW w:w="502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2"/>
        <w:gridCol w:w="904"/>
        <w:gridCol w:w="7464"/>
      </w:tblGrid>
      <w:tr w14:paraId="6758FF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jc w:val="center"/>
        </w:trPr>
        <w:tc>
          <w:tcPr>
            <w:tcW w:w="302" w:type="pct"/>
            <w:tcBorders>
              <w:top w:val="single" w:color="auto" w:sz="4" w:space="0"/>
              <w:left w:val="single" w:color="auto" w:sz="4" w:space="0"/>
              <w:bottom w:val="single" w:color="auto" w:sz="4" w:space="0"/>
              <w:right w:val="single" w:color="auto" w:sz="4" w:space="0"/>
            </w:tcBorders>
            <w:noWrap w:val="0"/>
            <w:vAlign w:val="center"/>
          </w:tcPr>
          <w:p w14:paraId="035D2D47">
            <w:pPr>
              <w:keepNext w:val="0"/>
              <w:keepLines w:val="0"/>
              <w:pageBreakBefore w:val="0"/>
              <w:widowControl w:val="0"/>
              <w:kinsoku/>
              <w:wordWrap/>
              <w:overflowPunct/>
              <w:topLinePunct w:val="0"/>
              <w:autoSpaceDE/>
              <w:autoSpaceDN/>
              <w:bidi w:val="0"/>
              <w:spacing w:line="400" w:lineRule="exact"/>
              <w:jc w:val="center"/>
              <w:rPr>
                <w:rFonts w:hint="eastAsia" w:ascii="宋体" w:hAnsi="宋体" w:eastAsia="宋体" w:cs="宋体"/>
                <w:b/>
                <w:bCs w:val="0"/>
                <w:color w:val="auto"/>
                <w:kern w:val="0"/>
                <w:sz w:val="18"/>
                <w:szCs w:val="18"/>
                <w:highlight w:val="none"/>
              </w:rPr>
            </w:pPr>
            <w:r>
              <w:rPr>
                <w:rFonts w:hint="eastAsia" w:ascii="宋体" w:hAnsi="宋体" w:eastAsia="宋体" w:cs="宋体"/>
                <w:b/>
                <w:bCs w:val="0"/>
                <w:color w:val="auto"/>
                <w:kern w:val="0"/>
                <w:sz w:val="18"/>
                <w:szCs w:val="18"/>
                <w:highlight w:val="none"/>
              </w:rPr>
              <w:t>序号</w:t>
            </w:r>
          </w:p>
        </w:tc>
        <w:tc>
          <w:tcPr>
            <w:tcW w:w="504" w:type="pct"/>
            <w:tcBorders>
              <w:top w:val="single" w:color="auto" w:sz="4" w:space="0"/>
              <w:left w:val="single" w:color="auto" w:sz="4" w:space="0"/>
              <w:bottom w:val="single" w:color="auto" w:sz="4" w:space="0"/>
              <w:right w:val="single" w:color="auto" w:sz="4" w:space="0"/>
            </w:tcBorders>
            <w:noWrap w:val="0"/>
            <w:vAlign w:val="center"/>
          </w:tcPr>
          <w:p w14:paraId="6BBE1661">
            <w:pPr>
              <w:keepNext w:val="0"/>
              <w:keepLines w:val="0"/>
              <w:pageBreakBefore w:val="0"/>
              <w:widowControl w:val="0"/>
              <w:kinsoku/>
              <w:wordWrap/>
              <w:overflowPunct/>
              <w:topLinePunct w:val="0"/>
              <w:autoSpaceDE/>
              <w:autoSpaceDN/>
              <w:bidi w:val="0"/>
              <w:spacing w:line="400" w:lineRule="exact"/>
              <w:jc w:val="center"/>
              <w:rPr>
                <w:rFonts w:hint="eastAsia" w:ascii="宋体" w:hAnsi="宋体" w:eastAsia="宋体" w:cs="宋体"/>
                <w:b/>
                <w:bCs w:val="0"/>
                <w:color w:val="auto"/>
                <w:kern w:val="0"/>
                <w:sz w:val="18"/>
                <w:szCs w:val="18"/>
                <w:highlight w:val="none"/>
              </w:rPr>
            </w:pPr>
            <w:r>
              <w:rPr>
                <w:rFonts w:hint="eastAsia" w:ascii="宋体" w:hAnsi="宋体" w:eastAsia="宋体" w:cs="宋体"/>
                <w:b/>
                <w:bCs w:val="0"/>
                <w:color w:val="auto"/>
                <w:kern w:val="0"/>
                <w:sz w:val="18"/>
                <w:szCs w:val="18"/>
                <w:highlight w:val="none"/>
              </w:rPr>
              <w:t>设备名称</w:t>
            </w:r>
          </w:p>
        </w:tc>
        <w:tc>
          <w:tcPr>
            <w:tcW w:w="4162" w:type="pct"/>
            <w:tcBorders>
              <w:top w:val="single" w:color="auto" w:sz="4" w:space="0"/>
              <w:left w:val="single" w:color="auto" w:sz="4" w:space="0"/>
              <w:bottom w:val="single" w:color="auto" w:sz="4" w:space="0"/>
              <w:right w:val="single" w:color="auto" w:sz="4" w:space="0"/>
            </w:tcBorders>
            <w:noWrap w:val="0"/>
            <w:vAlign w:val="center"/>
          </w:tcPr>
          <w:p w14:paraId="5DBD49F9">
            <w:pPr>
              <w:keepNext w:val="0"/>
              <w:keepLines w:val="0"/>
              <w:pageBreakBefore w:val="0"/>
              <w:kinsoku/>
              <w:wordWrap/>
              <w:overflowPunct/>
              <w:topLinePunct w:val="0"/>
              <w:autoSpaceDE/>
              <w:autoSpaceDN/>
              <w:bidi w:val="0"/>
              <w:spacing w:line="400" w:lineRule="exact"/>
              <w:jc w:val="center"/>
              <w:rPr>
                <w:rFonts w:hint="eastAsia" w:ascii="宋体" w:hAnsi="宋体" w:eastAsia="宋体" w:cs="宋体"/>
                <w:b/>
                <w:bCs w:val="0"/>
                <w:color w:val="auto"/>
                <w:kern w:val="0"/>
                <w:sz w:val="18"/>
                <w:szCs w:val="18"/>
                <w:highlight w:val="none"/>
              </w:rPr>
            </w:pPr>
            <w:r>
              <w:rPr>
                <w:rFonts w:hint="eastAsia" w:ascii="宋体" w:hAnsi="宋体" w:eastAsia="宋体" w:cs="宋体"/>
                <w:b/>
                <w:bCs w:val="0"/>
                <w:color w:val="auto"/>
                <w:kern w:val="0"/>
                <w:sz w:val="18"/>
                <w:szCs w:val="18"/>
                <w:highlight w:val="none"/>
              </w:rPr>
              <w:t>主要参数</w:t>
            </w:r>
          </w:p>
        </w:tc>
      </w:tr>
      <w:tr w14:paraId="06950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2" w:type="pct"/>
            <w:tcBorders>
              <w:top w:val="single" w:color="auto" w:sz="4" w:space="0"/>
              <w:left w:val="single" w:color="auto" w:sz="4" w:space="0"/>
              <w:bottom w:val="single" w:color="auto" w:sz="4" w:space="0"/>
              <w:right w:val="single" w:color="auto" w:sz="4" w:space="0"/>
            </w:tcBorders>
            <w:noWrap w:val="0"/>
            <w:vAlign w:val="center"/>
          </w:tcPr>
          <w:p w14:paraId="4E1C6ECC">
            <w:pPr>
              <w:keepNext w:val="0"/>
              <w:keepLines w:val="0"/>
              <w:pageBreakBefore w:val="0"/>
              <w:widowControl w:val="0"/>
              <w:kinsoku/>
              <w:wordWrap/>
              <w:overflowPunct/>
              <w:topLinePunct w:val="0"/>
              <w:autoSpaceDE/>
              <w:autoSpaceDN/>
              <w:bidi w:val="0"/>
              <w:spacing w:line="360" w:lineRule="auto"/>
              <w:jc w:val="center"/>
              <w:rPr>
                <w:rFonts w:hint="eastAsia" w:ascii="宋体" w:hAnsi="宋体" w:eastAsia="宋体" w:cs="宋体"/>
                <w:b w:val="0"/>
                <w:bCs/>
                <w:color w:val="auto"/>
                <w:kern w:val="0"/>
                <w:sz w:val="24"/>
                <w:szCs w:val="24"/>
                <w:highlight w:val="none"/>
              </w:rPr>
            </w:pPr>
            <w:r>
              <w:rPr>
                <w:rFonts w:hint="eastAsia" w:ascii="宋体" w:hAnsi="宋体" w:eastAsia="宋体" w:cs="宋体"/>
                <w:b w:val="0"/>
                <w:bCs/>
                <w:color w:val="auto"/>
                <w:kern w:val="0"/>
                <w:sz w:val="24"/>
                <w:szCs w:val="24"/>
                <w:highlight w:val="none"/>
              </w:rPr>
              <w:t>1</w:t>
            </w:r>
          </w:p>
        </w:tc>
        <w:tc>
          <w:tcPr>
            <w:tcW w:w="504" w:type="pct"/>
            <w:tcBorders>
              <w:top w:val="single" w:color="auto" w:sz="4" w:space="0"/>
              <w:left w:val="single" w:color="auto" w:sz="4" w:space="0"/>
              <w:bottom w:val="single" w:color="auto" w:sz="4" w:space="0"/>
              <w:right w:val="single" w:color="auto" w:sz="4" w:space="0"/>
            </w:tcBorders>
            <w:noWrap w:val="0"/>
            <w:vAlign w:val="center"/>
          </w:tcPr>
          <w:p w14:paraId="08799BE3">
            <w:pPr>
              <w:keepNext w:val="0"/>
              <w:keepLines w:val="0"/>
              <w:pageBreakBefore w:val="0"/>
              <w:widowControl w:val="0"/>
              <w:kinsoku/>
              <w:wordWrap/>
              <w:overflowPunct/>
              <w:topLinePunct w:val="0"/>
              <w:autoSpaceDE/>
              <w:autoSpaceDN/>
              <w:bidi w:val="0"/>
              <w:adjustRightInd w:val="0"/>
              <w:snapToGrid w:val="0"/>
              <w:spacing w:beforeLines="15" w:afterLines="15" w:line="400" w:lineRule="exact"/>
              <w:jc w:val="center"/>
              <w:textAlignment w:val="center"/>
              <w:rPr>
                <w:rFonts w:hint="eastAsia" w:ascii="宋体" w:hAnsi="宋体" w:eastAsia="宋体" w:cs="宋体"/>
                <w:b w:val="0"/>
                <w:bCs/>
                <w:color w:val="auto"/>
                <w:kern w:val="0"/>
                <w:sz w:val="24"/>
                <w:szCs w:val="24"/>
                <w:highlight w:val="none"/>
                <w:lang w:eastAsia="zh-CN"/>
              </w:rPr>
            </w:pPr>
            <w:r>
              <w:rPr>
                <w:rFonts w:hint="eastAsia" w:ascii="宋体" w:hAnsi="宋体" w:eastAsia="宋体" w:cs="宋体"/>
                <w:b w:val="0"/>
                <w:bCs/>
                <w:color w:val="auto"/>
                <w:sz w:val="24"/>
                <w:szCs w:val="24"/>
                <w:highlight w:val="none"/>
              </w:rPr>
              <w:t>农作物病虫害实时监控物联网系统</w:t>
            </w:r>
          </w:p>
        </w:tc>
        <w:tc>
          <w:tcPr>
            <w:tcW w:w="4162" w:type="pct"/>
            <w:tcBorders>
              <w:top w:val="single" w:color="auto" w:sz="4" w:space="0"/>
              <w:left w:val="single" w:color="auto" w:sz="4" w:space="0"/>
              <w:bottom w:val="single" w:color="auto" w:sz="4" w:space="0"/>
              <w:right w:val="single" w:color="auto" w:sz="4" w:space="0"/>
            </w:tcBorders>
            <w:noWrap w:val="0"/>
            <w:vAlign w:val="center"/>
          </w:tcPr>
          <w:p w14:paraId="0852A82E">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1.</w:t>
            </w:r>
            <w:r>
              <w:rPr>
                <w:rFonts w:hint="eastAsia" w:ascii="宋体" w:hAnsi="宋体" w:cs="宋体"/>
                <w:b w:val="0"/>
                <w:bCs/>
                <w:kern w:val="0"/>
                <w:sz w:val="24"/>
                <w:szCs w:val="24"/>
                <w:highlight w:val="none"/>
                <w:lang w:val="en-US" w:eastAsia="zh-CN"/>
              </w:rPr>
              <w:t>项目采购的</w:t>
            </w:r>
            <w:r>
              <w:rPr>
                <w:rFonts w:hint="eastAsia" w:ascii="宋体" w:hAnsi="宋体" w:eastAsia="宋体" w:cs="宋体"/>
                <w:b w:val="0"/>
                <w:bCs/>
                <w:kern w:val="0"/>
                <w:sz w:val="24"/>
                <w:szCs w:val="24"/>
                <w:highlight w:val="none"/>
              </w:rPr>
              <w:t>虫情信息自动采集</w:t>
            </w:r>
            <w:r>
              <w:rPr>
                <w:rFonts w:hint="eastAsia" w:ascii="宋体" w:hAnsi="宋体" w:cs="宋体"/>
                <w:b w:val="0"/>
                <w:bCs/>
                <w:kern w:val="0"/>
                <w:sz w:val="24"/>
                <w:szCs w:val="24"/>
                <w:highlight w:val="none"/>
                <w:lang w:val="en-US" w:eastAsia="zh-CN"/>
              </w:rPr>
              <w:t>传输</w:t>
            </w:r>
            <w:r>
              <w:rPr>
                <w:rFonts w:hint="eastAsia" w:ascii="宋体" w:hAnsi="宋体" w:eastAsia="宋体" w:cs="宋体"/>
                <w:b w:val="0"/>
                <w:bCs/>
                <w:kern w:val="0"/>
                <w:sz w:val="24"/>
                <w:szCs w:val="24"/>
                <w:highlight w:val="none"/>
              </w:rPr>
              <w:t>系统、</w:t>
            </w:r>
            <w:r>
              <w:rPr>
                <w:rFonts w:hint="eastAsia" w:ascii="宋体" w:hAnsi="宋体" w:eastAsia="宋体" w:cs="宋体"/>
                <w:color w:val="auto"/>
                <w:kern w:val="0"/>
                <w:sz w:val="24"/>
                <w:szCs w:val="24"/>
                <w:highlight w:val="none"/>
                <w:lang w:val="en-US" w:eastAsia="zh-CN" w:bidi="ar-SA"/>
              </w:rPr>
              <w:t>小气候监测仪</w:t>
            </w:r>
            <w:r>
              <w:rPr>
                <w:rFonts w:hint="eastAsia" w:ascii="宋体" w:hAnsi="宋体" w:eastAsia="宋体" w:cs="宋体"/>
                <w:b w:val="0"/>
                <w:bCs/>
                <w:kern w:val="0"/>
                <w:sz w:val="24"/>
                <w:szCs w:val="24"/>
                <w:highlight w:val="none"/>
              </w:rPr>
              <w:t>、农林生态远程实时监控系统、害虫性诱自动诱捕器、小虫体智能测报系统</w:t>
            </w:r>
            <w:r>
              <w:rPr>
                <w:rFonts w:hint="eastAsia" w:ascii="宋体" w:hAnsi="宋体" w:cs="宋体"/>
                <w:b w:val="0"/>
                <w:bCs/>
                <w:kern w:val="0"/>
                <w:sz w:val="24"/>
                <w:szCs w:val="24"/>
                <w:highlight w:val="none"/>
                <w:lang w:val="en-US" w:eastAsia="zh-CN"/>
              </w:rPr>
              <w:t>等设备采集的信息须能传输到</w:t>
            </w:r>
            <w:r>
              <w:rPr>
                <w:rFonts w:hint="eastAsia" w:ascii="宋体" w:hAnsi="宋体" w:eastAsia="宋体" w:cs="宋体"/>
                <w:b w:val="0"/>
                <w:bCs/>
                <w:color w:val="auto"/>
                <w:sz w:val="24"/>
                <w:szCs w:val="24"/>
                <w:highlight w:val="none"/>
              </w:rPr>
              <w:t>农作物病虫害实时监控物联网系统</w:t>
            </w:r>
            <w:r>
              <w:rPr>
                <w:rFonts w:hint="eastAsia" w:ascii="宋体" w:hAnsi="宋体" w:cs="宋体"/>
                <w:b w:val="0"/>
                <w:bCs/>
                <w:color w:val="auto"/>
                <w:sz w:val="24"/>
                <w:szCs w:val="24"/>
                <w:highlight w:val="none"/>
                <w:lang w:val="en-US" w:eastAsia="zh-CN"/>
              </w:rPr>
              <w:t>中</w:t>
            </w:r>
            <w:r>
              <w:rPr>
                <w:rFonts w:hint="eastAsia" w:ascii="宋体" w:hAnsi="宋体" w:eastAsia="宋体" w:cs="宋体"/>
                <w:b w:val="0"/>
                <w:bCs/>
                <w:kern w:val="0"/>
                <w:sz w:val="24"/>
                <w:szCs w:val="24"/>
                <w:highlight w:val="none"/>
              </w:rPr>
              <w:t>，支持多子系统数据融合分析与联动预警。</w:t>
            </w:r>
          </w:p>
          <w:p w14:paraId="0213AC98">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2.采用多引擎数据库支持分布式存储部署，具备多层级网络数据并联运算、存储功能，可根据访问环境、自动分配最优资源，达到不少于千万级并行运算能力、十万级并发连接响应能力。</w:t>
            </w:r>
          </w:p>
          <w:p w14:paraId="544CDDD8">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3.</w:t>
            </w:r>
            <w:r>
              <w:rPr>
                <w:rFonts w:hint="eastAsia" w:ascii="宋体" w:hAnsi="宋体" w:eastAsia="宋体" w:cs="宋体"/>
                <w:b w:val="0"/>
                <w:bCs/>
                <w:color w:val="333333"/>
                <w:sz w:val="24"/>
                <w:szCs w:val="24"/>
                <w:highlight w:val="none"/>
                <w:shd w:val="clear" w:color="auto" w:fill="FFFFFF"/>
              </w:rPr>
              <w:t>支持接入县级、省级、国家级农作物有害生物监控信息系统及江西省农业农村云上赣农一体化平台，符合《全国动植物保护能力提升工程建设规划》数据对接标准；数据传输采用AES-256加密，支持HTTPS、SSL/TLS协议，内置防火墙与入侵检测系统（IDS），确保数据传输与存储安全。</w:t>
            </w:r>
          </w:p>
          <w:p w14:paraId="41320306">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4.</w:t>
            </w:r>
            <w:r>
              <w:rPr>
                <w:rFonts w:hint="eastAsia" w:ascii="宋体" w:hAnsi="宋体" w:eastAsia="宋体" w:cs="宋体"/>
                <w:b w:val="0"/>
                <w:bCs/>
                <w:color w:val="333333"/>
                <w:sz w:val="24"/>
                <w:szCs w:val="24"/>
                <w:highlight w:val="none"/>
                <w:shd w:val="clear" w:color="auto" w:fill="FFFFFF"/>
              </w:rPr>
              <w:t>PC端、移动端（</w:t>
            </w:r>
            <w:r>
              <w:rPr>
                <w:rFonts w:hint="eastAsia" w:ascii="宋体" w:hAnsi="宋体" w:eastAsia="宋体" w:cs="宋体"/>
                <w:b w:val="0"/>
                <w:bCs/>
                <w:color w:val="333333"/>
                <w:sz w:val="24"/>
                <w:szCs w:val="24"/>
                <w:highlight w:val="none"/>
                <w:shd w:val="clear" w:color="auto" w:fill="FFFFFF"/>
                <w:lang w:val="en-US" w:eastAsia="zh-CN"/>
              </w:rPr>
              <w:t>net、Java、</w:t>
            </w:r>
            <w:r>
              <w:rPr>
                <w:rFonts w:hint="eastAsia" w:ascii="宋体" w:hAnsi="宋体" w:eastAsia="宋体" w:cs="宋体"/>
                <w:b w:val="0"/>
                <w:bCs/>
                <w:color w:val="333333"/>
                <w:sz w:val="24"/>
                <w:szCs w:val="24"/>
                <w:highlight w:val="none"/>
                <w:shd w:val="clear" w:color="auto" w:fill="FFFFFF"/>
              </w:rPr>
              <w:t>Android/iOS）、WEB端多终端访问，支持跨平台数据同步与实时推送。</w:t>
            </w:r>
          </w:p>
          <w:p w14:paraId="3F342D49">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5.</w:t>
            </w:r>
            <w:r>
              <w:rPr>
                <w:rFonts w:hint="eastAsia" w:ascii="宋体" w:hAnsi="宋体" w:cs="宋体"/>
                <w:b w:val="0"/>
                <w:bCs/>
                <w:kern w:val="0"/>
                <w:sz w:val="24"/>
                <w:szCs w:val="24"/>
                <w:highlight w:val="none"/>
                <w:lang w:val="en-US" w:eastAsia="zh-CN"/>
              </w:rPr>
              <w:t>服务器分析主机：</w:t>
            </w:r>
            <w:r>
              <w:rPr>
                <w:rFonts w:hint="eastAsia" w:ascii="宋体" w:hAnsi="宋体" w:eastAsia="宋体" w:cs="宋体"/>
                <w:b w:val="0"/>
                <w:bCs/>
                <w:kern w:val="0"/>
                <w:sz w:val="24"/>
                <w:szCs w:val="24"/>
                <w:highlight w:val="none"/>
              </w:rPr>
              <w:t>处理器核心数量≥8核，线程数量≥</w:t>
            </w:r>
            <w:r>
              <w:rPr>
                <w:rFonts w:hint="eastAsia" w:ascii="宋体" w:hAnsi="宋体" w:cs="宋体"/>
                <w:b w:val="0"/>
                <w:bCs/>
                <w:kern w:val="0"/>
                <w:sz w:val="24"/>
                <w:szCs w:val="24"/>
                <w:highlight w:val="none"/>
                <w:lang w:val="en-US" w:eastAsia="zh-CN"/>
              </w:rPr>
              <w:t>16</w:t>
            </w:r>
            <w:r>
              <w:rPr>
                <w:rFonts w:hint="eastAsia" w:ascii="宋体" w:hAnsi="宋体" w:eastAsia="宋体" w:cs="宋体"/>
                <w:b w:val="0"/>
                <w:bCs/>
                <w:kern w:val="0"/>
                <w:sz w:val="24"/>
                <w:szCs w:val="24"/>
                <w:highlight w:val="none"/>
              </w:rPr>
              <w:t>线程，主频≥1.69GHz，内存代际：DDR4，内存容量≥32GB，硬盘≥512G</w:t>
            </w:r>
            <w:r>
              <w:rPr>
                <w:rFonts w:hint="eastAsia" w:ascii="宋体" w:hAnsi="宋体" w:cs="宋体"/>
                <w:b w:val="0"/>
                <w:bCs/>
                <w:kern w:val="0"/>
                <w:sz w:val="24"/>
                <w:szCs w:val="24"/>
                <w:highlight w:val="none"/>
                <w:lang w:val="en-US" w:eastAsia="zh-CN"/>
              </w:rPr>
              <w:t xml:space="preserve"> </w:t>
            </w:r>
            <w:r>
              <w:rPr>
                <w:rFonts w:hint="eastAsia" w:ascii="宋体" w:hAnsi="宋体" w:eastAsia="宋体" w:cs="宋体"/>
                <w:b w:val="0"/>
                <w:bCs/>
                <w:kern w:val="0"/>
                <w:sz w:val="24"/>
                <w:szCs w:val="24"/>
                <w:highlight w:val="none"/>
              </w:rPr>
              <w:t>SSD，硬盘≥16T</w:t>
            </w:r>
            <w:r>
              <w:rPr>
                <w:rFonts w:hint="eastAsia" w:ascii="宋体" w:hAnsi="宋体" w:cs="宋体"/>
                <w:b w:val="0"/>
                <w:bCs/>
                <w:kern w:val="0"/>
                <w:sz w:val="24"/>
                <w:szCs w:val="24"/>
                <w:highlight w:val="none"/>
                <w:lang w:val="en-US" w:eastAsia="zh-CN"/>
              </w:rPr>
              <w:t xml:space="preserve"> HD</w:t>
            </w:r>
            <w:r>
              <w:rPr>
                <w:rFonts w:hint="eastAsia" w:ascii="宋体" w:hAnsi="宋体" w:eastAsia="宋体" w:cs="宋体"/>
                <w:b w:val="0"/>
                <w:bCs/>
                <w:kern w:val="0"/>
                <w:sz w:val="24"/>
                <w:szCs w:val="24"/>
                <w:highlight w:val="none"/>
              </w:rPr>
              <w:t>D（</w:t>
            </w:r>
            <w:r>
              <w:rPr>
                <w:rFonts w:hint="eastAsia" w:ascii="宋体" w:hAnsi="宋体" w:eastAsia="宋体" w:cs="宋体"/>
                <w:b w:val="0"/>
                <w:bCs/>
                <w:kern w:val="0"/>
                <w:sz w:val="24"/>
                <w:szCs w:val="24"/>
                <w:highlight w:val="none"/>
                <w:lang w:val="en-US" w:eastAsia="zh-CN"/>
              </w:rPr>
              <w:t>或者</w:t>
            </w:r>
            <w:r>
              <w:rPr>
                <w:rFonts w:hint="eastAsia" w:ascii="宋体" w:hAnsi="宋体" w:cs="宋体"/>
                <w:b w:val="0"/>
                <w:bCs/>
                <w:kern w:val="0"/>
                <w:sz w:val="24"/>
                <w:szCs w:val="24"/>
                <w:highlight w:val="none"/>
                <w:lang w:val="en-US" w:eastAsia="zh-CN"/>
              </w:rPr>
              <w:t>至少</w:t>
            </w:r>
            <w:r>
              <w:rPr>
                <w:rFonts w:hint="eastAsia" w:ascii="宋体" w:hAnsi="宋体" w:eastAsia="宋体" w:cs="宋体"/>
                <w:b w:val="0"/>
                <w:bCs/>
                <w:kern w:val="0"/>
                <w:sz w:val="24"/>
                <w:szCs w:val="24"/>
                <w:highlight w:val="none"/>
              </w:rPr>
              <w:t>配置</w:t>
            </w:r>
            <w:r>
              <w:rPr>
                <w:rFonts w:hint="eastAsia" w:ascii="宋体" w:hAnsi="宋体" w:eastAsia="宋体" w:cs="宋体"/>
                <w:b w:val="0"/>
                <w:bCs/>
                <w:kern w:val="0"/>
                <w:sz w:val="24"/>
                <w:szCs w:val="24"/>
                <w:highlight w:val="none"/>
                <w:lang w:val="en-US" w:eastAsia="zh-CN"/>
              </w:rPr>
              <w:t>2</w:t>
            </w:r>
            <w:r>
              <w:rPr>
                <w:rFonts w:hint="eastAsia" w:ascii="宋体" w:hAnsi="宋体" w:eastAsia="宋体" w:cs="宋体"/>
                <w:b w:val="0"/>
                <w:bCs/>
                <w:kern w:val="0"/>
                <w:sz w:val="24"/>
                <w:szCs w:val="24"/>
                <w:highlight w:val="none"/>
              </w:rPr>
              <w:t>块8T），功率≥290W；</w:t>
            </w:r>
            <w:r>
              <w:rPr>
                <w:rFonts w:hint="eastAsia" w:ascii="宋体" w:hAnsi="宋体" w:cs="宋体"/>
                <w:b w:val="0"/>
                <w:bCs/>
                <w:kern w:val="0"/>
                <w:sz w:val="24"/>
                <w:szCs w:val="24"/>
                <w:highlight w:val="none"/>
                <w:lang w:val="en-US" w:eastAsia="zh-CN"/>
              </w:rPr>
              <w:t>边缘网关：</w:t>
            </w:r>
            <w:r>
              <w:rPr>
                <w:rFonts w:hint="eastAsia" w:ascii="宋体" w:hAnsi="宋体" w:eastAsia="宋体" w:cs="宋体"/>
                <w:b w:val="0"/>
                <w:bCs/>
                <w:kern w:val="0"/>
                <w:sz w:val="24"/>
                <w:szCs w:val="24"/>
                <w:highlight w:val="none"/>
              </w:rPr>
              <w:t>处理器不低于</w:t>
            </w:r>
            <w:r>
              <w:rPr>
                <w:rFonts w:hint="eastAsia" w:ascii="宋体" w:hAnsi="宋体" w:eastAsia="宋体" w:cs="宋体"/>
                <w:b w:val="0"/>
                <w:bCs/>
                <w:color w:val="333333"/>
                <w:sz w:val="24"/>
                <w:szCs w:val="24"/>
                <w:highlight w:val="none"/>
                <w:shd w:val="clear" w:color="auto" w:fill="FFFFFF"/>
              </w:rPr>
              <w:t>1GHz</w:t>
            </w:r>
            <w:r>
              <w:rPr>
                <w:rFonts w:hint="eastAsia" w:ascii="宋体" w:hAnsi="宋体" w:eastAsia="宋体" w:cs="宋体"/>
                <w:b w:val="0"/>
                <w:bCs/>
                <w:kern w:val="0"/>
                <w:sz w:val="24"/>
                <w:szCs w:val="24"/>
                <w:highlight w:val="none"/>
              </w:rPr>
              <w:t>网络处理器</w:t>
            </w:r>
            <w:r>
              <w:rPr>
                <w:rFonts w:hint="eastAsia" w:ascii="宋体" w:hAnsi="宋体" w:cs="宋体"/>
                <w:b w:val="0"/>
                <w:bCs/>
                <w:kern w:val="0"/>
                <w:sz w:val="24"/>
                <w:szCs w:val="24"/>
                <w:highlight w:val="none"/>
                <w:lang w:eastAsia="zh-CN"/>
              </w:rPr>
              <w:t>，</w:t>
            </w:r>
            <w:r>
              <w:rPr>
                <w:rFonts w:hint="eastAsia" w:ascii="宋体" w:hAnsi="宋体" w:eastAsia="宋体" w:cs="宋体"/>
                <w:b w:val="0"/>
                <w:bCs/>
                <w:kern w:val="0"/>
                <w:sz w:val="24"/>
                <w:szCs w:val="24"/>
                <w:highlight w:val="none"/>
              </w:rPr>
              <w:t>内存≥256MB，闪存≥8MB，工作电压AC 220V±10%，功率≤6W，内置防火墙。</w:t>
            </w:r>
          </w:p>
          <w:p w14:paraId="2D8716A3">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6.数据管理智能网关：支持WEB和远程管理，全中文配置界面；支持定时自动重启、配置分级保护、配置文件备份与载入、在线升级、策略库自动更新；内置防火墙与诊断工具，支持远程故障排查与日志分析。</w:t>
            </w:r>
          </w:p>
          <w:p w14:paraId="79A0AE4D">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7.交换设备端口≥24个，MAC地址表≥16K，缓存≥2.5Mbits；</w:t>
            </w:r>
            <w:r>
              <w:rPr>
                <w:rFonts w:hint="eastAsia" w:ascii="宋体" w:hAnsi="宋体" w:eastAsia="宋体" w:cs="宋体"/>
                <w:b w:val="0"/>
                <w:bCs/>
                <w:color w:val="333333"/>
                <w:sz w:val="24"/>
                <w:szCs w:val="24"/>
                <w:highlight w:val="none"/>
                <w:shd w:val="clear" w:color="auto" w:fill="FFFFFF"/>
              </w:rPr>
              <w:t>包转发率≥10.6Mpps，交换容量≥14.4Gbps；支持VLAN划分、QoS流量控制、端口镜像功能</w:t>
            </w:r>
            <w:r>
              <w:rPr>
                <w:rFonts w:hint="eastAsia" w:ascii="宋体" w:hAnsi="宋体" w:eastAsia="宋体" w:cs="宋体"/>
                <w:b w:val="0"/>
                <w:bCs/>
                <w:sz w:val="24"/>
                <w:szCs w:val="24"/>
                <w:highlight w:val="none"/>
              </w:rPr>
              <w:t>；工作环境温度</w:t>
            </w:r>
            <w:r>
              <w:rPr>
                <w:rFonts w:hint="eastAsia" w:ascii="宋体" w:hAnsi="宋体" w:eastAsia="宋体" w:cs="宋体"/>
                <w:b w:val="0"/>
                <w:bCs/>
                <w:sz w:val="24"/>
                <w:szCs w:val="24"/>
                <w:highlight w:val="none"/>
                <w:lang w:eastAsia="zh-CN"/>
              </w:rPr>
              <w:t>：</w:t>
            </w:r>
            <w:r>
              <w:rPr>
                <w:rFonts w:hint="eastAsia" w:ascii="宋体" w:hAnsi="宋体" w:eastAsia="宋体" w:cs="宋体"/>
                <w:b w:val="0"/>
                <w:bCs/>
                <w:sz w:val="24"/>
                <w:szCs w:val="24"/>
                <w:highlight w:val="none"/>
              </w:rPr>
              <w:t>-5℃～45℃，工作环境湿度</w:t>
            </w:r>
            <w:r>
              <w:rPr>
                <w:rFonts w:hint="eastAsia" w:ascii="宋体" w:hAnsi="宋体" w:eastAsia="宋体" w:cs="宋体"/>
                <w:b w:val="0"/>
                <w:bCs/>
                <w:sz w:val="24"/>
                <w:szCs w:val="24"/>
                <w:highlight w:val="none"/>
                <w:lang w:eastAsia="zh-CN"/>
              </w:rPr>
              <w:t>：</w:t>
            </w:r>
            <w:r>
              <w:rPr>
                <w:rFonts w:hint="eastAsia" w:ascii="宋体" w:hAnsi="宋体" w:eastAsia="宋体" w:cs="宋体"/>
                <w:b w:val="0"/>
                <w:bCs/>
                <w:sz w:val="24"/>
                <w:szCs w:val="24"/>
                <w:highlight w:val="none"/>
              </w:rPr>
              <w:t>10%～90%。</w:t>
            </w:r>
          </w:p>
          <w:p w14:paraId="359FA430">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8.后备式UPS电源额定功率≥1KVA，</w:t>
            </w:r>
            <w:r>
              <w:rPr>
                <w:rFonts w:hint="eastAsia" w:ascii="宋体" w:hAnsi="宋体" w:eastAsia="宋体" w:cs="宋体"/>
                <w:b w:val="0"/>
                <w:bCs/>
                <w:color w:val="333333"/>
                <w:sz w:val="24"/>
                <w:szCs w:val="24"/>
                <w:highlight w:val="none"/>
                <w:shd w:val="clear" w:color="auto" w:fill="FFFFFF"/>
              </w:rPr>
              <w:t>长效机型支持≥90分钟断电续航（满载）；具备过放电保护、短路保护、浪涌保护、陷落保护功能，支持远程监控与告警推送。</w:t>
            </w:r>
          </w:p>
          <w:p w14:paraId="4EE1A696">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kern w:val="0"/>
                <w:sz w:val="24"/>
                <w:szCs w:val="24"/>
                <w:highlight w:val="none"/>
              </w:rPr>
              <w:t>9.无线通讯模块：工作温度-20℃～70℃；系统软件及设施设备必须并入病虫害物联网数据分析系统。</w:t>
            </w:r>
          </w:p>
        </w:tc>
      </w:tr>
      <w:tr w14:paraId="29A6C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2" w:type="pct"/>
            <w:tcBorders>
              <w:top w:val="single" w:color="auto" w:sz="4" w:space="0"/>
              <w:left w:val="single" w:color="auto" w:sz="4" w:space="0"/>
              <w:bottom w:val="single" w:color="auto" w:sz="4" w:space="0"/>
              <w:right w:val="single" w:color="auto" w:sz="4" w:space="0"/>
            </w:tcBorders>
            <w:noWrap w:val="0"/>
            <w:vAlign w:val="center"/>
          </w:tcPr>
          <w:p w14:paraId="6145FCC5">
            <w:pPr>
              <w:keepNext w:val="0"/>
              <w:keepLines w:val="0"/>
              <w:pageBreakBefore w:val="0"/>
              <w:widowControl w:val="0"/>
              <w:kinsoku/>
              <w:wordWrap/>
              <w:overflowPunct/>
              <w:topLinePunct w:val="0"/>
              <w:autoSpaceDE/>
              <w:autoSpaceDN/>
              <w:bidi w:val="0"/>
              <w:spacing w:line="360" w:lineRule="auto"/>
              <w:jc w:val="center"/>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2</w:t>
            </w:r>
          </w:p>
        </w:tc>
        <w:tc>
          <w:tcPr>
            <w:tcW w:w="504" w:type="pct"/>
            <w:tcBorders>
              <w:top w:val="single" w:color="auto" w:sz="4" w:space="0"/>
              <w:left w:val="single" w:color="auto" w:sz="4" w:space="0"/>
              <w:bottom w:val="single" w:color="auto" w:sz="4" w:space="0"/>
              <w:right w:val="single" w:color="auto" w:sz="4" w:space="0"/>
            </w:tcBorders>
            <w:noWrap w:val="0"/>
            <w:vAlign w:val="center"/>
          </w:tcPr>
          <w:p w14:paraId="6B00CB7A">
            <w:pPr>
              <w:keepNext w:val="0"/>
              <w:keepLines w:val="0"/>
              <w:pageBreakBefore w:val="0"/>
              <w:widowControl w:val="0"/>
              <w:kinsoku/>
              <w:wordWrap/>
              <w:overflowPunct/>
              <w:topLinePunct w:val="0"/>
              <w:autoSpaceDE/>
              <w:autoSpaceDN/>
              <w:bidi w:val="0"/>
              <w:spacing w:line="400" w:lineRule="exact"/>
              <w:jc w:val="center"/>
              <w:rPr>
                <w:rFonts w:hint="eastAsia" w:ascii="宋体" w:hAnsi="宋体" w:eastAsia="宋体" w:cs="宋体"/>
                <w:b w:val="0"/>
                <w:bCs/>
                <w:color w:val="auto"/>
                <w:kern w:val="2"/>
                <w:sz w:val="24"/>
                <w:szCs w:val="24"/>
                <w:highlight w:val="none"/>
                <w:lang w:val="en-US" w:eastAsia="zh-CN" w:bidi="ar-SA"/>
              </w:rPr>
            </w:pPr>
            <w:r>
              <w:rPr>
                <w:rFonts w:hint="eastAsia" w:ascii="宋体" w:hAnsi="宋体" w:eastAsia="宋体" w:cs="宋体"/>
                <w:b w:val="0"/>
                <w:bCs/>
                <w:color w:val="auto"/>
                <w:kern w:val="0"/>
                <w:sz w:val="24"/>
                <w:szCs w:val="24"/>
                <w:highlight w:val="none"/>
              </w:rPr>
              <w:t>虫情信息自动采集传输系统</w:t>
            </w:r>
          </w:p>
        </w:tc>
        <w:tc>
          <w:tcPr>
            <w:tcW w:w="4162" w:type="pct"/>
            <w:tcBorders>
              <w:top w:val="single" w:color="auto" w:sz="4" w:space="0"/>
              <w:left w:val="single" w:color="auto" w:sz="4" w:space="0"/>
              <w:bottom w:val="single" w:color="auto" w:sz="4" w:space="0"/>
              <w:right w:val="single" w:color="auto" w:sz="4" w:space="0"/>
            </w:tcBorders>
            <w:noWrap w:val="0"/>
            <w:vAlign w:val="center"/>
          </w:tcPr>
          <w:p w14:paraId="0D8CA856">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（一）产品</w:t>
            </w:r>
            <w:r>
              <w:rPr>
                <w:rFonts w:hint="eastAsia" w:ascii="宋体" w:hAnsi="宋体" w:eastAsia="宋体" w:cs="宋体"/>
                <w:b w:val="0"/>
                <w:bCs/>
                <w:color w:val="333333"/>
                <w:sz w:val="24"/>
                <w:szCs w:val="24"/>
                <w:highlight w:val="none"/>
                <w:shd w:val="clear" w:color="auto" w:fill="FFFFFF"/>
              </w:rPr>
              <w:t>由自动虫情测报灯、虫情信息自动采集传输系统组成，支持自动拍照、自动上传、自动虫体清理，与物联网平台结合可自动分析虫情数据；历史数据可实时在线免费存储≥1年，支持随时查阅、下载，完成国家、省、县三级站点网络信息的处理、存储、传输；监测信息支持PC客户端、手机端实时数据共享。</w:t>
            </w:r>
          </w:p>
          <w:p w14:paraId="278FD1C9">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bCs w:val="0"/>
                <w:color w:val="0000FF"/>
                <w:kern w:val="0"/>
                <w:sz w:val="24"/>
                <w:szCs w:val="24"/>
                <w:highlight w:val="none"/>
                <w:lang w:eastAsia="zh-CN"/>
              </w:rPr>
            </w:pPr>
            <w:r>
              <w:rPr>
                <w:rFonts w:hint="eastAsia" w:ascii="宋体" w:hAnsi="宋体" w:eastAsia="宋体" w:cs="宋体"/>
                <w:b w:val="0"/>
                <w:bCs/>
                <w:kern w:val="0"/>
                <w:sz w:val="24"/>
                <w:szCs w:val="24"/>
                <w:highlight w:val="none"/>
              </w:rPr>
              <w:t>（二）</w:t>
            </w:r>
            <w:r>
              <w:rPr>
                <w:rFonts w:hint="eastAsia" w:ascii="宋体" w:hAnsi="宋体" w:eastAsia="宋体" w:cs="宋体"/>
                <w:b w:val="0"/>
                <w:bCs/>
                <w:kern w:val="0"/>
                <w:sz w:val="24"/>
                <w:szCs w:val="24"/>
                <w:highlight w:val="none"/>
                <w:lang w:val="en-US" w:eastAsia="zh-CN"/>
              </w:rPr>
              <w:t>1.</w:t>
            </w:r>
            <w:r>
              <w:rPr>
                <w:rFonts w:hint="eastAsia" w:ascii="宋体" w:hAnsi="宋体" w:eastAsia="宋体" w:cs="宋体"/>
                <w:b w:val="0"/>
                <w:bCs/>
                <w:kern w:val="0"/>
                <w:sz w:val="24"/>
                <w:szCs w:val="24"/>
                <w:highlight w:val="none"/>
              </w:rPr>
              <w:t>产品符合GB/T 24689.1-2009标准安全、技术、性能要求；</w:t>
            </w:r>
            <w:r>
              <w:rPr>
                <w:rFonts w:hint="eastAsia" w:ascii="宋体" w:hAnsi="宋体" w:eastAsia="宋体" w:cs="宋体"/>
                <w:b/>
                <w:bCs w:val="0"/>
                <w:color w:val="auto"/>
                <w:kern w:val="0"/>
                <w:sz w:val="24"/>
                <w:szCs w:val="24"/>
                <w:highlight w:val="none"/>
              </w:rPr>
              <w:t>（投标文件中提供第三方检验检测机构依据GB/T 24689.1-2009出具的所投产品的检验报告扫描件进行佐证，并同时提供出具检验报告的第三方检验检测机构资质认定证书及附表扫描件加盖投标人公章</w:t>
            </w:r>
            <w:r>
              <w:rPr>
                <w:rFonts w:hint="eastAsia" w:ascii="宋体" w:hAnsi="宋体" w:eastAsia="宋体" w:cs="宋体"/>
                <w:b/>
                <w:bCs w:val="0"/>
                <w:color w:val="auto"/>
                <w:kern w:val="0"/>
                <w:sz w:val="24"/>
                <w:szCs w:val="24"/>
                <w:highlight w:val="none"/>
                <w:lang w:eastAsia="zh-CN"/>
              </w:rPr>
              <w:t>。）</w:t>
            </w:r>
          </w:p>
          <w:p w14:paraId="76410C0F">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bCs w:val="0"/>
                <w:color w:val="0000FF"/>
                <w:kern w:val="0"/>
                <w:sz w:val="24"/>
                <w:szCs w:val="24"/>
                <w:highlight w:val="none"/>
                <w:lang w:eastAsia="zh-CN"/>
              </w:rPr>
            </w:pPr>
            <w:r>
              <w:rPr>
                <w:rFonts w:hint="eastAsia" w:ascii="宋体" w:hAnsi="宋体" w:eastAsia="宋体" w:cs="宋体"/>
                <w:b w:val="0"/>
                <w:bCs/>
                <w:kern w:val="0"/>
                <w:sz w:val="24"/>
                <w:szCs w:val="24"/>
                <w:highlight w:val="none"/>
                <w:lang w:val="en-US" w:eastAsia="zh-CN"/>
              </w:rPr>
              <w:t>2.</w:t>
            </w:r>
            <w:r>
              <w:rPr>
                <w:rFonts w:hint="eastAsia" w:ascii="宋体" w:hAnsi="宋体" w:eastAsia="宋体" w:cs="宋体"/>
                <w:b w:val="0"/>
                <w:bCs/>
                <w:kern w:val="0"/>
                <w:sz w:val="24"/>
                <w:szCs w:val="24"/>
                <w:highlight w:val="none"/>
              </w:rPr>
              <w:t>产品符合</w:t>
            </w:r>
            <w:r>
              <w:rPr>
                <w:rStyle w:val="10"/>
                <w:rFonts w:hint="eastAsia" w:ascii="宋体" w:hAnsi="宋体" w:eastAsia="宋体" w:cs="宋体"/>
                <w:b w:val="0"/>
                <w:bCs/>
                <w:color w:val="000000"/>
                <w:sz w:val="24"/>
                <w:szCs w:val="24"/>
                <w:highlight w:val="none"/>
              </w:rPr>
              <w:t xml:space="preserve"> NY/T 4182-2022</w:t>
            </w:r>
            <w:r>
              <w:rPr>
                <w:rFonts w:hint="eastAsia" w:ascii="宋体" w:hAnsi="宋体" w:eastAsia="宋体" w:cs="宋体"/>
                <w:b w:val="0"/>
                <w:bCs/>
                <w:kern w:val="0"/>
                <w:sz w:val="24"/>
                <w:szCs w:val="24"/>
                <w:highlight w:val="none"/>
              </w:rPr>
              <w:t>标准安全、技术、性能要求；</w:t>
            </w:r>
          </w:p>
          <w:p w14:paraId="5E6375A6">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bCs w:val="0"/>
                <w:kern w:val="0"/>
                <w:sz w:val="24"/>
                <w:szCs w:val="24"/>
                <w:highlight w:val="none"/>
              </w:rPr>
            </w:pPr>
            <w:r>
              <w:rPr>
                <w:rFonts w:hint="eastAsia" w:ascii="宋体" w:hAnsi="宋体" w:cs="宋体"/>
                <w:b/>
                <w:bCs w:val="0"/>
                <w:kern w:val="0"/>
                <w:sz w:val="24"/>
                <w:szCs w:val="24"/>
                <w:highlight w:val="none"/>
                <w:lang w:val="en-US" w:eastAsia="zh-CN"/>
              </w:rPr>
              <w:t>3.产品符合</w:t>
            </w:r>
            <w:r>
              <w:rPr>
                <w:rFonts w:hint="eastAsia" w:ascii="宋体" w:hAnsi="宋体" w:eastAsia="宋体" w:cs="宋体"/>
                <w:b/>
                <w:bCs w:val="0"/>
                <w:kern w:val="0"/>
                <w:sz w:val="24"/>
                <w:szCs w:val="24"/>
                <w:highlight w:val="none"/>
              </w:rPr>
              <w:t>《全国农技中心关于加强农作物病虫疫情监测能力建设的指导意见》规定，须经全国、省级植保机构组织的2年4地试验证明技术成熟、性能优良、运行稳定</w:t>
            </w:r>
            <w:r>
              <w:rPr>
                <w:rFonts w:hint="eastAsia" w:ascii="宋体" w:hAnsi="宋体" w:eastAsia="宋体" w:cs="宋体"/>
                <w:b/>
                <w:bCs w:val="0"/>
                <w:kern w:val="0"/>
                <w:sz w:val="24"/>
                <w:szCs w:val="24"/>
                <w:highlight w:val="none"/>
                <w:lang w:eastAsia="zh-CN"/>
              </w:rPr>
              <w:t>。（</w:t>
            </w:r>
            <w:r>
              <w:rPr>
                <w:rFonts w:hint="eastAsia" w:ascii="宋体" w:hAnsi="宋体" w:eastAsia="宋体" w:cs="宋体"/>
                <w:b/>
                <w:bCs w:val="0"/>
                <w:kern w:val="0"/>
                <w:sz w:val="24"/>
                <w:szCs w:val="24"/>
                <w:highlight w:val="none"/>
              </w:rPr>
              <w:t>投标文件中须提供经过</w:t>
            </w:r>
            <w:r>
              <w:rPr>
                <w:rFonts w:hint="eastAsia" w:ascii="宋体" w:hAnsi="宋体" w:cs="宋体"/>
                <w:b/>
                <w:bCs w:val="0"/>
                <w:kern w:val="0"/>
                <w:sz w:val="24"/>
                <w:szCs w:val="24"/>
                <w:highlight w:val="none"/>
                <w:lang w:val="en-US" w:eastAsia="zh-CN"/>
              </w:rPr>
              <w:t>全国农业技术推广服务中心或省级植保（植检、农技）站（局、总站、中心）或广东农业有害生物预警防控中心等机构</w:t>
            </w:r>
            <w:r>
              <w:rPr>
                <w:rFonts w:hint="eastAsia" w:ascii="宋体" w:hAnsi="宋体" w:eastAsia="宋体" w:cs="宋体"/>
                <w:b/>
                <w:bCs w:val="0"/>
                <w:kern w:val="0"/>
                <w:sz w:val="24"/>
                <w:szCs w:val="24"/>
                <w:highlight w:val="none"/>
              </w:rPr>
              <w:t>试验并出具的至少2</w:t>
            </w:r>
            <w:r>
              <w:rPr>
                <w:rFonts w:hint="eastAsia" w:ascii="宋体" w:hAnsi="宋体" w:cs="宋体"/>
                <w:b/>
                <w:bCs w:val="0"/>
                <w:kern w:val="0"/>
                <w:sz w:val="24"/>
                <w:szCs w:val="24"/>
                <w:highlight w:val="none"/>
                <w:lang w:val="en-US" w:eastAsia="zh-CN"/>
              </w:rPr>
              <w:t>个</w:t>
            </w:r>
            <w:r>
              <w:rPr>
                <w:rFonts w:hint="eastAsia" w:ascii="宋体" w:hAnsi="宋体" w:eastAsia="宋体" w:cs="宋体"/>
                <w:b/>
                <w:bCs w:val="0"/>
                <w:kern w:val="0"/>
                <w:sz w:val="24"/>
                <w:szCs w:val="24"/>
                <w:highlight w:val="none"/>
              </w:rPr>
              <w:t>年</w:t>
            </w:r>
            <w:r>
              <w:rPr>
                <w:rFonts w:hint="eastAsia" w:ascii="宋体" w:hAnsi="宋体" w:cs="宋体"/>
                <w:b/>
                <w:bCs w:val="0"/>
                <w:kern w:val="0"/>
                <w:sz w:val="24"/>
                <w:szCs w:val="24"/>
                <w:highlight w:val="none"/>
                <w:lang w:val="en-US" w:eastAsia="zh-CN"/>
              </w:rPr>
              <w:t>份</w:t>
            </w:r>
            <w:r>
              <w:rPr>
                <w:rFonts w:hint="eastAsia" w:ascii="宋体" w:hAnsi="宋体" w:eastAsia="宋体" w:cs="宋体"/>
                <w:b/>
                <w:bCs w:val="0"/>
                <w:kern w:val="0"/>
                <w:sz w:val="24"/>
                <w:szCs w:val="24"/>
                <w:highlight w:val="none"/>
              </w:rPr>
              <w:t>、4个</w:t>
            </w:r>
            <w:r>
              <w:rPr>
                <w:rFonts w:hint="eastAsia" w:ascii="宋体" w:hAnsi="宋体" w:cs="宋体"/>
                <w:b/>
                <w:bCs w:val="0"/>
                <w:kern w:val="0"/>
                <w:sz w:val="24"/>
                <w:szCs w:val="24"/>
                <w:highlight w:val="none"/>
                <w:lang w:eastAsia="zh-CN"/>
              </w:rPr>
              <w:t>不同</w:t>
            </w:r>
            <w:r>
              <w:rPr>
                <w:rFonts w:hint="eastAsia" w:ascii="宋体" w:hAnsi="宋体" w:eastAsia="宋体" w:cs="宋体"/>
                <w:b/>
                <w:bCs w:val="0"/>
                <w:kern w:val="0"/>
                <w:sz w:val="24"/>
                <w:szCs w:val="24"/>
                <w:highlight w:val="none"/>
              </w:rPr>
              <w:t>地点</w:t>
            </w:r>
            <w:r>
              <w:rPr>
                <w:rFonts w:hint="eastAsia" w:ascii="宋体" w:hAnsi="宋体" w:eastAsia="宋体" w:cs="宋体"/>
                <w:b/>
                <w:bCs w:val="0"/>
                <w:kern w:val="0"/>
                <w:sz w:val="24"/>
                <w:szCs w:val="24"/>
                <w:highlight w:val="none"/>
                <w:lang w:eastAsia="zh-CN"/>
              </w:rPr>
              <w:t>的</w:t>
            </w:r>
            <w:r>
              <w:rPr>
                <w:rFonts w:hint="eastAsia" w:ascii="宋体" w:hAnsi="宋体" w:cs="宋体"/>
                <w:b/>
                <w:bCs w:val="0"/>
                <w:kern w:val="0"/>
                <w:sz w:val="24"/>
                <w:szCs w:val="24"/>
                <w:highlight w:val="none"/>
                <w:lang w:val="en-US" w:eastAsia="zh-CN"/>
              </w:rPr>
              <w:t>4份</w:t>
            </w:r>
            <w:r>
              <w:rPr>
                <w:rFonts w:hint="eastAsia" w:ascii="宋体" w:hAnsi="宋体" w:eastAsia="宋体" w:cs="宋体"/>
                <w:b/>
                <w:bCs w:val="0"/>
                <w:kern w:val="0"/>
                <w:sz w:val="24"/>
                <w:szCs w:val="24"/>
                <w:highlight w:val="none"/>
              </w:rPr>
              <w:t>试验报告。①试验报告必须盖有出具报告单位的公章，内容包含试验时间、试验地点、试验材料和方法、识别对象等，调查数据要包含自动识别数据、人工鉴定计数（人工复核）和自动识别数据与人工鉴定计数数据的对比分析和结论；②试验报告扫描件加盖投标人公章。为便于评审，投标人</w:t>
            </w:r>
            <w:r>
              <w:rPr>
                <w:rFonts w:hint="eastAsia" w:ascii="宋体" w:hAnsi="宋体" w:cs="宋体"/>
                <w:b/>
                <w:bCs w:val="0"/>
                <w:kern w:val="0"/>
                <w:sz w:val="24"/>
                <w:szCs w:val="24"/>
                <w:highlight w:val="none"/>
                <w:lang w:eastAsia="zh-CN"/>
              </w:rPr>
              <w:t>可</w:t>
            </w:r>
            <w:r>
              <w:rPr>
                <w:rFonts w:hint="eastAsia" w:ascii="宋体" w:hAnsi="宋体" w:eastAsia="宋体" w:cs="宋体"/>
                <w:b/>
                <w:bCs w:val="0"/>
                <w:kern w:val="0"/>
                <w:sz w:val="24"/>
                <w:szCs w:val="24"/>
                <w:highlight w:val="none"/>
              </w:rPr>
              <w:t>在试验报告内用方框标注相应内容</w:t>
            </w:r>
            <w:r>
              <w:rPr>
                <w:rFonts w:hint="eastAsia" w:ascii="宋体" w:hAnsi="宋体" w:cs="宋体"/>
                <w:b/>
                <w:bCs w:val="0"/>
                <w:kern w:val="0"/>
                <w:sz w:val="24"/>
                <w:szCs w:val="24"/>
                <w:highlight w:val="none"/>
                <w:lang w:eastAsia="zh-CN"/>
              </w:rPr>
              <w:t>；</w:t>
            </w:r>
            <w:r>
              <w:rPr>
                <w:rFonts w:hint="eastAsia" w:ascii="宋体" w:hAnsi="宋体" w:eastAsia="宋体" w:cs="宋体"/>
                <w:b/>
                <w:bCs w:val="0"/>
                <w:kern w:val="0"/>
                <w:sz w:val="24"/>
                <w:szCs w:val="24"/>
                <w:highlight w:val="none"/>
              </w:rPr>
              <w:t>③出具试验报告单位的联系人及电话列表并加盖投标人公章。未提供证明材料或证明材料不合格的投标无效。）</w:t>
            </w:r>
          </w:p>
          <w:p w14:paraId="50ADB16D">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（三）自动虫情测报灯</w:t>
            </w:r>
          </w:p>
          <w:p w14:paraId="1B2C6515">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1.电源电压：适用交流电压为220V±70V</w:t>
            </w:r>
            <w:r>
              <w:rPr>
                <w:rFonts w:hint="eastAsia" w:ascii="宋体" w:hAnsi="宋体" w:eastAsia="宋体" w:cs="宋体"/>
                <w:b w:val="0"/>
                <w:bCs/>
                <w:kern w:val="0"/>
                <w:sz w:val="24"/>
                <w:szCs w:val="24"/>
                <w:highlight w:val="none"/>
                <w:lang w:val="en-US" w:eastAsia="zh-CN"/>
              </w:rPr>
              <w:t>，内置备用电源，断电后向平台端发送设备异常数据，实现断电及故障自动预警</w:t>
            </w:r>
            <w:r>
              <w:rPr>
                <w:rFonts w:hint="eastAsia" w:ascii="宋体" w:hAnsi="宋体" w:eastAsia="宋体" w:cs="宋体"/>
                <w:b w:val="0"/>
                <w:bCs/>
                <w:kern w:val="0"/>
                <w:sz w:val="24"/>
                <w:szCs w:val="24"/>
                <w:highlight w:val="none"/>
              </w:rPr>
              <w:t>；</w:t>
            </w:r>
          </w:p>
          <w:p w14:paraId="1CF97451">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2.绝缘电阻：≥2.5MΩ；</w:t>
            </w:r>
          </w:p>
          <w:p w14:paraId="197BBC96">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3.诱集光源：波长范围：360nm</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650nm，支持黑光灯管或LED灯；光源功率≥20W，诱虫效率≥90%；</w:t>
            </w:r>
          </w:p>
          <w:p w14:paraId="27875AF4">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4.运行环境：应能在温度为-10℃</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70℃、湿度不大于95%RH的环境中正常工作。在-20℃</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70℃环境温度存放不影响正常使用，</w:t>
            </w:r>
            <w:r>
              <w:rPr>
                <w:rFonts w:hint="eastAsia" w:ascii="宋体" w:hAnsi="宋体" w:eastAsia="宋体" w:cs="宋体"/>
                <w:b w:val="0"/>
                <w:bCs/>
                <w:color w:val="333333"/>
                <w:sz w:val="24"/>
                <w:szCs w:val="24"/>
                <w:highlight w:val="none"/>
                <w:shd w:val="clear" w:color="auto" w:fill="FFFFFF"/>
              </w:rPr>
              <w:t>可抵御10级台风、强紫外线、高盐碱环境</w:t>
            </w:r>
            <w:r>
              <w:rPr>
                <w:rFonts w:hint="eastAsia" w:ascii="宋体" w:hAnsi="宋体" w:eastAsia="宋体" w:cs="宋体"/>
                <w:b w:val="0"/>
                <w:bCs/>
                <w:kern w:val="0"/>
                <w:sz w:val="24"/>
                <w:szCs w:val="24"/>
                <w:highlight w:val="none"/>
              </w:rPr>
              <w:t>；</w:t>
            </w:r>
          </w:p>
          <w:p w14:paraId="543EED24">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5.散虫结构：保证每个时间段诱集到的昆虫不堆积重叠；</w:t>
            </w:r>
          </w:p>
          <w:p w14:paraId="09DEFDC7">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6.排水装置：能有效将雨、虫分离，配备高效排水装置，箱体内无明显积水，防止设备腐蚀；</w:t>
            </w:r>
          </w:p>
          <w:p w14:paraId="67EC38DD">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7.虫体清理装置：拍照后虫体可自动清理，支持害虫采集与标本保存，确保虫体完整率≥98%；</w:t>
            </w:r>
          </w:p>
          <w:p w14:paraId="6F6124CB">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8.避雷功能：内置防雷击模块</w:t>
            </w:r>
            <w:r>
              <w:rPr>
                <w:rFonts w:hint="eastAsia" w:ascii="宋体" w:hAnsi="宋体" w:eastAsia="宋体" w:cs="宋体"/>
                <w:b w:val="0"/>
                <w:bCs/>
                <w:kern w:val="0"/>
                <w:sz w:val="24"/>
                <w:szCs w:val="24"/>
                <w:highlight w:val="none"/>
                <w:lang w:eastAsia="zh-CN"/>
              </w:rPr>
              <w:t>或加装避雷装置</w:t>
            </w:r>
            <w:r>
              <w:rPr>
                <w:rFonts w:hint="eastAsia" w:ascii="宋体" w:hAnsi="宋体" w:eastAsia="宋体" w:cs="宋体"/>
                <w:b w:val="0"/>
                <w:bCs/>
                <w:kern w:val="0"/>
                <w:sz w:val="24"/>
                <w:szCs w:val="24"/>
                <w:highlight w:val="none"/>
              </w:rPr>
              <w:t>，支持雷电防护等级≥Ⅲ级；绝缘电阻≥2.5MΩ，符合GB 4706.1-2005《家用和类似用途电器的安全》标准。</w:t>
            </w:r>
          </w:p>
          <w:p w14:paraId="15819F27">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（四）虫情信息自动采集传输系统</w:t>
            </w:r>
          </w:p>
          <w:p w14:paraId="40E8CE61">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1.自动拍照：支持自动拍照（拍照时间可调，频率区间≥10min</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3h/张）与手动拍照，可设置时段拍照；</w:t>
            </w:r>
            <w:r>
              <w:rPr>
                <w:rFonts w:hint="eastAsia" w:ascii="宋体" w:hAnsi="宋体" w:eastAsia="宋体" w:cs="宋体"/>
                <w:b/>
                <w:bCs w:val="0"/>
                <w:kern w:val="0"/>
                <w:sz w:val="24"/>
                <w:szCs w:val="24"/>
                <w:highlight w:val="none"/>
              </w:rPr>
              <w:t>（投标文件中提供自动拍照功能至少2张截图佐证</w:t>
            </w:r>
            <w:r>
              <w:rPr>
                <w:rFonts w:hint="eastAsia" w:ascii="宋体" w:hAnsi="宋体" w:eastAsia="宋体" w:cs="宋体"/>
                <w:b/>
                <w:bCs w:val="0"/>
                <w:kern w:val="0"/>
                <w:sz w:val="24"/>
                <w:szCs w:val="24"/>
                <w:highlight w:val="none"/>
                <w:lang w:eastAsia="zh-CN"/>
              </w:rPr>
              <w:t>。</w:t>
            </w:r>
            <w:r>
              <w:rPr>
                <w:rFonts w:hint="eastAsia" w:ascii="宋体" w:hAnsi="宋体" w:eastAsia="宋体" w:cs="宋体"/>
                <w:b/>
                <w:bCs w:val="0"/>
                <w:kern w:val="0"/>
                <w:sz w:val="24"/>
                <w:szCs w:val="24"/>
                <w:highlight w:val="none"/>
                <w:lang w:val="en-US" w:eastAsia="zh-CN"/>
              </w:rPr>
              <w:t>未提供证明材料或证明材料不合格的投标无效。</w:t>
            </w:r>
            <w:r>
              <w:rPr>
                <w:rFonts w:hint="eastAsia" w:ascii="宋体" w:hAnsi="宋体" w:eastAsia="宋体" w:cs="宋体"/>
                <w:b/>
                <w:bCs w:val="0"/>
                <w:kern w:val="0"/>
                <w:sz w:val="24"/>
                <w:szCs w:val="24"/>
                <w:highlight w:val="none"/>
              </w:rPr>
              <w:t>）</w:t>
            </w:r>
          </w:p>
          <w:p w14:paraId="408050AB">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2.具备图像采集功能，内置≥2000万像素高清工业摄像机，支持自动对焦与防抖，可远程通过PC端、手机端控制拍照；能根据虫体数量自动调节拍照间隔时间，接虫装置具备定期清除功能，保证虫体均匀平铺，减少堆叠，目标害虫盛发期图片采集率≥80%；采集的图片自带比例尺，可精准判断虫体大小。</w:t>
            </w:r>
          </w:p>
          <w:p w14:paraId="35E1496F">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3.有智能识别农作物害虫种类和自动统计计数功能，支持识别国家一类和江西省二类农作物病虫害目录中的草地贪夜蛾、粘虫、褐飞虱、白背飞虱、稻纵卷叶螟、二化螟、亚洲玉米螟、草地螟、小菜蛾、斜纹夜蛾等10种以上害虫，识别计数准确率≥80%。</w:t>
            </w:r>
            <w:r>
              <w:rPr>
                <w:rFonts w:hint="eastAsia" w:ascii="宋体" w:hAnsi="宋体" w:eastAsia="宋体" w:cs="宋体"/>
                <w:b/>
                <w:bCs w:val="0"/>
                <w:kern w:val="0"/>
                <w:sz w:val="24"/>
                <w:szCs w:val="24"/>
                <w:highlight w:val="none"/>
              </w:rPr>
              <w:t>（1、投标文件中提供识别计数功能至少2张截图佐证</w:t>
            </w:r>
            <w:r>
              <w:rPr>
                <w:rFonts w:hint="eastAsia" w:ascii="宋体" w:hAnsi="宋体" w:cs="宋体"/>
                <w:b/>
                <w:bCs w:val="0"/>
                <w:kern w:val="0"/>
                <w:sz w:val="24"/>
                <w:szCs w:val="24"/>
                <w:highlight w:val="none"/>
                <w:lang w:eastAsia="zh-CN"/>
              </w:rPr>
              <w:t>，</w:t>
            </w:r>
            <w:r>
              <w:rPr>
                <w:rFonts w:hint="eastAsia" w:ascii="宋体" w:hAnsi="宋体" w:eastAsia="宋体" w:cs="宋体"/>
                <w:b/>
                <w:bCs w:val="0"/>
                <w:kern w:val="0"/>
                <w:sz w:val="24"/>
                <w:szCs w:val="24"/>
                <w:highlight w:val="none"/>
                <w:lang w:val="en-US" w:eastAsia="zh-CN"/>
              </w:rPr>
              <w:t>未提供证明材料或证明材料不合格的投标无效。</w:t>
            </w:r>
            <w:r>
              <w:rPr>
                <w:rFonts w:hint="eastAsia" w:ascii="宋体" w:hAnsi="宋体" w:eastAsia="宋体" w:cs="宋体"/>
                <w:b/>
                <w:bCs w:val="0"/>
                <w:kern w:val="0"/>
                <w:sz w:val="24"/>
                <w:szCs w:val="24"/>
                <w:highlight w:val="none"/>
              </w:rPr>
              <w:t>；2、采购人有权要求中标人在合同签订后三个工作日内提供设备到采购人指定地点进行现场识别，如无法识别或识别计数准确率未达投标人响应标准，则视为虚假响应，将解除合同并将相关材料上报至同级财政监管部门，追究其以虚假材料谋取中标的法律责任。</w:t>
            </w:r>
            <w:r>
              <w:rPr>
                <w:rFonts w:hint="eastAsia" w:ascii="宋体" w:hAnsi="宋体" w:eastAsia="宋体" w:cs="宋体"/>
                <w:b w:val="0"/>
                <w:bCs/>
                <w:kern w:val="0"/>
                <w:sz w:val="24"/>
                <w:szCs w:val="24"/>
                <w:highlight w:val="none"/>
              </w:rPr>
              <w:t>）</w:t>
            </w:r>
          </w:p>
          <w:p w14:paraId="062B2B36">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4.自动传输：自动上传监测图片数据。数据实时传输，上传速度应≥1M/s；</w:t>
            </w:r>
          </w:p>
          <w:p w14:paraId="66DD3B2B">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5.远程查询监控：可实现在电脑端和手机端远程监控平台对虫情自动采集系统的控制，包括定时开关、时间段设置、故障排查、红外虫体处理时间调整等；</w:t>
            </w:r>
          </w:p>
          <w:p w14:paraId="67C5CCC7">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6.图像处理：支持对拍摄画面的图像处理（如降噪、增强、裁剪），图片保存质量应满足虫体人工手动计数的识别需求；</w:t>
            </w:r>
            <w:r>
              <w:rPr>
                <w:rFonts w:hint="eastAsia" w:ascii="宋体" w:hAnsi="宋体" w:eastAsia="宋体" w:cs="宋体"/>
                <w:b/>
                <w:bCs w:val="0"/>
                <w:kern w:val="0"/>
                <w:sz w:val="24"/>
                <w:szCs w:val="24"/>
                <w:highlight w:val="none"/>
              </w:rPr>
              <w:t>（投标文件中提供图像处理功能至少2张截图佐证</w:t>
            </w:r>
            <w:r>
              <w:rPr>
                <w:rFonts w:hint="eastAsia" w:ascii="宋体" w:hAnsi="宋体" w:eastAsia="宋体" w:cs="宋体"/>
                <w:b/>
                <w:bCs w:val="0"/>
                <w:kern w:val="0"/>
                <w:sz w:val="24"/>
                <w:szCs w:val="24"/>
                <w:highlight w:val="none"/>
                <w:lang w:eastAsia="zh-CN"/>
              </w:rPr>
              <w:t>。</w:t>
            </w:r>
            <w:r>
              <w:rPr>
                <w:rFonts w:hint="eastAsia" w:ascii="宋体" w:hAnsi="宋体" w:eastAsia="宋体" w:cs="宋体"/>
                <w:b/>
                <w:bCs w:val="0"/>
                <w:kern w:val="0"/>
                <w:sz w:val="24"/>
                <w:szCs w:val="24"/>
                <w:highlight w:val="none"/>
                <w:lang w:val="en-US" w:eastAsia="zh-CN"/>
              </w:rPr>
              <w:t>未提供证明材料或证明材料不合格的投标无效。</w:t>
            </w:r>
            <w:r>
              <w:rPr>
                <w:rFonts w:hint="eastAsia" w:ascii="宋体" w:hAnsi="宋体" w:eastAsia="宋体" w:cs="宋体"/>
                <w:b/>
                <w:bCs w:val="0"/>
                <w:kern w:val="0"/>
                <w:sz w:val="24"/>
                <w:szCs w:val="24"/>
                <w:highlight w:val="none"/>
              </w:rPr>
              <w:t>）</w:t>
            </w:r>
          </w:p>
          <w:p w14:paraId="571D6F2A">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7.设备可以在卫星地图上显示设备安装位置及经纬度信息；</w:t>
            </w:r>
          </w:p>
          <w:p w14:paraId="4A9595A7">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8.数据传输采集方式为光纤或4G/5G全网通；</w:t>
            </w:r>
          </w:p>
          <w:p w14:paraId="3F290EB3">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9.可以查看灯的定时模式、光控、雨控、温控、落虫、加热、仓门开启、信号强度等工作状态信息，可以对设备出现的故障进行研判、分析、预警；</w:t>
            </w:r>
          </w:p>
          <w:p w14:paraId="776C12FD">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10.平台端可以自行设定工作时长、落虫时间、加热时长、加热温度、加热仓高低温保护阈值、图片上传时间间隔和图片分辨率选择；</w:t>
            </w:r>
          </w:p>
          <w:p w14:paraId="3A113440">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11.平台端可以实时显示设备工作二维图片，显示设备舱内环境温度、湿度等状态；</w:t>
            </w:r>
          </w:p>
          <w:p w14:paraId="5853A417">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12.实时显示加热仓温度、雨控、温控、光控的状态、经纬度数值以及上报时间；</w:t>
            </w:r>
          </w:p>
          <w:p w14:paraId="1651FC9B">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13.空气温湿度数据实时显示，能够以图表和折线图的形式展现；</w:t>
            </w:r>
          </w:p>
          <w:p w14:paraId="6BBB6160">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bCs w:val="0"/>
                <w:kern w:val="0"/>
                <w:sz w:val="24"/>
                <w:szCs w:val="24"/>
                <w:highlight w:val="none"/>
              </w:rPr>
            </w:pPr>
            <w:r>
              <w:rPr>
                <w:rFonts w:hint="eastAsia" w:ascii="宋体" w:hAnsi="宋体" w:eastAsia="宋体" w:cs="宋体"/>
                <w:b w:val="0"/>
                <w:bCs/>
                <w:kern w:val="0"/>
                <w:sz w:val="24"/>
                <w:szCs w:val="24"/>
                <w:highlight w:val="none"/>
              </w:rPr>
              <w:t>14.害虫统计：自动生成曲线图和</w:t>
            </w:r>
            <w:r>
              <w:rPr>
                <w:rFonts w:hint="eastAsia" w:ascii="宋体" w:hAnsi="宋体" w:eastAsia="宋体" w:cs="宋体"/>
                <w:b w:val="0"/>
                <w:bCs/>
                <w:kern w:val="0"/>
                <w:sz w:val="24"/>
                <w:szCs w:val="24"/>
                <w:highlight w:val="none"/>
                <w:lang w:eastAsia="zh-CN"/>
              </w:rPr>
              <w:t>饼</w:t>
            </w:r>
            <w:r>
              <w:rPr>
                <w:rFonts w:hint="eastAsia" w:ascii="宋体" w:hAnsi="宋体" w:eastAsia="宋体" w:cs="宋体"/>
                <w:b w:val="0"/>
                <w:bCs/>
                <w:kern w:val="0"/>
                <w:sz w:val="24"/>
                <w:szCs w:val="24"/>
                <w:highlight w:val="none"/>
              </w:rPr>
              <w:t>图，曲线坐标可自行设置和移动显示，直观显示害虫种类、数量和分析统计百分比；</w:t>
            </w:r>
            <w:r>
              <w:rPr>
                <w:rFonts w:hint="eastAsia" w:ascii="宋体" w:hAnsi="宋体" w:eastAsia="宋体" w:cs="宋体"/>
                <w:b/>
                <w:bCs w:val="0"/>
                <w:kern w:val="0"/>
                <w:sz w:val="24"/>
                <w:szCs w:val="24"/>
                <w:highlight w:val="none"/>
              </w:rPr>
              <w:t>（投标文件中提供虫情统计曲线分析功能至少2张截图佐证</w:t>
            </w:r>
            <w:r>
              <w:rPr>
                <w:rFonts w:hint="eastAsia" w:ascii="宋体" w:hAnsi="宋体" w:eastAsia="宋体" w:cs="宋体"/>
                <w:b/>
                <w:bCs w:val="0"/>
                <w:kern w:val="0"/>
                <w:sz w:val="24"/>
                <w:szCs w:val="24"/>
                <w:highlight w:val="none"/>
                <w:lang w:eastAsia="zh-CN"/>
              </w:rPr>
              <w:t>。</w:t>
            </w:r>
            <w:r>
              <w:rPr>
                <w:rFonts w:hint="eastAsia" w:ascii="宋体" w:hAnsi="宋体" w:eastAsia="宋体" w:cs="宋体"/>
                <w:b/>
                <w:bCs w:val="0"/>
                <w:kern w:val="0"/>
                <w:sz w:val="24"/>
                <w:szCs w:val="24"/>
                <w:highlight w:val="none"/>
                <w:lang w:val="en-US" w:eastAsia="zh-CN"/>
              </w:rPr>
              <w:t>未提供证明材料或证明材料不合格的投标无效。</w:t>
            </w:r>
            <w:r>
              <w:rPr>
                <w:rFonts w:hint="eastAsia" w:ascii="宋体" w:hAnsi="宋体" w:eastAsia="宋体" w:cs="宋体"/>
                <w:b/>
                <w:bCs w:val="0"/>
                <w:kern w:val="0"/>
                <w:sz w:val="24"/>
                <w:szCs w:val="24"/>
                <w:highlight w:val="none"/>
              </w:rPr>
              <w:t>）</w:t>
            </w:r>
          </w:p>
          <w:p w14:paraId="70AB952B">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15.能显示设备是否在线，远程发送查询指令，实时反馈最新状态；</w:t>
            </w:r>
          </w:p>
          <w:p w14:paraId="44BF8BBC">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16.气温低于5摄氏度自动开启温控保护；</w:t>
            </w:r>
          </w:p>
          <w:p w14:paraId="66758FFE">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17.具备远程传输数据的功能，按要求接入县级、省级、国家级相关农作物有害生物监控信息系统和江西省农业农村云上赣农一体化平台，并</w:t>
            </w:r>
            <w:r>
              <w:rPr>
                <w:rFonts w:hint="eastAsia" w:ascii="宋体" w:hAnsi="宋体" w:eastAsia="宋体" w:cs="宋体"/>
                <w:b w:val="0"/>
                <w:bCs/>
                <w:sz w:val="24"/>
                <w:szCs w:val="24"/>
                <w:highlight w:val="none"/>
              </w:rPr>
              <w:t>保证</w:t>
            </w:r>
            <w:r>
              <w:rPr>
                <w:rFonts w:hint="eastAsia" w:ascii="宋体" w:hAnsi="宋体" w:eastAsia="宋体" w:cs="宋体"/>
                <w:b w:val="0"/>
                <w:bCs/>
                <w:sz w:val="24"/>
                <w:szCs w:val="24"/>
                <w:highlight w:val="none"/>
                <w:lang w:bidi="ar"/>
              </w:rPr>
              <w:t>数据安全</w:t>
            </w:r>
            <w:r>
              <w:rPr>
                <w:rFonts w:hint="eastAsia" w:ascii="宋体" w:hAnsi="宋体" w:eastAsia="宋体" w:cs="宋体"/>
                <w:b w:val="0"/>
                <w:bCs/>
                <w:sz w:val="24"/>
                <w:szCs w:val="24"/>
                <w:highlight w:val="none"/>
              </w:rPr>
              <w:t>。</w:t>
            </w:r>
          </w:p>
          <w:p w14:paraId="4BD285C6">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kern w:val="0"/>
                <w:sz w:val="24"/>
                <w:szCs w:val="24"/>
                <w:highlight w:val="none"/>
              </w:rPr>
              <w:t>18.产品具备以下功能：①自动虫情报告生成演示；②虫情预警推送及接收端显示；③识别虫类及昆虫百科；④虫情识别模型功能。</w:t>
            </w:r>
            <w:r>
              <w:rPr>
                <w:rFonts w:hint="eastAsia" w:ascii="宋体" w:hAnsi="宋体" w:eastAsia="宋体" w:cs="宋体"/>
                <w:b/>
                <w:bCs w:val="0"/>
                <w:kern w:val="0"/>
                <w:sz w:val="24"/>
                <w:szCs w:val="24"/>
                <w:highlight w:val="none"/>
              </w:rPr>
              <w:t>（投标文件中提供每项功能至少2张截图佐证</w:t>
            </w:r>
            <w:r>
              <w:rPr>
                <w:rFonts w:hint="eastAsia" w:ascii="宋体" w:hAnsi="宋体" w:eastAsia="宋体" w:cs="宋体"/>
                <w:b/>
                <w:bCs w:val="0"/>
                <w:kern w:val="0"/>
                <w:sz w:val="24"/>
                <w:szCs w:val="24"/>
                <w:highlight w:val="none"/>
                <w:lang w:eastAsia="zh-CN"/>
              </w:rPr>
              <w:t>。</w:t>
            </w:r>
            <w:r>
              <w:rPr>
                <w:rFonts w:hint="eastAsia" w:ascii="宋体" w:hAnsi="宋体" w:eastAsia="宋体" w:cs="宋体"/>
                <w:b/>
                <w:bCs w:val="0"/>
                <w:kern w:val="0"/>
                <w:sz w:val="24"/>
                <w:szCs w:val="24"/>
                <w:highlight w:val="none"/>
                <w:lang w:val="en-US" w:eastAsia="zh-CN"/>
              </w:rPr>
              <w:t>未提供证明材料或证明材料不合格的投标无效。</w:t>
            </w:r>
            <w:r>
              <w:rPr>
                <w:rFonts w:hint="eastAsia" w:ascii="宋体" w:hAnsi="宋体" w:eastAsia="宋体" w:cs="宋体"/>
                <w:b/>
                <w:bCs w:val="0"/>
                <w:kern w:val="0"/>
                <w:sz w:val="24"/>
                <w:szCs w:val="24"/>
                <w:highlight w:val="none"/>
              </w:rPr>
              <w:t>）</w:t>
            </w:r>
          </w:p>
        </w:tc>
      </w:tr>
      <w:tr w14:paraId="2D5A6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2" w:type="pct"/>
            <w:tcBorders>
              <w:top w:val="single" w:color="auto" w:sz="4" w:space="0"/>
              <w:left w:val="single" w:color="auto" w:sz="4" w:space="0"/>
              <w:bottom w:val="single" w:color="auto" w:sz="4" w:space="0"/>
              <w:right w:val="single" w:color="auto" w:sz="4" w:space="0"/>
            </w:tcBorders>
            <w:noWrap w:val="0"/>
            <w:vAlign w:val="center"/>
          </w:tcPr>
          <w:p w14:paraId="22DA8047">
            <w:pPr>
              <w:keepNext w:val="0"/>
              <w:keepLines w:val="0"/>
              <w:pageBreakBefore w:val="0"/>
              <w:widowControl w:val="0"/>
              <w:kinsoku/>
              <w:wordWrap/>
              <w:overflowPunct/>
              <w:topLinePunct w:val="0"/>
              <w:autoSpaceDE/>
              <w:autoSpaceDN/>
              <w:bidi w:val="0"/>
              <w:spacing w:line="360" w:lineRule="auto"/>
              <w:jc w:val="center"/>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3</w:t>
            </w:r>
          </w:p>
        </w:tc>
        <w:tc>
          <w:tcPr>
            <w:tcW w:w="504" w:type="pct"/>
            <w:tcBorders>
              <w:top w:val="single" w:color="auto" w:sz="4" w:space="0"/>
              <w:left w:val="single" w:color="auto" w:sz="4" w:space="0"/>
              <w:bottom w:val="single" w:color="auto" w:sz="4" w:space="0"/>
              <w:right w:val="single" w:color="auto" w:sz="4" w:space="0"/>
            </w:tcBorders>
            <w:noWrap w:val="0"/>
            <w:vAlign w:val="center"/>
          </w:tcPr>
          <w:p w14:paraId="21D79507">
            <w:pPr>
              <w:keepNext w:val="0"/>
              <w:keepLines w:val="0"/>
              <w:pageBreakBefore w:val="0"/>
              <w:widowControl w:val="0"/>
              <w:kinsoku/>
              <w:wordWrap/>
              <w:overflowPunct/>
              <w:topLinePunct w:val="0"/>
              <w:autoSpaceDE/>
              <w:autoSpaceDN/>
              <w:bidi w:val="0"/>
              <w:spacing w:line="400" w:lineRule="exact"/>
              <w:jc w:val="center"/>
              <w:rPr>
                <w:rFonts w:hint="eastAsia" w:ascii="宋体" w:hAnsi="宋体" w:eastAsia="宋体" w:cs="宋体"/>
                <w:b w:val="0"/>
                <w:bCs/>
                <w:color w:val="auto"/>
                <w:kern w:val="0"/>
                <w:sz w:val="24"/>
                <w:szCs w:val="24"/>
                <w:highlight w:val="none"/>
                <w:lang w:eastAsia="zh-CN"/>
              </w:rPr>
            </w:pPr>
            <w:r>
              <w:rPr>
                <w:rFonts w:hint="eastAsia" w:ascii="宋体" w:hAnsi="宋体" w:eastAsia="宋体" w:cs="宋体"/>
                <w:b w:val="0"/>
                <w:bCs/>
                <w:color w:val="auto"/>
                <w:kern w:val="0"/>
                <w:sz w:val="24"/>
                <w:szCs w:val="24"/>
                <w:highlight w:val="none"/>
                <w:lang w:eastAsia="zh-CN"/>
              </w:rPr>
              <w:t>害虫性诱自动诱捕器</w:t>
            </w:r>
          </w:p>
        </w:tc>
        <w:tc>
          <w:tcPr>
            <w:tcW w:w="4162" w:type="pct"/>
            <w:tcBorders>
              <w:top w:val="single" w:color="auto" w:sz="4" w:space="0"/>
              <w:left w:val="single" w:color="auto" w:sz="4" w:space="0"/>
              <w:bottom w:val="single" w:color="auto" w:sz="4" w:space="0"/>
              <w:right w:val="single" w:color="auto" w:sz="4" w:space="0"/>
            </w:tcBorders>
            <w:noWrap w:val="0"/>
            <w:vAlign w:val="center"/>
          </w:tcPr>
          <w:p w14:paraId="43F3CC3B">
            <w:pPr>
              <w:pStyle w:val="2"/>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产品符合NY/T 4182-2022中的自动计数性诱监测设备要求。</w:t>
            </w:r>
          </w:p>
          <w:p w14:paraId="369F8402">
            <w:pPr>
              <w:keepNext w:val="0"/>
              <w:keepLines w:val="0"/>
              <w:pageBreakBefore w:val="0"/>
              <w:widowControl/>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一、昆虫性诱智能测报系统</w:t>
            </w:r>
          </w:p>
          <w:p w14:paraId="34B6A25B">
            <w:pPr>
              <w:keepNext w:val="0"/>
              <w:keepLines w:val="0"/>
              <w:pageBreakBefore w:val="0"/>
              <w:widowControl/>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sz w:val="24"/>
                <w:szCs w:val="24"/>
                <w:highlight w:val="none"/>
              </w:rPr>
              <w:t>1.对目标靶标害虫诱集量大、专一性强，盛发期性诱目标害虫诱集比率≥90%，非盛发期≥70%。同时具备自动计数功能，与人工计数的动态趋势拟合度≥0.95，自动计数准确率≥80%；</w:t>
            </w:r>
          </w:p>
          <w:p w14:paraId="7B282B88">
            <w:pPr>
              <w:keepNext w:val="0"/>
              <w:keepLines w:val="0"/>
              <w:pageBreakBefore w:val="0"/>
              <w:widowControl/>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sz w:val="24"/>
                <w:szCs w:val="24"/>
                <w:highlight w:val="none"/>
              </w:rPr>
              <w:t>2.害虫自动诱捕感应计数系统：专一识别：系统应能识别包括但不限于稻纵卷叶螟和二化螟等水稻主要害虫，其中稻纵卷叶螟和二化螟性监测诱剂诱芯必须符合《农作物害虫性诱监测技术规范（螟蛾类）》</w:t>
            </w:r>
            <w:r>
              <w:rPr>
                <w:rFonts w:hint="eastAsia" w:ascii="宋体" w:hAnsi="宋体" w:eastAsia="宋体" w:cs="宋体"/>
                <w:b w:val="0"/>
                <w:bCs/>
                <w:sz w:val="24"/>
                <w:szCs w:val="24"/>
                <w:highlight w:val="none"/>
                <w:lang w:eastAsia="zh-CN"/>
              </w:rPr>
              <w:t>（</w:t>
            </w:r>
            <w:r>
              <w:rPr>
                <w:rFonts w:hint="eastAsia" w:ascii="宋体" w:hAnsi="宋体" w:eastAsia="宋体" w:cs="宋体"/>
                <w:b w:val="0"/>
                <w:bCs/>
                <w:sz w:val="24"/>
                <w:szCs w:val="24"/>
                <w:highlight w:val="none"/>
              </w:rPr>
              <w:t>NY/T2732-2015</w:t>
            </w:r>
            <w:r>
              <w:rPr>
                <w:rFonts w:hint="eastAsia" w:ascii="宋体" w:hAnsi="宋体" w:eastAsia="宋体" w:cs="宋体"/>
                <w:b w:val="0"/>
                <w:bCs/>
                <w:sz w:val="24"/>
                <w:szCs w:val="24"/>
                <w:highlight w:val="none"/>
                <w:lang w:eastAsia="zh-CN"/>
              </w:rPr>
              <w:t>）</w:t>
            </w:r>
            <w:r>
              <w:rPr>
                <w:rFonts w:hint="eastAsia" w:ascii="宋体" w:hAnsi="宋体" w:eastAsia="宋体" w:cs="宋体"/>
                <w:b w:val="0"/>
                <w:bCs/>
                <w:sz w:val="24"/>
                <w:szCs w:val="24"/>
                <w:highlight w:val="none"/>
              </w:rPr>
              <w:t>第3.1款表1中相关参数要求，持效期≥60d（极端天气条件下持效期≥30d），稻纵卷叶螟和二化螟的性诱专一化率达90%以上；</w:t>
            </w:r>
          </w:p>
          <w:p w14:paraId="2101A4D7">
            <w:pPr>
              <w:keepNext w:val="0"/>
              <w:keepLines w:val="0"/>
              <w:pageBreakBefore w:val="0"/>
              <w:kinsoku/>
              <w:wordWrap/>
              <w:overflowPunct/>
              <w:topLinePunct w:val="0"/>
              <w:autoSpaceDE/>
              <w:autoSpaceDN/>
              <w:bidi w:val="0"/>
              <w:spacing w:line="400" w:lineRule="exact"/>
              <w:ind w:left="599" w:leftChars="228" w:hanging="120" w:hangingChars="50"/>
              <w:jc w:val="both"/>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3.诱芯性信息素均匀释放，持效期≥30d；</w:t>
            </w:r>
          </w:p>
          <w:p w14:paraId="6722FEB9">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4.具备远程传输数据的功能，并按要求接入县级、省级、国家级相关农作物有害生物监控信息系统</w:t>
            </w:r>
            <w:r>
              <w:rPr>
                <w:rFonts w:hint="eastAsia" w:ascii="宋体" w:hAnsi="宋体" w:eastAsia="宋体" w:cs="宋体"/>
                <w:b w:val="0"/>
                <w:bCs/>
                <w:sz w:val="24"/>
                <w:szCs w:val="24"/>
                <w:highlight w:val="none"/>
                <w:lang w:val="en-US" w:eastAsia="zh-CN"/>
              </w:rPr>
              <w:t>和</w:t>
            </w:r>
            <w:r>
              <w:rPr>
                <w:rFonts w:hint="eastAsia" w:ascii="宋体" w:hAnsi="宋体" w:eastAsia="宋体" w:cs="宋体"/>
                <w:b w:val="0"/>
                <w:bCs/>
                <w:kern w:val="0"/>
                <w:sz w:val="24"/>
                <w:szCs w:val="24"/>
                <w:highlight w:val="none"/>
              </w:rPr>
              <w:t>江西省农业农村云上赣农一体化平台，并</w:t>
            </w:r>
            <w:r>
              <w:rPr>
                <w:rFonts w:hint="eastAsia" w:ascii="宋体" w:hAnsi="宋体" w:eastAsia="宋体" w:cs="宋体"/>
                <w:b w:val="0"/>
                <w:bCs/>
                <w:sz w:val="24"/>
                <w:szCs w:val="24"/>
                <w:highlight w:val="none"/>
              </w:rPr>
              <w:t>保证</w:t>
            </w:r>
            <w:r>
              <w:rPr>
                <w:rFonts w:hint="eastAsia" w:ascii="宋体" w:hAnsi="宋体" w:eastAsia="宋体" w:cs="宋体"/>
                <w:b w:val="0"/>
                <w:bCs/>
                <w:sz w:val="24"/>
                <w:szCs w:val="24"/>
                <w:highlight w:val="none"/>
                <w:lang w:bidi="ar"/>
              </w:rPr>
              <w:t>数据安全</w:t>
            </w:r>
            <w:r>
              <w:rPr>
                <w:rFonts w:hint="eastAsia" w:ascii="宋体" w:hAnsi="宋体" w:eastAsia="宋体" w:cs="宋体"/>
                <w:b w:val="0"/>
                <w:bCs/>
                <w:sz w:val="24"/>
                <w:szCs w:val="24"/>
                <w:highlight w:val="none"/>
              </w:rPr>
              <w:t>。</w:t>
            </w:r>
          </w:p>
          <w:p w14:paraId="0AB3F5DD">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二、监测数据自动采集系统（云终端）</w:t>
            </w:r>
          </w:p>
          <w:p w14:paraId="495C00D1">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1.诱捕器：采用倒置漏斗式飞蛾诱捕器，增加反向三漏斗蛾子逃逸结构，材质为聚碳酸酯（PC），集虫漏斗符合《农作物害虫性诱监测技术规范（螟蛾类）</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NY/T2732-2015</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第4条第4.1款要求；</w:t>
            </w:r>
          </w:p>
          <w:p w14:paraId="4A852693">
            <w:pPr>
              <w:pStyle w:val="2"/>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1）主诱捕器：总高度40㎝（±5%），底部虫出口直径4㎝（±5%）；集虫漏斗上口内径2㎝（±5%），下口内径直径17㎝（±5%），高29㎝（±5%）；诱芯杆长15㎝（±5%）</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参数符合</w:t>
            </w:r>
            <w:r>
              <w:rPr>
                <w:rFonts w:hint="eastAsia" w:ascii="宋体" w:hAnsi="宋体" w:eastAsia="宋体" w:cs="宋体"/>
                <w:b w:val="0"/>
                <w:bCs/>
                <w:sz w:val="24"/>
                <w:szCs w:val="24"/>
                <w:highlight w:val="none"/>
                <w:lang w:eastAsia="zh-CN"/>
              </w:rPr>
              <w:t>《</w:t>
            </w:r>
            <w:r>
              <w:rPr>
                <w:rFonts w:hint="eastAsia" w:ascii="宋体" w:hAnsi="宋体" w:eastAsia="宋体" w:cs="宋体"/>
                <w:b w:val="0"/>
                <w:bCs/>
                <w:sz w:val="24"/>
                <w:szCs w:val="24"/>
                <w:highlight w:val="none"/>
              </w:rPr>
              <w:t>农作物害虫性诱监测技术规</w:t>
            </w:r>
            <w:r>
              <w:rPr>
                <w:rFonts w:hint="eastAsia" w:ascii="宋体" w:hAnsi="宋体" w:eastAsia="宋体" w:cs="宋体"/>
                <w:b w:val="0"/>
                <w:bCs/>
                <w:color w:val="auto"/>
                <w:sz w:val="24"/>
                <w:szCs w:val="24"/>
                <w:highlight w:val="none"/>
              </w:rPr>
              <w:t>范（螟蛾类）</w:t>
            </w:r>
            <w:r>
              <w:rPr>
                <w:rFonts w:hint="eastAsia" w:ascii="宋体" w:hAnsi="宋体" w:eastAsia="宋体" w:cs="宋体"/>
                <w:b w:val="0"/>
                <w:bCs/>
                <w:color w:val="auto"/>
                <w:sz w:val="24"/>
                <w:szCs w:val="24"/>
                <w:highlight w:val="none"/>
                <w:lang w:eastAsia="zh-CN"/>
              </w:rPr>
              <w:t>》</w:t>
            </w:r>
            <w:r>
              <w:rPr>
                <w:rFonts w:hint="eastAsia" w:ascii="宋体" w:hAnsi="宋体" w:eastAsia="宋体" w:cs="宋体"/>
                <w:b w:val="0"/>
                <w:bCs/>
                <w:sz w:val="24"/>
                <w:szCs w:val="24"/>
                <w:highlight w:val="none"/>
                <w:lang w:eastAsia="zh-CN"/>
              </w:rPr>
              <w:t>（NY/T2732-2015）</w:t>
            </w:r>
            <w:r>
              <w:rPr>
                <w:rFonts w:hint="eastAsia" w:ascii="宋体" w:hAnsi="宋体" w:eastAsia="宋体" w:cs="宋体"/>
                <w:b w:val="0"/>
                <w:bCs/>
                <w:kern w:val="0"/>
                <w:sz w:val="24"/>
                <w:szCs w:val="24"/>
                <w:highlight w:val="none"/>
              </w:rPr>
              <w:t>第4条第4.1款要求</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w:t>
            </w:r>
          </w:p>
          <w:p w14:paraId="36C534ED">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2）上集虫器：帽型结构，顶部倾斜，高23cm</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35cm，直径最大28cm（±5%），最小16cm（±5%），进虫口直径2cm（±5%）。</w:t>
            </w:r>
          </w:p>
          <w:p w14:paraId="01B3D638">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3）下集虫器：高22㎝（±5%），直径9㎝（±5%）。</w:t>
            </w:r>
          </w:p>
          <w:p w14:paraId="5396829A">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2.双计数系统：上下集虫器各带一个三层4对红外计数装置，自动计数进入集虫器的昆虫，间隔＜</w:t>
            </w:r>
            <w:r>
              <w:rPr>
                <w:rFonts w:hint="eastAsia" w:ascii="宋体" w:hAnsi="宋体" w:eastAsia="宋体" w:cs="宋体"/>
                <w:b w:val="0"/>
                <w:bCs/>
                <w:kern w:val="0"/>
                <w:sz w:val="24"/>
                <w:szCs w:val="24"/>
                <w:highlight w:val="none"/>
                <w:lang w:eastAsia="zh-CN"/>
              </w:rPr>
              <w:t>1 s</w:t>
            </w:r>
            <w:r>
              <w:rPr>
                <w:rFonts w:hint="eastAsia" w:ascii="宋体" w:hAnsi="宋体" w:eastAsia="宋体" w:cs="宋体"/>
                <w:b w:val="0"/>
                <w:bCs/>
                <w:kern w:val="0"/>
                <w:sz w:val="24"/>
                <w:szCs w:val="24"/>
                <w:highlight w:val="none"/>
              </w:rPr>
              <w:t>。计算总数后发送至服务器数据库。</w:t>
            </w:r>
          </w:p>
          <w:p w14:paraId="6E2CE830">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3.支持太阳能电池板或蓄电池自主供电，连续阴雨条件下正常工作≥30天</w:t>
            </w:r>
            <w:r>
              <w:rPr>
                <w:rFonts w:hint="eastAsia" w:ascii="宋体" w:hAnsi="宋体" w:eastAsia="宋体" w:cs="宋体"/>
                <w:b w:val="0"/>
                <w:bCs/>
                <w:sz w:val="24"/>
                <w:szCs w:val="24"/>
                <w:highlight w:val="none"/>
              </w:rPr>
              <w:t>。</w:t>
            </w:r>
            <w:r>
              <w:rPr>
                <w:rFonts w:hint="eastAsia" w:ascii="宋体" w:hAnsi="宋体" w:eastAsia="宋体" w:cs="宋体"/>
                <w:b w:val="0"/>
                <w:bCs/>
                <w:kern w:val="0"/>
                <w:sz w:val="24"/>
                <w:szCs w:val="24"/>
                <w:highlight w:val="none"/>
              </w:rPr>
              <w:t>太阳能板：单晶硅、铝合金边框，长63cm×宽54cm×厚3cm（±5%）；功率：</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55W；工作温度：-40℃-85℃；最大工作电压19.08V，最大工作电流2.88A，开路电压20.16V，开路电流3.59A。蓄电池</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（12V，24ah）；工作温度：-40℃-65℃；工作湿度：20</w:t>
            </w:r>
            <w:r>
              <w:rPr>
                <w:rFonts w:hint="eastAsia" w:ascii="宋体" w:hAnsi="宋体" w:eastAsia="宋体" w:cs="宋体"/>
                <w:b w:val="0"/>
                <w:bCs/>
                <w:kern w:val="0"/>
                <w:sz w:val="24"/>
                <w:szCs w:val="24"/>
                <w:highlight w:val="none"/>
                <w:lang w:val="en-US" w:eastAsia="zh-CN"/>
              </w:rPr>
              <w:t>%</w:t>
            </w:r>
            <w:r>
              <w:rPr>
                <w:rFonts w:hint="eastAsia" w:ascii="宋体" w:hAnsi="宋体" w:eastAsia="宋体" w:cs="宋体"/>
                <w:b w:val="0"/>
                <w:bCs/>
                <w:kern w:val="0"/>
                <w:sz w:val="24"/>
                <w:szCs w:val="24"/>
                <w:highlight w:val="none"/>
              </w:rPr>
              <w:t>-90%RH。支持太阳能与市电双供电模式，具备过充、过放、短路保护功能。</w:t>
            </w:r>
          </w:p>
          <w:p w14:paraId="0CDA0E05">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4.支架：太阳能主杆喷塑铝管材质，高≥300cm</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直径≥8.9cm。诱捕器一体支架304不锈钢喷塑材质：</w:t>
            </w:r>
            <w:r>
              <w:rPr>
                <w:rFonts w:hint="eastAsia" w:ascii="宋体" w:hAnsi="宋体" w:eastAsia="宋体" w:cs="宋体"/>
                <w:b w:val="0"/>
                <w:bCs/>
                <w:color w:val="auto"/>
                <w:kern w:val="0"/>
                <w:sz w:val="24"/>
                <w:szCs w:val="24"/>
                <w:highlight w:val="none"/>
              </w:rPr>
              <w:t>总长70</w:t>
            </w:r>
            <w:r>
              <w:rPr>
                <w:rFonts w:hint="eastAsia" w:ascii="宋体" w:hAnsi="宋体" w:eastAsia="宋体" w:cs="宋体"/>
                <w:b w:val="0"/>
                <w:bCs/>
                <w:color w:val="auto"/>
                <w:kern w:val="0"/>
                <w:sz w:val="24"/>
                <w:szCs w:val="24"/>
                <w:highlight w:val="none"/>
                <w:lang w:val="en-US"/>
              </w:rPr>
              <w:t>c</w:t>
            </w:r>
            <w:r>
              <w:rPr>
                <w:rFonts w:hint="eastAsia" w:ascii="宋体" w:hAnsi="宋体" w:eastAsia="宋体" w:cs="宋体"/>
                <w:b w:val="0"/>
                <w:bCs/>
                <w:color w:val="auto"/>
                <w:kern w:val="0"/>
                <w:sz w:val="24"/>
                <w:szCs w:val="24"/>
                <w:highlight w:val="none"/>
              </w:rPr>
              <w:t>m（±</w:t>
            </w:r>
            <w:r>
              <w:rPr>
                <w:rFonts w:hint="eastAsia" w:ascii="宋体" w:hAnsi="宋体" w:eastAsia="宋体" w:cs="宋体"/>
                <w:b w:val="0"/>
                <w:bCs/>
                <w:kern w:val="0"/>
                <w:sz w:val="24"/>
                <w:szCs w:val="24"/>
                <w:highlight w:val="none"/>
              </w:rPr>
              <w:t>5%），总宽27cm（±5%），最大高度14cm（±5%）。</w:t>
            </w:r>
          </w:p>
          <w:p w14:paraId="5B5E5E0B">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5.防电箱</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表面喷塑304不锈钢材质，内含双层，可调节高度位置，尺寸29cm×25cm×41cm（±5%），外盖标注防电标识。</w:t>
            </w:r>
          </w:p>
          <w:p w14:paraId="366011D7">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6.终端储存器：实时记录和存储诱捕器监测数据，储存时间≥12月。定时向网关发送监测数据，并具有定时自检及自动重启纠错功能，默认白天为省电模式，提高电池利用率，亦可人工配置省电时间段。终端参数：工作温度：0℃-60℃；工作湿度</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0-99%；工作电压：DC12V；正常平均功率：&lt;1W。</w:t>
            </w:r>
          </w:p>
          <w:p w14:paraId="64392159">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三、监测数据自动传输系统</w:t>
            </w:r>
          </w:p>
          <w:p w14:paraId="2481ACC4">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lang w:val="en-US" w:eastAsia="zh-CN"/>
              </w:rPr>
              <w:t>具有</w:t>
            </w:r>
            <w:r>
              <w:rPr>
                <w:rFonts w:hint="eastAsia" w:ascii="宋体" w:hAnsi="宋体" w:eastAsia="宋体" w:cs="宋体"/>
                <w:b w:val="0"/>
                <w:bCs/>
                <w:kern w:val="0"/>
                <w:sz w:val="24"/>
                <w:szCs w:val="24"/>
                <w:highlight w:val="none"/>
              </w:rPr>
              <w:t>网关支持局域网互连技术，最多可连接8个监测数据自动采集系统（终端），局域网作用距离在无障碍物情况下≥1.5公里。网关通过GPRS双频900/1800MHz无线通信，最大传输速率≥100kbps。网关具备软件远程升级、离线自动重启上线功能，支持与云服务器实时数据同步。</w:t>
            </w:r>
          </w:p>
          <w:p w14:paraId="3E187855">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系统监测的数据包括：</w:t>
            </w:r>
          </w:p>
          <w:p w14:paraId="79E2CDD6">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诱虫量：实时诱虫量数据及历史诱虫量数据；</w:t>
            </w:r>
          </w:p>
          <w:p w14:paraId="1EA1C5B6">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设备状态：传感器状态、网络状态、电源状态等；</w:t>
            </w:r>
          </w:p>
          <w:p w14:paraId="78F81D51">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气象数据采集：标配温湿度参数，可选配风速、土壤温湿度、光照度、降雨量等；</w:t>
            </w:r>
          </w:p>
          <w:p w14:paraId="4403C706">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系统参数：</w:t>
            </w:r>
          </w:p>
          <w:p w14:paraId="10B4F027">
            <w:pPr>
              <w:keepNext w:val="0"/>
              <w:keepLines w:val="0"/>
              <w:pageBreakBefore w:val="0"/>
              <w:widowControl w:val="0"/>
              <w:kinsoku/>
              <w:wordWrap/>
              <w:overflowPunct/>
              <w:topLinePunct w:val="0"/>
              <w:autoSpaceDE/>
              <w:autoSpaceDN/>
              <w:bidi w:val="0"/>
              <w:adjustRightInd/>
              <w:snapToGrid/>
              <w:spacing w:line="400" w:lineRule="exact"/>
              <w:ind w:left="420" w:leftChars="200"/>
              <w:jc w:val="both"/>
              <w:textAlignment w:val="auto"/>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1）工作温度：</w:t>
            </w:r>
            <w:r>
              <w:rPr>
                <w:rFonts w:hint="eastAsia" w:ascii="宋体" w:hAnsi="宋体" w:eastAsia="宋体" w:cs="宋体"/>
                <w:b w:val="0"/>
                <w:bCs/>
                <w:kern w:val="0"/>
                <w:sz w:val="24"/>
                <w:szCs w:val="24"/>
                <w:highlight w:val="none"/>
                <w:lang w:val="en-US" w:eastAsia="zh-CN"/>
              </w:rPr>
              <w:t>0</w:t>
            </w:r>
            <w:r>
              <w:rPr>
                <w:rFonts w:hint="eastAsia" w:ascii="宋体" w:hAnsi="宋体" w:eastAsia="宋体" w:cs="宋体"/>
                <w:b w:val="0"/>
                <w:bCs/>
                <w:kern w:val="0"/>
                <w:sz w:val="24"/>
                <w:szCs w:val="24"/>
                <w:highlight w:val="none"/>
              </w:rPr>
              <w:t>℃-60℃；</w:t>
            </w:r>
          </w:p>
          <w:p w14:paraId="72FCD764">
            <w:pPr>
              <w:keepNext w:val="0"/>
              <w:keepLines w:val="0"/>
              <w:pageBreakBefore w:val="0"/>
              <w:widowControl w:val="0"/>
              <w:kinsoku/>
              <w:wordWrap/>
              <w:overflowPunct/>
              <w:topLinePunct w:val="0"/>
              <w:autoSpaceDE/>
              <w:autoSpaceDN/>
              <w:bidi w:val="0"/>
              <w:adjustRightInd/>
              <w:snapToGrid/>
              <w:spacing w:line="400" w:lineRule="exact"/>
              <w:ind w:left="420" w:leftChars="200"/>
              <w:jc w:val="both"/>
              <w:textAlignment w:val="auto"/>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2）工作湿度</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0</w:t>
            </w:r>
            <w:r>
              <w:rPr>
                <w:rFonts w:hint="eastAsia" w:ascii="宋体" w:hAnsi="宋体" w:eastAsia="宋体" w:cs="宋体"/>
                <w:b w:val="0"/>
                <w:bCs/>
                <w:kern w:val="0"/>
                <w:sz w:val="24"/>
                <w:szCs w:val="24"/>
                <w:highlight w:val="none"/>
                <w:lang w:val="en-US" w:eastAsia="zh-CN"/>
              </w:rPr>
              <w:t>%</w:t>
            </w:r>
            <w:r>
              <w:rPr>
                <w:rFonts w:hint="eastAsia" w:ascii="宋体" w:hAnsi="宋体" w:eastAsia="宋体" w:cs="宋体"/>
                <w:b w:val="0"/>
                <w:bCs/>
                <w:kern w:val="0"/>
                <w:sz w:val="24"/>
                <w:szCs w:val="24"/>
                <w:highlight w:val="none"/>
              </w:rPr>
              <w:t>-99%RH（无凝露）；</w:t>
            </w:r>
          </w:p>
          <w:p w14:paraId="2514131B">
            <w:pPr>
              <w:keepNext w:val="0"/>
              <w:keepLines w:val="0"/>
              <w:pageBreakBefore w:val="0"/>
              <w:widowControl w:val="0"/>
              <w:kinsoku/>
              <w:wordWrap/>
              <w:overflowPunct/>
              <w:topLinePunct w:val="0"/>
              <w:autoSpaceDE/>
              <w:autoSpaceDN/>
              <w:bidi w:val="0"/>
              <w:adjustRightInd/>
              <w:snapToGrid/>
              <w:spacing w:line="400" w:lineRule="exact"/>
              <w:ind w:left="420" w:leftChars="200"/>
              <w:jc w:val="both"/>
              <w:textAlignment w:val="auto"/>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3）工作电压：</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DC12V，支持太阳能/市电双供电模式，具备过充、过放、短路保护功能；</w:t>
            </w:r>
          </w:p>
          <w:p w14:paraId="6BCDB7AC">
            <w:pPr>
              <w:keepNext w:val="0"/>
              <w:keepLines w:val="0"/>
              <w:pageBreakBefore w:val="0"/>
              <w:widowControl w:val="0"/>
              <w:kinsoku/>
              <w:wordWrap/>
              <w:overflowPunct/>
              <w:topLinePunct w:val="0"/>
              <w:autoSpaceDE/>
              <w:autoSpaceDN/>
              <w:bidi w:val="0"/>
              <w:adjustRightInd/>
              <w:snapToGrid/>
              <w:spacing w:line="400" w:lineRule="exact"/>
              <w:ind w:left="420" w:leftChars="200"/>
              <w:jc w:val="both"/>
              <w:textAlignment w:val="auto"/>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4）平均功率与续航</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&lt;2W，支持连续阴雨条件下正常工作≥30天，适配太阳能供电场景；</w:t>
            </w:r>
          </w:p>
          <w:p w14:paraId="15542805">
            <w:pPr>
              <w:keepNext w:val="0"/>
              <w:keepLines w:val="0"/>
              <w:pageBreakBefore w:val="0"/>
              <w:widowControl w:val="0"/>
              <w:kinsoku/>
              <w:wordWrap/>
              <w:overflowPunct/>
              <w:topLinePunct w:val="0"/>
              <w:autoSpaceDE/>
              <w:autoSpaceDN/>
              <w:bidi w:val="0"/>
              <w:adjustRightInd/>
              <w:snapToGrid/>
              <w:spacing w:line="400" w:lineRule="exact"/>
              <w:ind w:left="420" w:leftChars="200"/>
              <w:jc w:val="both"/>
              <w:textAlignment w:val="auto"/>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5）局域网参数：ISM 433MHz，最大速率 10Kbps；</w:t>
            </w:r>
          </w:p>
          <w:p w14:paraId="13B25965">
            <w:pPr>
              <w:keepNext w:val="0"/>
              <w:keepLines w:val="0"/>
              <w:pageBreakBefore w:val="0"/>
              <w:widowControl w:val="0"/>
              <w:kinsoku/>
              <w:wordWrap/>
              <w:overflowPunct/>
              <w:topLinePunct w:val="0"/>
              <w:autoSpaceDE/>
              <w:autoSpaceDN/>
              <w:bidi w:val="0"/>
              <w:adjustRightInd/>
              <w:snapToGrid/>
              <w:spacing w:line="400" w:lineRule="exact"/>
              <w:ind w:left="420" w:leftChars="200"/>
              <w:jc w:val="both"/>
              <w:textAlignment w:val="auto"/>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6）数据通信网参数：GPRS双频900/1800MHz，最大速率 85.6 kbps；</w:t>
            </w:r>
          </w:p>
          <w:p w14:paraId="6102F7EB">
            <w:pPr>
              <w:keepNext w:val="0"/>
              <w:keepLines w:val="0"/>
              <w:pageBreakBefore w:val="0"/>
              <w:widowControl w:val="0"/>
              <w:kinsoku/>
              <w:wordWrap/>
              <w:overflowPunct/>
              <w:topLinePunct w:val="0"/>
              <w:autoSpaceDE/>
              <w:autoSpaceDN/>
              <w:bidi w:val="0"/>
              <w:adjustRightInd/>
              <w:snapToGrid/>
              <w:spacing w:line="400" w:lineRule="exact"/>
              <w:ind w:left="420" w:leftChars="200"/>
              <w:jc w:val="both"/>
              <w:textAlignment w:val="auto"/>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7）终端配置：支持远程灵活配置云终端设备，包括增加、减少和更换，最多可配置8个终端；</w:t>
            </w:r>
            <w:r>
              <w:rPr>
                <w:rFonts w:hint="eastAsia" w:ascii="宋体" w:hAnsi="宋体" w:eastAsia="宋体" w:cs="宋体"/>
                <w:b w:val="0"/>
                <w:bCs/>
                <w:color w:val="333333"/>
                <w:sz w:val="24"/>
                <w:szCs w:val="24"/>
                <w:highlight w:val="none"/>
                <w:shd w:val="clear" w:color="auto" w:fill="FFFFFF"/>
              </w:rPr>
              <w:t>支持与虫情信息自动采集传输系统、性诱自动诱捕器等设备联动，实现病虫害综合监测；</w:t>
            </w:r>
          </w:p>
          <w:p w14:paraId="70F48069">
            <w:pPr>
              <w:keepNext w:val="0"/>
              <w:keepLines w:val="0"/>
              <w:pageBreakBefore w:val="0"/>
              <w:widowControl w:val="0"/>
              <w:kinsoku/>
              <w:wordWrap/>
              <w:overflowPunct/>
              <w:topLinePunct w:val="0"/>
              <w:autoSpaceDE/>
              <w:autoSpaceDN/>
              <w:bidi w:val="0"/>
              <w:adjustRightInd/>
              <w:snapToGrid/>
              <w:spacing w:line="400" w:lineRule="exact"/>
              <w:ind w:left="420" w:leftChars="200"/>
              <w:jc w:val="both"/>
              <w:textAlignment w:val="auto"/>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8）远程控制：可远程下发指令，实现即时上传数据、设备重启、参数调整等操作，响应时间≤5秒；</w:t>
            </w:r>
          </w:p>
          <w:p w14:paraId="75B81EF1">
            <w:pPr>
              <w:keepNext w:val="0"/>
              <w:keepLines w:val="0"/>
              <w:pageBreakBefore w:val="0"/>
              <w:widowControl/>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四、昆虫性诱智能测报系统软件系统</w:t>
            </w:r>
          </w:p>
          <w:p w14:paraId="58C62C71">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1、网络云平台</w:t>
            </w:r>
          </w:p>
          <w:p w14:paraId="2D332BA8">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lang w:val="en-US" w:eastAsia="zh-CN"/>
              </w:rPr>
              <w:t>PC</w:t>
            </w:r>
            <w:r>
              <w:rPr>
                <w:rFonts w:hint="eastAsia" w:ascii="宋体" w:hAnsi="宋体" w:eastAsia="宋体" w:cs="宋体"/>
                <w:b w:val="0"/>
                <w:bCs/>
                <w:kern w:val="0"/>
                <w:sz w:val="24"/>
                <w:szCs w:val="24"/>
                <w:highlight w:val="none"/>
              </w:rPr>
              <w:t>客户端实现监测数据查询、分析，不同区域、时间之间的数据比较，自动作图和数据输出等。可定制化与用户网站对接。</w:t>
            </w:r>
          </w:p>
          <w:p w14:paraId="4DCBCD9A">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2、手机APP 软件</w:t>
            </w:r>
          </w:p>
          <w:p w14:paraId="40BCBCCC">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1）APP测报：</w:t>
            </w:r>
          </w:p>
          <w:p w14:paraId="71AF656A">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手机终端APP（支持IOS、Android和HarmonyOS操作系统）以图形曲线方式显示实时和历史诱虫量等动态变化，并可以查询各项记录数值</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定位设备位置并进行导航</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诱芯到期更换提醒</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设备异常提醒等功能。</w:t>
            </w:r>
          </w:p>
          <w:p w14:paraId="07FAC3A1">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2）</w:t>
            </w:r>
            <w:r>
              <w:rPr>
                <w:rFonts w:hint="eastAsia" w:ascii="宋体" w:hAnsi="宋体" w:eastAsia="宋体" w:cs="宋体"/>
                <w:b w:val="0"/>
                <w:bCs/>
                <w:kern w:val="0"/>
                <w:sz w:val="24"/>
                <w:szCs w:val="24"/>
                <w:highlight w:val="none"/>
                <w:lang w:eastAsia="zh-CN"/>
              </w:rPr>
              <w:t>具备功能</w:t>
            </w:r>
            <w:r>
              <w:rPr>
                <w:rFonts w:hint="eastAsia" w:ascii="宋体" w:hAnsi="宋体" w:eastAsia="宋体" w:cs="宋体"/>
                <w:b w:val="0"/>
                <w:bCs/>
                <w:kern w:val="0"/>
                <w:sz w:val="24"/>
                <w:szCs w:val="24"/>
                <w:highlight w:val="none"/>
              </w:rPr>
              <w:t>：</w:t>
            </w:r>
          </w:p>
          <w:p w14:paraId="6B3C882E">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病虫害人工录入并支持拍照上传，采用5点观测法数据录入和管理，支持拍照识别功能，通过拍照自动识别对应病害类别和等级；整合测报教学内容和病虫防控知识资料库，包括使用方法、主要病虫害田间辨识、病虫害调查技术和防控技术等；支持预报预测功能，每种病虫害设定一个防控阈值，当预报预测中的预测结果达到这一阈值，就会发生预警并给出对应防控的时间和措施。</w:t>
            </w:r>
          </w:p>
          <w:p w14:paraId="51B76747">
            <w:pPr>
              <w:keepNext w:val="0"/>
              <w:keepLines w:val="0"/>
              <w:pageBreakBefore w:val="0"/>
              <w:widowControl/>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五、适用监测的害虫种类</w:t>
            </w:r>
          </w:p>
          <w:p w14:paraId="28E6E2A4">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kern w:val="0"/>
                <w:sz w:val="24"/>
                <w:szCs w:val="24"/>
                <w:highlight w:val="none"/>
              </w:rPr>
              <w:t>二化螟、稻纵卷叶螟、粘虫、玉米螟、草地贪夜蛾、斜纹夜蛾</w:t>
            </w:r>
            <w:r>
              <w:rPr>
                <w:rFonts w:hint="eastAsia" w:ascii="宋体" w:hAnsi="宋体" w:eastAsia="宋体" w:cs="宋体"/>
                <w:b w:val="0"/>
                <w:bCs/>
                <w:kern w:val="0"/>
                <w:sz w:val="24"/>
                <w:szCs w:val="24"/>
                <w:highlight w:val="none"/>
                <w:lang w:eastAsia="zh-CN"/>
              </w:rPr>
              <w:t>等</w:t>
            </w:r>
            <w:r>
              <w:rPr>
                <w:rFonts w:hint="eastAsia" w:ascii="宋体" w:hAnsi="宋体" w:eastAsia="宋体" w:cs="宋体"/>
                <w:b w:val="0"/>
                <w:bCs/>
                <w:kern w:val="0"/>
                <w:sz w:val="24"/>
                <w:szCs w:val="24"/>
                <w:highlight w:val="none"/>
              </w:rPr>
              <w:t>。</w:t>
            </w:r>
          </w:p>
        </w:tc>
      </w:tr>
      <w:tr w14:paraId="10F71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2" w:type="pct"/>
            <w:tcBorders>
              <w:top w:val="single" w:color="auto" w:sz="4" w:space="0"/>
              <w:left w:val="single" w:color="auto" w:sz="4" w:space="0"/>
              <w:bottom w:val="single" w:color="auto" w:sz="4" w:space="0"/>
              <w:right w:val="single" w:color="auto" w:sz="4" w:space="0"/>
            </w:tcBorders>
            <w:noWrap w:val="0"/>
            <w:vAlign w:val="center"/>
          </w:tcPr>
          <w:p w14:paraId="4235EB60">
            <w:pPr>
              <w:keepNext w:val="0"/>
              <w:keepLines w:val="0"/>
              <w:pageBreakBefore w:val="0"/>
              <w:widowControl w:val="0"/>
              <w:kinsoku/>
              <w:wordWrap/>
              <w:overflowPunct/>
              <w:topLinePunct w:val="0"/>
              <w:autoSpaceDE/>
              <w:autoSpaceDN/>
              <w:bidi w:val="0"/>
              <w:spacing w:line="360" w:lineRule="auto"/>
              <w:jc w:val="center"/>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4</w:t>
            </w:r>
          </w:p>
        </w:tc>
        <w:tc>
          <w:tcPr>
            <w:tcW w:w="504" w:type="pct"/>
            <w:tcBorders>
              <w:top w:val="single" w:color="auto" w:sz="4" w:space="0"/>
              <w:left w:val="single" w:color="auto" w:sz="4" w:space="0"/>
              <w:bottom w:val="single" w:color="auto" w:sz="4" w:space="0"/>
              <w:right w:val="single" w:color="auto" w:sz="4" w:space="0"/>
            </w:tcBorders>
            <w:noWrap w:val="0"/>
            <w:vAlign w:val="center"/>
          </w:tcPr>
          <w:p w14:paraId="0D3612C1">
            <w:pPr>
              <w:keepNext w:val="0"/>
              <w:keepLines w:val="0"/>
              <w:pageBreakBefore w:val="0"/>
              <w:widowControl w:val="0"/>
              <w:kinsoku/>
              <w:wordWrap/>
              <w:overflowPunct/>
              <w:topLinePunct w:val="0"/>
              <w:autoSpaceDE/>
              <w:autoSpaceDN/>
              <w:bidi w:val="0"/>
              <w:spacing w:line="400" w:lineRule="exact"/>
              <w:jc w:val="center"/>
              <w:rPr>
                <w:rFonts w:hint="eastAsia" w:ascii="宋体" w:hAnsi="宋体" w:eastAsia="宋体" w:cs="宋体"/>
                <w:b w:val="0"/>
                <w:bCs/>
                <w:color w:val="auto"/>
                <w:kern w:val="0"/>
                <w:sz w:val="24"/>
                <w:szCs w:val="24"/>
                <w:highlight w:val="none"/>
                <w:lang w:eastAsia="zh-CN"/>
              </w:rPr>
            </w:pPr>
            <w:r>
              <w:rPr>
                <w:rFonts w:hint="eastAsia" w:ascii="宋体" w:hAnsi="宋体" w:eastAsia="宋体" w:cs="宋体"/>
                <w:b w:val="0"/>
                <w:bCs/>
                <w:color w:val="auto"/>
                <w:kern w:val="0"/>
                <w:sz w:val="24"/>
                <w:szCs w:val="24"/>
                <w:highlight w:val="none"/>
                <w:lang w:eastAsia="zh-CN"/>
              </w:rPr>
              <w:t>小虫体智能测报系统</w:t>
            </w:r>
          </w:p>
        </w:tc>
        <w:tc>
          <w:tcPr>
            <w:tcW w:w="4162" w:type="pct"/>
            <w:tcBorders>
              <w:top w:val="single" w:color="auto" w:sz="4" w:space="0"/>
              <w:left w:val="single" w:color="auto" w:sz="4" w:space="0"/>
              <w:bottom w:val="single" w:color="auto" w:sz="4" w:space="0"/>
              <w:right w:val="single" w:color="auto" w:sz="4" w:space="0"/>
            </w:tcBorders>
            <w:noWrap w:val="0"/>
            <w:vAlign w:val="center"/>
          </w:tcPr>
          <w:p w14:paraId="51D698A3">
            <w:pPr>
              <w:keepNext w:val="0"/>
              <w:keepLines w:val="0"/>
              <w:pageBreakBefore w:val="0"/>
              <w:kinsoku/>
              <w:wordWrap/>
              <w:overflowPunct/>
              <w:topLinePunct w:val="0"/>
              <w:autoSpaceDE/>
              <w:autoSpaceDN/>
              <w:bidi w:val="0"/>
              <w:spacing w:line="400" w:lineRule="exact"/>
              <w:ind w:firstLine="480" w:firstLineChars="200"/>
              <w:jc w:val="left"/>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1.整体结构：采用304不锈钢材质，符合GB/T 3280-2015《不锈钢冷轧钢板和钢带》标准，具备防锈、防腐、防紫外线性能；配置防雨百叶（≥IP54防护等级），下雨天可正常工作，不影响捕虫效率；-10℃</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70℃，工作湿度≤95%RH（无凝露）；支持太阳能/市电双供电模式，连续阴雨条件下续航≥30天。</w:t>
            </w:r>
          </w:p>
          <w:p w14:paraId="7E4E7B7B">
            <w:pPr>
              <w:keepNext w:val="0"/>
              <w:keepLines w:val="0"/>
              <w:pageBreakBefore w:val="0"/>
              <w:kinsoku/>
              <w:wordWrap/>
              <w:overflowPunct/>
              <w:topLinePunct w:val="0"/>
              <w:autoSpaceDE/>
              <w:autoSpaceDN/>
              <w:bidi w:val="0"/>
              <w:spacing w:line="400" w:lineRule="exact"/>
              <w:ind w:firstLine="480" w:firstLineChars="200"/>
              <w:jc w:val="left"/>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2.虫体隔离：配置大小虫体隔离装置，可将虫体按体积大小进行有效隔离，常规工况下隔离率≥95%（极端工况≥90%）；支持隔离装置远程校准与参数调整。</w:t>
            </w:r>
          </w:p>
          <w:p w14:paraId="5AA3AAC3">
            <w:pPr>
              <w:keepNext w:val="0"/>
              <w:keepLines w:val="0"/>
              <w:pageBreakBefore w:val="0"/>
              <w:kinsoku/>
              <w:wordWrap/>
              <w:overflowPunct/>
              <w:topLinePunct w:val="0"/>
              <w:autoSpaceDE/>
              <w:autoSpaceDN/>
              <w:bidi w:val="0"/>
              <w:spacing w:line="400" w:lineRule="exact"/>
              <w:ind w:firstLine="480" w:firstLineChars="200"/>
              <w:jc w:val="left"/>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3.虫体处理：对稻飞虱等小虫体进行活体拍照，虫体完整率≥95%（极端工况≥90%）；拍完照的虫子可选择保留标本（储存在密封袋内，支持人工定期收集）或直接排出机器外部，支持远程控制收集模式切换；</w:t>
            </w:r>
          </w:p>
          <w:p w14:paraId="18F83986">
            <w:pPr>
              <w:keepNext w:val="0"/>
              <w:keepLines w:val="0"/>
              <w:pageBreakBefore w:val="0"/>
              <w:kinsoku/>
              <w:wordWrap/>
              <w:overflowPunct/>
              <w:topLinePunct w:val="0"/>
              <w:autoSpaceDE/>
              <w:autoSpaceDN/>
              <w:bidi w:val="0"/>
              <w:spacing w:line="400" w:lineRule="exact"/>
              <w:ind w:firstLine="480" w:firstLineChars="200"/>
              <w:jc w:val="left"/>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4.图像采集：机器内设有图像采集装置（摄像头），通过摄像头实时采集翻板上的虫子信息，拍照完毕可实时翻转，避免虫体堆积和重复计数</w:t>
            </w:r>
            <w:r>
              <w:rPr>
                <w:rFonts w:hint="eastAsia" w:ascii="宋体" w:hAnsi="宋体" w:eastAsia="宋体" w:cs="宋体"/>
                <w:b w:val="0"/>
                <w:bCs/>
                <w:kern w:val="0"/>
                <w:sz w:val="24"/>
                <w:szCs w:val="24"/>
                <w:highlight w:val="none"/>
                <w:lang w:val="en-US" w:eastAsia="zh-CN"/>
              </w:rPr>
              <w:t>，</w:t>
            </w:r>
            <w:r>
              <w:rPr>
                <w:rFonts w:hint="eastAsia" w:ascii="宋体" w:hAnsi="宋体" w:eastAsia="宋体" w:cs="宋体"/>
                <w:b w:val="0"/>
                <w:bCs/>
                <w:kern w:val="0"/>
                <w:sz w:val="24"/>
                <w:szCs w:val="24"/>
                <w:highlight w:val="none"/>
              </w:rPr>
              <w:t>支持实现远程调节图像采集频率；</w:t>
            </w:r>
          </w:p>
          <w:p w14:paraId="4E5DD7F5">
            <w:pPr>
              <w:keepNext w:val="0"/>
              <w:keepLines w:val="0"/>
              <w:pageBreakBefore w:val="0"/>
              <w:kinsoku/>
              <w:wordWrap/>
              <w:overflowPunct/>
              <w:topLinePunct w:val="0"/>
              <w:autoSpaceDE/>
              <w:autoSpaceDN/>
              <w:bidi w:val="0"/>
              <w:spacing w:line="400" w:lineRule="exact"/>
              <w:ind w:firstLine="480" w:firstLineChars="200"/>
              <w:jc w:val="left"/>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5.图像处理：可实现对拍摄画面的图像处理分析，包括但不限于画面分割、切换处理及保存等功能；图片保存质量可满足虫体人工手动计数的识别需求；</w:t>
            </w:r>
          </w:p>
          <w:p w14:paraId="19CE7E7C">
            <w:pPr>
              <w:keepNext w:val="0"/>
              <w:keepLines w:val="0"/>
              <w:pageBreakBefore w:val="0"/>
              <w:kinsoku/>
              <w:wordWrap/>
              <w:overflowPunct/>
              <w:topLinePunct w:val="0"/>
              <w:autoSpaceDE/>
              <w:autoSpaceDN/>
              <w:bidi w:val="0"/>
              <w:spacing w:line="400" w:lineRule="exact"/>
              <w:ind w:firstLine="480" w:firstLineChars="200"/>
              <w:jc w:val="left"/>
              <w:rPr>
                <w:rFonts w:hint="eastAsia" w:ascii="宋体" w:hAnsi="宋体" w:eastAsia="宋体" w:cs="宋体"/>
                <w:b w:val="0"/>
                <w:bCs/>
                <w:kern w:val="0"/>
                <w:sz w:val="24"/>
                <w:szCs w:val="24"/>
                <w:highlight w:val="none"/>
                <w:lang w:eastAsia="zh-CN"/>
              </w:rPr>
            </w:pPr>
            <w:r>
              <w:rPr>
                <w:rFonts w:hint="eastAsia" w:ascii="宋体" w:hAnsi="宋体" w:eastAsia="宋体" w:cs="宋体"/>
                <w:b w:val="0"/>
                <w:bCs/>
                <w:kern w:val="0"/>
                <w:sz w:val="24"/>
                <w:szCs w:val="24"/>
                <w:highlight w:val="none"/>
              </w:rPr>
              <w:t>6.自动识别、计数：诱捕与拍照技术集成于一体的虫情测报系统，内置≥2000W高清工业摄像机，对稻飞虱进行活体拍照，针对害虫进行自动识别计数，通过AI自动识别褐飞虱、白背飞虱、灰飞虱、电光叶蝉、小绿叶蝉等小虫体，识别准确率≥</w:t>
            </w:r>
            <w:r>
              <w:rPr>
                <w:rFonts w:hint="eastAsia" w:ascii="宋体" w:hAnsi="宋体" w:eastAsia="宋体" w:cs="宋体"/>
                <w:b w:val="0"/>
                <w:bCs/>
                <w:kern w:val="0"/>
                <w:sz w:val="24"/>
                <w:szCs w:val="24"/>
                <w:highlight w:val="none"/>
                <w:lang w:val="en-US" w:eastAsia="zh-CN"/>
              </w:rPr>
              <w:t>80</w:t>
            </w:r>
            <w:r>
              <w:rPr>
                <w:rFonts w:hint="eastAsia" w:ascii="宋体" w:hAnsi="宋体" w:eastAsia="宋体" w:cs="宋体"/>
                <w:b w:val="0"/>
                <w:bCs/>
                <w:kern w:val="0"/>
                <w:sz w:val="24"/>
                <w:szCs w:val="24"/>
                <w:highlight w:val="none"/>
              </w:rPr>
              <w:t>%</w:t>
            </w:r>
            <w:r>
              <w:rPr>
                <w:rFonts w:hint="eastAsia" w:ascii="宋体" w:hAnsi="宋体" w:eastAsia="宋体" w:cs="宋体"/>
                <w:b w:val="0"/>
                <w:bCs/>
                <w:kern w:val="0"/>
                <w:sz w:val="24"/>
                <w:szCs w:val="24"/>
                <w:highlight w:val="none"/>
                <w:lang w:eastAsia="zh-CN"/>
              </w:rPr>
              <w:t>；</w:t>
            </w:r>
          </w:p>
          <w:p w14:paraId="5EBE9985">
            <w:pPr>
              <w:keepNext w:val="0"/>
              <w:keepLines w:val="0"/>
              <w:pageBreakBefore w:val="0"/>
              <w:kinsoku/>
              <w:wordWrap/>
              <w:overflowPunct/>
              <w:topLinePunct w:val="0"/>
              <w:autoSpaceDE/>
              <w:autoSpaceDN/>
              <w:bidi w:val="0"/>
              <w:spacing w:line="400" w:lineRule="exact"/>
              <w:ind w:firstLine="480" w:firstLineChars="200"/>
              <w:jc w:val="left"/>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7.工作模式：可远程设置工作模式，可通过PC云端及手机APP端能远程自动拍照和手动拍照。</w:t>
            </w:r>
          </w:p>
          <w:p w14:paraId="5C55A5EB">
            <w:pPr>
              <w:keepNext w:val="0"/>
              <w:keepLines w:val="0"/>
              <w:pageBreakBefore w:val="0"/>
              <w:kinsoku/>
              <w:wordWrap/>
              <w:overflowPunct/>
              <w:topLinePunct w:val="0"/>
              <w:autoSpaceDE/>
              <w:autoSpaceDN/>
              <w:bidi w:val="0"/>
              <w:spacing w:line="400" w:lineRule="exact"/>
              <w:ind w:firstLine="480" w:firstLineChars="200"/>
              <w:jc w:val="left"/>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8.虫体收集：对拍完照的虫子，需要保留标本的留在储存袋内，人工定期去收集；对于不需要标本的，虫子直接排出机器外部；</w:t>
            </w:r>
          </w:p>
          <w:p w14:paraId="591B1710">
            <w:pPr>
              <w:keepNext w:val="0"/>
              <w:keepLines w:val="0"/>
              <w:pageBreakBefore w:val="0"/>
              <w:kinsoku/>
              <w:wordWrap/>
              <w:overflowPunct/>
              <w:topLinePunct w:val="0"/>
              <w:autoSpaceDE/>
              <w:autoSpaceDN/>
              <w:bidi w:val="0"/>
              <w:spacing w:line="400" w:lineRule="exact"/>
              <w:ind w:firstLine="480" w:firstLineChars="200"/>
              <w:jc w:val="left"/>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9.设备定位：机器内置定位功能，可在地图中查看设备站点等数据；在PC云端地图中查看设备站点等数据，设备被盗可追踪；</w:t>
            </w:r>
          </w:p>
          <w:p w14:paraId="55DBE128">
            <w:pPr>
              <w:keepNext w:val="0"/>
              <w:keepLines w:val="0"/>
              <w:pageBreakBefore w:val="0"/>
              <w:kinsoku/>
              <w:wordWrap/>
              <w:overflowPunct/>
              <w:topLinePunct w:val="0"/>
              <w:autoSpaceDE/>
              <w:autoSpaceDN/>
              <w:bidi w:val="0"/>
              <w:spacing w:line="400" w:lineRule="exact"/>
              <w:ind w:firstLine="480" w:firstLineChars="200"/>
              <w:jc w:val="left"/>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10.控制模式：（光控、时控、雨控模式）光控：晚上自动开灯运行，白天自动关灯（待机），在夜间工作状态下，不受瞬间强光照射改变工作状态；时控：根据靶标害虫生活习性规律，自定义设定工作时间段；雨控：实时上报设备工作时的外界天气情况，按天气变化自动控制设备启停；</w:t>
            </w:r>
          </w:p>
          <w:p w14:paraId="0BE1FBE6">
            <w:pPr>
              <w:keepNext w:val="0"/>
              <w:keepLines w:val="0"/>
              <w:pageBreakBefore w:val="0"/>
              <w:kinsoku/>
              <w:wordWrap/>
              <w:overflowPunct/>
              <w:topLinePunct w:val="0"/>
              <w:autoSpaceDE/>
              <w:autoSpaceDN/>
              <w:bidi w:val="0"/>
              <w:spacing w:line="400" w:lineRule="exact"/>
              <w:ind w:firstLine="480" w:firstLineChars="200"/>
              <w:jc w:val="left"/>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11.虫害</w:t>
            </w:r>
            <w:r>
              <w:rPr>
                <w:rFonts w:hint="eastAsia" w:ascii="宋体" w:hAnsi="宋体" w:eastAsia="宋体" w:cs="宋体"/>
                <w:b w:val="0"/>
                <w:bCs/>
                <w:kern w:val="0"/>
                <w:sz w:val="24"/>
                <w:szCs w:val="24"/>
                <w:highlight w:val="none"/>
                <w:lang w:eastAsia="zh-CN"/>
              </w:rPr>
              <w:t>暴发</w:t>
            </w:r>
            <w:r>
              <w:rPr>
                <w:rFonts w:hint="eastAsia" w:ascii="宋体" w:hAnsi="宋体" w:eastAsia="宋体" w:cs="宋体"/>
                <w:b w:val="0"/>
                <w:bCs/>
                <w:kern w:val="0"/>
                <w:sz w:val="24"/>
                <w:szCs w:val="24"/>
                <w:highlight w:val="none"/>
              </w:rPr>
              <w:t>分析：将捕获到的昆虫进行统计分析，绘制出虫害的发生趋势与发生轨迹，并确定其发生源头，以此为数据基础实现病虫害的预测预警；</w:t>
            </w:r>
          </w:p>
          <w:p w14:paraId="021D7C0C">
            <w:pPr>
              <w:keepNext w:val="0"/>
              <w:keepLines w:val="0"/>
              <w:pageBreakBefore w:val="0"/>
              <w:kinsoku/>
              <w:wordWrap/>
              <w:overflowPunct/>
              <w:topLinePunct w:val="0"/>
              <w:autoSpaceDE/>
              <w:autoSpaceDN/>
              <w:bidi w:val="0"/>
              <w:spacing w:line="400" w:lineRule="exact"/>
              <w:ind w:firstLine="480" w:firstLineChars="200"/>
              <w:jc w:val="left"/>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12.联网模式：支持网关/5G/4G/网线/网桥/</w:t>
            </w:r>
            <w:r>
              <w:rPr>
                <w:rFonts w:hint="eastAsia" w:ascii="宋体" w:hAnsi="宋体" w:eastAsia="宋体" w:cs="宋体"/>
                <w:b w:val="0"/>
                <w:bCs/>
                <w:kern w:val="0"/>
                <w:sz w:val="24"/>
                <w:szCs w:val="24"/>
                <w:highlight w:val="none"/>
                <w:lang w:eastAsia="zh-CN"/>
              </w:rPr>
              <w:t>Wi-Fi</w:t>
            </w:r>
            <w:r>
              <w:rPr>
                <w:rFonts w:hint="eastAsia" w:ascii="宋体" w:hAnsi="宋体" w:eastAsia="宋体" w:cs="宋体"/>
                <w:b w:val="0"/>
                <w:bCs/>
                <w:kern w:val="0"/>
                <w:sz w:val="24"/>
                <w:szCs w:val="24"/>
                <w:highlight w:val="none"/>
              </w:rPr>
              <w:t>等多种联网方式，可联网管理，适配不同场景的网络环境；数据传输采用AES-256加密，支持HTTPS/SSL/TLS协议，内置防火墙与入侵检测系统（IDS）</w:t>
            </w:r>
          </w:p>
          <w:p w14:paraId="00AEE41D">
            <w:pPr>
              <w:keepNext w:val="0"/>
              <w:keepLines w:val="0"/>
              <w:pageBreakBefore w:val="0"/>
              <w:kinsoku/>
              <w:wordWrap/>
              <w:overflowPunct/>
              <w:topLinePunct w:val="0"/>
              <w:autoSpaceDE/>
              <w:autoSpaceDN/>
              <w:bidi w:val="0"/>
              <w:spacing w:line="400" w:lineRule="exact"/>
              <w:ind w:firstLine="480" w:firstLineChars="200"/>
              <w:jc w:val="left"/>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13.远程管理：支持PC端和手机端（兼容iOS、Android、HarmonyOS系统）远程监控平台，可实现指令发布执行、系统参数设置、采集信息查询分析等功能；设备支持远程手动控制诱虫灯、诱虫灯条、翻板旋转、风扇、捕捉电机、相机拍照等核心部件，响应时间≤5秒；</w:t>
            </w:r>
          </w:p>
          <w:p w14:paraId="4C47B872">
            <w:pPr>
              <w:keepNext w:val="0"/>
              <w:keepLines w:val="0"/>
              <w:pageBreakBefore w:val="0"/>
              <w:kinsoku/>
              <w:wordWrap/>
              <w:overflowPunct/>
              <w:topLinePunct w:val="0"/>
              <w:autoSpaceDE/>
              <w:autoSpaceDN/>
              <w:bidi w:val="0"/>
              <w:spacing w:line="400" w:lineRule="exact"/>
              <w:ind w:firstLine="480" w:firstLineChars="200"/>
              <w:jc w:val="left"/>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kern w:val="0"/>
                <w:sz w:val="24"/>
                <w:szCs w:val="24"/>
                <w:highlight w:val="none"/>
              </w:rPr>
              <w:t>14.工作电压：DC12V；太阳能板功率≥80W，单晶硅材质，铝合金边框，支持太阳能/市电双供电模式，连续阴雨条件下续航≥30天；蓄电池≥12V/24Ah，工作温度-10℃</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65℃，具备过充、过放、短路保护功能。</w:t>
            </w:r>
          </w:p>
        </w:tc>
      </w:tr>
      <w:tr w14:paraId="13BF8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2" w:type="pct"/>
            <w:tcBorders>
              <w:top w:val="single" w:color="auto" w:sz="4" w:space="0"/>
              <w:left w:val="single" w:color="auto" w:sz="4" w:space="0"/>
              <w:bottom w:val="single" w:color="auto" w:sz="4" w:space="0"/>
              <w:right w:val="single" w:color="auto" w:sz="4" w:space="0"/>
            </w:tcBorders>
            <w:noWrap w:val="0"/>
            <w:vAlign w:val="center"/>
          </w:tcPr>
          <w:p w14:paraId="1019FBC5">
            <w:pPr>
              <w:keepNext w:val="0"/>
              <w:keepLines w:val="0"/>
              <w:pageBreakBefore w:val="0"/>
              <w:widowControl w:val="0"/>
              <w:kinsoku/>
              <w:wordWrap/>
              <w:overflowPunct/>
              <w:topLinePunct w:val="0"/>
              <w:autoSpaceDE/>
              <w:autoSpaceDN/>
              <w:bidi w:val="0"/>
              <w:spacing w:line="360" w:lineRule="auto"/>
              <w:jc w:val="center"/>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5</w:t>
            </w:r>
          </w:p>
        </w:tc>
        <w:tc>
          <w:tcPr>
            <w:tcW w:w="504" w:type="pct"/>
            <w:tcBorders>
              <w:top w:val="single" w:color="auto" w:sz="4" w:space="0"/>
              <w:left w:val="single" w:color="auto" w:sz="4" w:space="0"/>
              <w:bottom w:val="single" w:color="auto" w:sz="4" w:space="0"/>
              <w:right w:val="single" w:color="auto" w:sz="4" w:space="0"/>
            </w:tcBorders>
            <w:noWrap w:val="0"/>
            <w:vAlign w:val="center"/>
          </w:tcPr>
          <w:p w14:paraId="2882841F">
            <w:pPr>
              <w:keepNext w:val="0"/>
              <w:keepLines w:val="0"/>
              <w:pageBreakBefore w:val="0"/>
              <w:widowControl w:val="0"/>
              <w:kinsoku/>
              <w:wordWrap/>
              <w:overflowPunct/>
              <w:topLinePunct w:val="0"/>
              <w:autoSpaceDE/>
              <w:autoSpaceDN/>
              <w:bidi w:val="0"/>
              <w:spacing w:line="400" w:lineRule="exact"/>
              <w:jc w:val="center"/>
              <w:rPr>
                <w:rFonts w:hint="eastAsia" w:ascii="宋体" w:hAnsi="宋体" w:eastAsia="宋体" w:cs="宋体"/>
                <w:b w:val="0"/>
                <w:bCs/>
                <w:color w:val="auto"/>
                <w:kern w:val="0"/>
                <w:sz w:val="24"/>
                <w:szCs w:val="24"/>
                <w:highlight w:val="none"/>
              </w:rPr>
            </w:pPr>
            <w:r>
              <w:rPr>
                <w:rFonts w:hint="eastAsia" w:ascii="宋体" w:hAnsi="宋体" w:eastAsia="宋体" w:cs="宋体"/>
                <w:b w:val="0"/>
                <w:bCs/>
                <w:color w:val="auto"/>
                <w:kern w:val="0"/>
                <w:sz w:val="24"/>
                <w:szCs w:val="24"/>
                <w:highlight w:val="none"/>
                <w:lang w:eastAsia="zh-CN"/>
              </w:rPr>
              <w:t>小气候监测仪</w:t>
            </w:r>
          </w:p>
        </w:tc>
        <w:tc>
          <w:tcPr>
            <w:tcW w:w="4162" w:type="pct"/>
            <w:tcBorders>
              <w:top w:val="single" w:color="auto" w:sz="4" w:space="0"/>
              <w:left w:val="single" w:color="auto" w:sz="4" w:space="0"/>
              <w:bottom w:val="single" w:color="auto" w:sz="4" w:space="0"/>
              <w:right w:val="single" w:color="auto" w:sz="4" w:space="0"/>
            </w:tcBorders>
            <w:noWrap w:val="0"/>
            <w:vAlign w:val="center"/>
          </w:tcPr>
          <w:p w14:paraId="17699906">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一）含气象站硬件及气象数据分析软件1套，气象因子信息数据自动采集、上传，与物联网平台结合使用可自动分析相关数据，与病、虫物联网设备结合使用，可产生所需病、虫的专用数据模型，历史数据可实时在线免费存储一年，随时查阅并下载，实现国家、省、县级数据共享；电脑客户端、手机可实时数据共享；</w:t>
            </w:r>
          </w:p>
          <w:p w14:paraId="757E6B66">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bCs w:val="0"/>
                <w:color w:val="0000FF"/>
                <w:kern w:val="0"/>
                <w:sz w:val="24"/>
                <w:szCs w:val="24"/>
                <w:highlight w:val="none"/>
                <w:lang w:eastAsia="zh-CN"/>
              </w:rPr>
            </w:pPr>
            <w:r>
              <w:rPr>
                <w:rFonts w:hint="eastAsia" w:ascii="宋体" w:hAnsi="宋体" w:eastAsia="宋体" w:cs="宋体"/>
                <w:b w:val="0"/>
                <w:bCs/>
                <w:color w:val="auto"/>
                <w:kern w:val="0"/>
                <w:sz w:val="24"/>
                <w:szCs w:val="24"/>
                <w:highlight w:val="none"/>
                <w:lang w:eastAsia="zh-CN"/>
              </w:rPr>
              <w:t>（</w:t>
            </w:r>
            <w:r>
              <w:rPr>
                <w:rFonts w:hint="eastAsia" w:ascii="宋体" w:hAnsi="宋体" w:eastAsia="宋体" w:cs="宋体"/>
                <w:b w:val="0"/>
                <w:bCs/>
                <w:color w:val="auto"/>
                <w:kern w:val="0"/>
                <w:sz w:val="24"/>
                <w:szCs w:val="24"/>
                <w:highlight w:val="none"/>
                <w:lang w:val="en-US" w:eastAsia="zh-CN"/>
              </w:rPr>
              <w:t>二</w:t>
            </w:r>
            <w:r>
              <w:rPr>
                <w:rFonts w:hint="eastAsia" w:ascii="宋体" w:hAnsi="宋体" w:eastAsia="宋体" w:cs="宋体"/>
                <w:b w:val="0"/>
                <w:bCs/>
                <w:color w:val="auto"/>
                <w:kern w:val="0"/>
                <w:sz w:val="24"/>
                <w:szCs w:val="24"/>
                <w:highlight w:val="none"/>
                <w:lang w:eastAsia="zh-CN"/>
              </w:rPr>
              <w:t>）</w:t>
            </w:r>
            <w:r>
              <w:rPr>
                <w:rFonts w:hint="eastAsia" w:ascii="Calibri" w:hAnsi="Calibri" w:eastAsia="宋体" w:cs="Calibri"/>
                <w:b w:val="0"/>
                <w:bCs/>
                <w:kern w:val="0"/>
                <w:sz w:val="24"/>
                <w:szCs w:val="24"/>
                <w:highlight w:val="none"/>
                <w:lang w:val="en-US" w:eastAsia="zh-CN"/>
              </w:rPr>
              <w:t>1.</w:t>
            </w:r>
            <w:r>
              <w:rPr>
                <w:rFonts w:hint="eastAsia" w:ascii="宋体" w:hAnsi="宋体" w:eastAsia="宋体" w:cs="宋体"/>
                <w:b w:val="0"/>
                <w:bCs/>
                <w:kern w:val="0"/>
                <w:sz w:val="24"/>
                <w:szCs w:val="24"/>
                <w:highlight w:val="none"/>
              </w:rPr>
              <w:t>产品符合GB/T 24689.</w:t>
            </w:r>
            <w:r>
              <w:rPr>
                <w:rFonts w:hint="eastAsia" w:ascii="宋体" w:hAnsi="宋体" w:cs="宋体"/>
                <w:b w:val="0"/>
                <w:bCs/>
                <w:kern w:val="0"/>
                <w:sz w:val="24"/>
                <w:szCs w:val="24"/>
                <w:highlight w:val="none"/>
                <w:lang w:val="en-US" w:eastAsia="zh-CN"/>
              </w:rPr>
              <w:t>6</w:t>
            </w:r>
            <w:r>
              <w:rPr>
                <w:rFonts w:hint="eastAsia" w:ascii="宋体" w:hAnsi="宋体" w:eastAsia="宋体" w:cs="宋体"/>
                <w:b w:val="0"/>
                <w:bCs/>
                <w:kern w:val="0"/>
                <w:sz w:val="24"/>
                <w:szCs w:val="24"/>
                <w:highlight w:val="none"/>
              </w:rPr>
              <w:t>-2009标准安全、技术、性能要求；</w:t>
            </w:r>
            <w:r>
              <w:rPr>
                <w:rFonts w:hint="eastAsia" w:ascii="宋体" w:hAnsi="宋体" w:eastAsia="宋体" w:cs="宋体"/>
                <w:b/>
                <w:bCs w:val="0"/>
                <w:color w:val="0000FF"/>
                <w:kern w:val="0"/>
                <w:sz w:val="24"/>
                <w:szCs w:val="24"/>
                <w:highlight w:val="none"/>
              </w:rPr>
              <w:t>（投标文件中提供第三方检验检测机构依据GB/T 24689.</w:t>
            </w:r>
            <w:r>
              <w:rPr>
                <w:rFonts w:hint="eastAsia" w:ascii="宋体" w:hAnsi="宋体" w:cs="宋体"/>
                <w:b/>
                <w:bCs w:val="0"/>
                <w:color w:val="0000FF"/>
                <w:kern w:val="0"/>
                <w:sz w:val="24"/>
                <w:szCs w:val="24"/>
                <w:highlight w:val="none"/>
                <w:lang w:val="en-US" w:eastAsia="zh-CN"/>
              </w:rPr>
              <w:t>6</w:t>
            </w:r>
            <w:r>
              <w:rPr>
                <w:rFonts w:hint="eastAsia" w:ascii="宋体" w:hAnsi="宋体" w:eastAsia="宋体" w:cs="宋体"/>
                <w:b/>
                <w:bCs w:val="0"/>
                <w:color w:val="0000FF"/>
                <w:kern w:val="0"/>
                <w:sz w:val="24"/>
                <w:szCs w:val="24"/>
                <w:highlight w:val="none"/>
              </w:rPr>
              <w:t>-2009出具的所投产品的检验报告扫描件进行佐证，并同时提供出具检验报告的第三方检验检测机构资质认定证书及附表扫描件加盖投标人公章</w:t>
            </w:r>
            <w:r>
              <w:rPr>
                <w:rFonts w:hint="eastAsia" w:ascii="宋体" w:hAnsi="宋体" w:eastAsia="宋体" w:cs="宋体"/>
                <w:b/>
                <w:bCs w:val="0"/>
                <w:color w:val="0000FF"/>
                <w:kern w:val="0"/>
                <w:sz w:val="24"/>
                <w:szCs w:val="24"/>
                <w:highlight w:val="none"/>
                <w:lang w:eastAsia="zh-CN"/>
              </w:rPr>
              <w:t>。）</w:t>
            </w:r>
          </w:p>
          <w:p w14:paraId="00B2F261">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bCs w:val="0"/>
                <w:color w:val="0000FF"/>
                <w:kern w:val="0"/>
                <w:sz w:val="24"/>
                <w:szCs w:val="24"/>
                <w:highlight w:val="none"/>
                <w:lang w:eastAsia="zh-CN"/>
              </w:rPr>
            </w:pPr>
            <w:r>
              <w:rPr>
                <w:rFonts w:hint="eastAsia" w:ascii="Calibri" w:hAnsi="Calibri" w:eastAsia="宋体" w:cs="Calibri"/>
                <w:b w:val="0"/>
                <w:bCs/>
                <w:kern w:val="0"/>
                <w:sz w:val="24"/>
                <w:szCs w:val="24"/>
                <w:highlight w:val="none"/>
                <w:lang w:val="en-US" w:eastAsia="zh-CN"/>
              </w:rPr>
              <w:t>2.</w:t>
            </w:r>
            <w:r>
              <w:rPr>
                <w:rFonts w:hint="eastAsia" w:ascii="宋体" w:hAnsi="宋体" w:eastAsia="宋体" w:cs="宋体"/>
                <w:b w:val="0"/>
                <w:bCs/>
                <w:kern w:val="0"/>
                <w:sz w:val="24"/>
                <w:szCs w:val="24"/>
                <w:highlight w:val="none"/>
              </w:rPr>
              <w:t>产品符合</w:t>
            </w:r>
            <w:r>
              <w:rPr>
                <w:rStyle w:val="10"/>
                <w:rFonts w:hint="eastAsia" w:ascii="宋体" w:hAnsi="宋体" w:eastAsia="宋体" w:cs="宋体"/>
                <w:b w:val="0"/>
                <w:bCs/>
                <w:color w:val="000000"/>
                <w:sz w:val="24"/>
                <w:szCs w:val="24"/>
                <w:highlight w:val="none"/>
              </w:rPr>
              <w:t xml:space="preserve"> NY/T 4182-2022</w:t>
            </w:r>
            <w:r>
              <w:rPr>
                <w:rFonts w:hint="eastAsia" w:ascii="宋体" w:hAnsi="宋体" w:eastAsia="宋体" w:cs="宋体"/>
                <w:b w:val="0"/>
                <w:bCs/>
                <w:kern w:val="0"/>
                <w:sz w:val="24"/>
                <w:szCs w:val="24"/>
                <w:highlight w:val="none"/>
              </w:rPr>
              <w:t>标准安全、技术、性能要求；</w:t>
            </w:r>
          </w:p>
          <w:p w14:paraId="40639A1E">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 xml:space="preserve">（三）气象站监测参数及精度 </w:t>
            </w:r>
          </w:p>
          <w:p w14:paraId="26231AA4">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1.大气压力：测量范围：10hPa～1100hPa、分辨率：0.1 hPa、测量精度：±0.5 hPa；</w:t>
            </w:r>
          </w:p>
          <w:p w14:paraId="6E7934F8">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2.相对湿度：测量范围： 0%～100%、分辨率：0.1%、测量精度：±3%；</w:t>
            </w:r>
          </w:p>
          <w:p w14:paraId="0818DA0E">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b w:val="0"/>
                <w:bCs/>
                <w:color w:val="FF0000"/>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3.降雨量：测量范围：0mm/h～200mm/h、分辨率：0.1mm、测量精度：±5%；</w:t>
            </w:r>
          </w:p>
          <w:p w14:paraId="0AEDCFAB">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4.室外温度：测量范围：-50℃～125℃ 、分辨率：0.02℃、测量精度：±0.15℃；</w:t>
            </w:r>
          </w:p>
          <w:p w14:paraId="4D500FE8">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 xml:space="preserve">5.太阳辐射：测量范围：0W/㎡～1800W/㎡、分辨率：1W/㎡、测量精度：±5%； </w:t>
            </w:r>
          </w:p>
          <w:p w14:paraId="2DFED6F0">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6.风速：测量范围：0m/s～30m/s，精度：±0.5m/s，响应速度：≤10s；风向：量程 0°～360°，精度±1%°，响应速度≤2s；</w:t>
            </w:r>
          </w:p>
          <w:p w14:paraId="62EEBE78">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7.空气温度湿度：测湿范围：0%RH～100%RH（精度±2%），响应速度≤3s；测温范围:-40℃～85℃（精度±0.1%℃），响应速度≤1s；</w:t>
            </w:r>
          </w:p>
          <w:p w14:paraId="40E8A2C9">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8.土壤温度湿度：土壤测湿范围:0%～100%（精度±5%），测温范围:-30℃～85℃（精度±0.5%℃），响应时间1～3s；</w:t>
            </w:r>
          </w:p>
          <w:p w14:paraId="25F20A9F">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9.光照度：光照度范围：1Lux～125000Lux，精度:±1Lux，响应速度≤3s；</w:t>
            </w:r>
          </w:p>
          <w:p w14:paraId="12393325">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10.雨量：测量范围：0mm/12h～139.9mm/12h， 精度：±0.5mm/12h，响应速度≤3s。</w:t>
            </w:r>
          </w:p>
          <w:p w14:paraId="2A21B2C1">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 xml:space="preserve">（四）气象站硬件规格及性能参数 </w:t>
            </w:r>
          </w:p>
          <w:p w14:paraId="1F79E4CA">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 xml:space="preserve">1.工作环境温度：-40℃～70℃； </w:t>
            </w:r>
          </w:p>
          <w:p w14:paraId="0C8DC14F">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 xml:space="preserve">2.时钟：自带时钟计时误差≤6秒/月； </w:t>
            </w:r>
          </w:p>
          <w:p w14:paraId="51894928">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3.防雷电干扰：具备防雷电（防雷等级≥Ⅲ级）和抗干扰措施，所有传感器与主机采用无线连接方式（支持LoRa/4G/5G多协议）；</w:t>
            </w:r>
          </w:p>
          <w:p w14:paraId="52B0C1AE">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4.主机功率≤200mA（12V），整机功耗≤600mA（12V）；</w:t>
            </w:r>
          </w:p>
          <w:p w14:paraId="0D44D50C">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5.可自动采集空气温度、空气相对湿度、降水量、风速、风向、露点温度、日照强度、日照时数、土壤含水量、土壤温度、叶片表面湿润时间等气象参数，传感器符合气象行业标准</w:t>
            </w:r>
            <w:r>
              <w:rPr>
                <w:rFonts w:hint="eastAsia" w:ascii="宋体" w:hAnsi="宋体" w:eastAsia="宋体" w:cs="宋体"/>
                <w:b w:val="0"/>
                <w:bCs/>
                <w:i w:val="0"/>
                <w:iCs w:val="0"/>
                <w:caps w:val="0"/>
                <w:color w:val="auto"/>
                <w:spacing w:val="0"/>
                <w:sz w:val="24"/>
                <w:szCs w:val="24"/>
                <w:highlight w:val="none"/>
                <w:shd w:val="clear" w:color="auto" w:fill="FFFFFF"/>
              </w:rPr>
              <w:t>（QX/T 115-2010）</w:t>
            </w:r>
            <w:r>
              <w:rPr>
                <w:rFonts w:hint="eastAsia" w:ascii="宋体" w:hAnsi="宋体" w:eastAsia="宋体" w:cs="宋体"/>
                <w:b w:val="0"/>
                <w:bCs/>
                <w:color w:val="auto"/>
                <w:kern w:val="0"/>
                <w:sz w:val="24"/>
                <w:szCs w:val="24"/>
                <w:highlight w:val="none"/>
                <w:lang w:val="en-US" w:eastAsia="zh-CN"/>
              </w:rPr>
              <w:t>或国家标准，气象参数采集时间间隔可调节；</w:t>
            </w:r>
          </w:p>
          <w:p w14:paraId="31BF9D44">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6.具备数据自动储存和远程传输功能，采集的数据可按小时储存3个月以上，兼容5G/4G/GPRS通信，按要求接入县级、省级、国家级农作物有害生物监控信息系统和江西省农业农村云上赣农一体化平台，数据传输采用AES-256加密，支持HTTPS/SSL/TLS协议，内置防火墙与入侵检测系统（IDS）并</w:t>
            </w:r>
            <w:r>
              <w:rPr>
                <w:rFonts w:hint="eastAsia" w:ascii="宋体" w:hAnsi="宋体" w:eastAsia="宋体" w:cs="宋体"/>
                <w:b w:val="0"/>
                <w:bCs/>
                <w:color w:val="auto"/>
                <w:sz w:val="24"/>
                <w:szCs w:val="24"/>
                <w:highlight w:val="none"/>
                <w:vertAlign w:val="baseline"/>
                <w:lang w:val="en-US" w:eastAsia="zh-CN"/>
              </w:rPr>
              <w:t>保证</w:t>
            </w:r>
            <w:r>
              <w:rPr>
                <w:rFonts w:hint="eastAsia" w:ascii="宋体" w:hAnsi="宋体" w:eastAsia="宋体" w:cs="宋体"/>
                <w:b w:val="0"/>
                <w:bCs/>
                <w:color w:val="auto"/>
                <w:kern w:val="2"/>
                <w:sz w:val="24"/>
                <w:szCs w:val="24"/>
                <w:highlight w:val="none"/>
                <w:lang w:val="en-US" w:eastAsia="zh-CN" w:bidi="ar"/>
              </w:rPr>
              <w:t>数据安全</w:t>
            </w:r>
            <w:r>
              <w:rPr>
                <w:rFonts w:hint="eastAsia" w:ascii="宋体" w:hAnsi="宋体" w:eastAsia="宋体" w:cs="宋体"/>
                <w:b w:val="0"/>
                <w:bCs/>
                <w:color w:val="auto"/>
                <w:kern w:val="0"/>
                <w:sz w:val="24"/>
                <w:szCs w:val="24"/>
                <w:highlight w:val="none"/>
                <w:lang w:val="en-US" w:eastAsia="zh-CN"/>
              </w:rPr>
              <w:t>；</w:t>
            </w:r>
          </w:p>
          <w:p w14:paraId="43D276C2">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7.可提供不少于3种因子每天所有采集数据的平均值、最大值、最小值；</w:t>
            </w:r>
          </w:p>
          <w:p w14:paraId="29BD844A">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8.基于气象因子的流行性病害预报器，可根据不同种类病害的发生流行规律，提供预测模型并实现自动计算，并提前5d以上作出防治适期预警；</w:t>
            </w:r>
          </w:p>
          <w:p w14:paraId="1C16AACA">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9.具备数据分析功能、报表导出等功能；</w:t>
            </w:r>
          </w:p>
          <w:p w14:paraId="65CE0DE3">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left"/>
              <w:textAlignment w:val="auto"/>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10.供电装置：太阳能板供电，能保证连续10天阴雨天气下正常工作。</w:t>
            </w:r>
          </w:p>
        </w:tc>
      </w:tr>
      <w:tr w14:paraId="136EF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2" w:type="pct"/>
            <w:tcBorders>
              <w:top w:val="single" w:color="auto" w:sz="4" w:space="0"/>
              <w:left w:val="single" w:color="auto" w:sz="4" w:space="0"/>
              <w:bottom w:val="single" w:color="auto" w:sz="4" w:space="0"/>
              <w:right w:val="single" w:color="auto" w:sz="4" w:space="0"/>
            </w:tcBorders>
            <w:noWrap w:val="0"/>
            <w:vAlign w:val="center"/>
          </w:tcPr>
          <w:p w14:paraId="10A1A5CE">
            <w:pPr>
              <w:keepNext w:val="0"/>
              <w:keepLines w:val="0"/>
              <w:pageBreakBefore w:val="0"/>
              <w:widowControl w:val="0"/>
              <w:kinsoku/>
              <w:wordWrap/>
              <w:overflowPunct/>
              <w:topLinePunct w:val="0"/>
              <w:autoSpaceDE/>
              <w:autoSpaceDN/>
              <w:bidi w:val="0"/>
              <w:spacing w:line="360" w:lineRule="auto"/>
              <w:jc w:val="center"/>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6</w:t>
            </w:r>
          </w:p>
        </w:tc>
        <w:tc>
          <w:tcPr>
            <w:tcW w:w="504" w:type="pct"/>
            <w:tcBorders>
              <w:top w:val="single" w:color="auto" w:sz="4" w:space="0"/>
              <w:left w:val="single" w:color="auto" w:sz="4" w:space="0"/>
              <w:bottom w:val="single" w:color="auto" w:sz="4" w:space="0"/>
              <w:right w:val="single" w:color="auto" w:sz="4" w:space="0"/>
            </w:tcBorders>
            <w:noWrap w:val="0"/>
            <w:vAlign w:val="center"/>
          </w:tcPr>
          <w:p w14:paraId="1DB06FC8">
            <w:pPr>
              <w:keepNext w:val="0"/>
              <w:keepLines w:val="0"/>
              <w:pageBreakBefore w:val="0"/>
              <w:widowControl w:val="0"/>
              <w:kinsoku/>
              <w:wordWrap/>
              <w:overflowPunct/>
              <w:topLinePunct w:val="0"/>
              <w:autoSpaceDE/>
              <w:autoSpaceDN/>
              <w:bidi w:val="0"/>
              <w:spacing w:line="400" w:lineRule="exact"/>
              <w:jc w:val="center"/>
              <w:rPr>
                <w:rFonts w:hint="eastAsia" w:ascii="宋体" w:hAnsi="宋体" w:eastAsia="宋体" w:cs="宋体"/>
                <w:b w:val="0"/>
                <w:bCs/>
                <w:color w:val="auto"/>
                <w:kern w:val="0"/>
                <w:sz w:val="24"/>
                <w:szCs w:val="24"/>
                <w:highlight w:val="none"/>
                <w:lang w:val="en-US" w:eastAsia="zh-CN" w:bidi="ar-SA"/>
              </w:rPr>
            </w:pPr>
            <w:r>
              <w:rPr>
                <w:rFonts w:hint="eastAsia" w:ascii="宋体" w:hAnsi="宋体" w:eastAsia="宋体" w:cs="宋体"/>
                <w:b w:val="0"/>
                <w:bCs/>
                <w:color w:val="auto"/>
                <w:kern w:val="0"/>
                <w:sz w:val="24"/>
                <w:szCs w:val="24"/>
                <w:highlight w:val="none"/>
                <w:lang w:eastAsia="zh-CN"/>
              </w:rPr>
              <w:t>农林</w:t>
            </w:r>
            <w:r>
              <w:rPr>
                <w:rFonts w:hint="eastAsia" w:ascii="宋体" w:hAnsi="宋体" w:eastAsia="宋体" w:cs="宋体"/>
                <w:b w:val="0"/>
                <w:bCs/>
                <w:color w:val="auto"/>
                <w:kern w:val="0"/>
                <w:sz w:val="24"/>
                <w:szCs w:val="24"/>
                <w:highlight w:val="none"/>
              </w:rPr>
              <w:t>生态远程实时监测系统</w:t>
            </w:r>
          </w:p>
        </w:tc>
        <w:tc>
          <w:tcPr>
            <w:tcW w:w="4162" w:type="pct"/>
            <w:tcBorders>
              <w:top w:val="single" w:color="auto" w:sz="4" w:space="0"/>
              <w:left w:val="single" w:color="auto" w:sz="4" w:space="0"/>
              <w:bottom w:val="single" w:color="auto" w:sz="4" w:space="0"/>
              <w:right w:val="single" w:color="auto" w:sz="4" w:space="0"/>
            </w:tcBorders>
            <w:noWrap w:val="0"/>
            <w:vAlign w:val="center"/>
          </w:tcPr>
          <w:p w14:paraId="005C4846">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both"/>
              <w:textAlignment w:val="auto"/>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1.含高清摄像头1台及图片数据传输系统1套；可实现远程控制、画面分割、切换处理、保存以及定向拍照存储等功能，可清晰观测病、虫危害状况，并实时观测防治前、后的状况；PC端、手机端可实时数据共享。</w:t>
            </w:r>
          </w:p>
          <w:p w14:paraId="5C138270">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bCs w:val="0"/>
                <w:color w:val="0000FF"/>
                <w:kern w:val="0"/>
                <w:sz w:val="24"/>
                <w:szCs w:val="24"/>
                <w:highlight w:val="none"/>
                <w:lang w:eastAsia="zh-CN"/>
              </w:rPr>
            </w:pPr>
            <w:r>
              <w:rPr>
                <w:rFonts w:hint="eastAsia" w:ascii="宋体" w:hAnsi="宋体" w:eastAsia="宋体" w:cs="宋体"/>
                <w:b w:val="0"/>
                <w:bCs/>
                <w:color w:val="auto"/>
                <w:kern w:val="0"/>
                <w:sz w:val="24"/>
                <w:szCs w:val="24"/>
                <w:highlight w:val="none"/>
              </w:rPr>
              <w:t>2.</w:t>
            </w:r>
            <w:r>
              <w:rPr>
                <w:rFonts w:hint="eastAsia" w:ascii="Calibri" w:hAnsi="Calibri" w:eastAsia="宋体" w:cs="Calibri"/>
                <w:b w:val="0"/>
                <w:bCs/>
                <w:kern w:val="0"/>
                <w:sz w:val="24"/>
                <w:szCs w:val="24"/>
                <w:highlight w:val="none"/>
                <w:lang w:val="en-US" w:eastAsia="zh-CN"/>
              </w:rPr>
              <w:t>1</w:t>
            </w:r>
            <w:r>
              <w:rPr>
                <w:rFonts w:hint="eastAsia" w:ascii="宋体" w:hAnsi="宋体" w:eastAsia="宋体" w:cs="宋体"/>
                <w:b w:val="0"/>
                <w:bCs/>
                <w:kern w:val="0"/>
                <w:sz w:val="24"/>
                <w:szCs w:val="24"/>
                <w:highlight w:val="none"/>
              </w:rPr>
              <w:t>产品符合GB/T 24689.</w:t>
            </w:r>
            <w:r>
              <w:rPr>
                <w:rFonts w:hint="eastAsia" w:ascii="宋体" w:hAnsi="宋体" w:cs="宋体"/>
                <w:b w:val="0"/>
                <w:bCs/>
                <w:kern w:val="0"/>
                <w:sz w:val="24"/>
                <w:szCs w:val="24"/>
                <w:highlight w:val="none"/>
                <w:lang w:val="en-US" w:eastAsia="zh-CN"/>
              </w:rPr>
              <w:t>5</w:t>
            </w:r>
            <w:r>
              <w:rPr>
                <w:rFonts w:hint="eastAsia" w:ascii="宋体" w:hAnsi="宋体" w:eastAsia="宋体" w:cs="宋体"/>
                <w:b w:val="0"/>
                <w:bCs/>
                <w:kern w:val="0"/>
                <w:sz w:val="24"/>
                <w:szCs w:val="24"/>
                <w:highlight w:val="none"/>
              </w:rPr>
              <w:t>-2009标准安全、技术、性能要求；</w:t>
            </w:r>
            <w:bookmarkStart w:id="3" w:name="_GoBack"/>
            <w:r>
              <w:rPr>
                <w:rFonts w:hint="eastAsia" w:ascii="宋体" w:hAnsi="宋体" w:eastAsia="宋体" w:cs="宋体"/>
                <w:b/>
                <w:bCs w:val="0"/>
                <w:color w:val="auto"/>
                <w:kern w:val="0"/>
                <w:sz w:val="24"/>
                <w:szCs w:val="24"/>
                <w:highlight w:val="none"/>
              </w:rPr>
              <w:t>（投标文件中提供第三方检验检测机构依据GB/T 24689.</w:t>
            </w:r>
            <w:r>
              <w:rPr>
                <w:rFonts w:hint="eastAsia" w:ascii="宋体" w:hAnsi="宋体" w:cs="宋体"/>
                <w:b/>
                <w:bCs w:val="0"/>
                <w:color w:val="auto"/>
                <w:kern w:val="0"/>
                <w:sz w:val="24"/>
                <w:szCs w:val="24"/>
                <w:highlight w:val="none"/>
                <w:lang w:val="en-US" w:eastAsia="zh-CN"/>
              </w:rPr>
              <w:t>5</w:t>
            </w:r>
            <w:r>
              <w:rPr>
                <w:rFonts w:hint="eastAsia" w:ascii="宋体" w:hAnsi="宋体" w:eastAsia="宋体" w:cs="宋体"/>
                <w:b/>
                <w:bCs w:val="0"/>
                <w:color w:val="auto"/>
                <w:kern w:val="0"/>
                <w:sz w:val="24"/>
                <w:szCs w:val="24"/>
                <w:highlight w:val="none"/>
              </w:rPr>
              <w:t>-2009出具的所投产品的检验报告扫描件进行佐证，并同时提供出具检验报告的第三方检验检测机构资质认定证书及附表扫描件加盖投标人公章</w:t>
            </w:r>
            <w:r>
              <w:rPr>
                <w:rFonts w:hint="eastAsia" w:ascii="宋体" w:hAnsi="宋体" w:eastAsia="宋体" w:cs="宋体"/>
                <w:b/>
                <w:bCs w:val="0"/>
                <w:color w:val="auto"/>
                <w:kern w:val="0"/>
                <w:sz w:val="24"/>
                <w:szCs w:val="24"/>
                <w:highlight w:val="none"/>
                <w:lang w:eastAsia="zh-CN"/>
              </w:rPr>
              <w:t>。）</w:t>
            </w:r>
            <w:bookmarkEnd w:id="3"/>
          </w:p>
          <w:p w14:paraId="79F374E3">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bCs w:val="0"/>
                <w:color w:val="0000FF"/>
                <w:kern w:val="0"/>
                <w:sz w:val="24"/>
                <w:szCs w:val="24"/>
                <w:highlight w:val="none"/>
                <w:lang w:eastAsia="zh-CN"/>
              </w:rPr>
            </w:pPr>
            <w:r>
              <w:rPr>
                <w:rFonts w:hint="eastAsia" w:ascii="Calibri" w:hAnsi="Calibri" w:eastAsia="宋体" w:cs="Calibri"/>
                <w:b w:val="0"/>
                <w:bCs/>
                <w:kern w:val="0"/>
                <w:sz w:val="24"/>
                <w:szCs w:val="24"/>
                <w:highlight w:val="none"/>
                <w:lang w:val="en-US" w:eastAsia="zh-CN"/>
              </w:rPr>
              <w:t>2.2</w:t>
            </w:r>
            <w:r>
              <w:rPr>
                <w:rFonts w:hint="eastAsia" w:ascii="宋体" w:hAnsi="宋体" w:eastAsia="宋体" w:cs="宋体"/>
                <w:b w:val="0"/>
                <w:bCs/>
                <w:kern w:val="0"/>
                <w:sz w:val="24"/>
                <w:szCs w:val="24"/>
                <w:highlight w:val="none"/>
              </w:rPr>
              <w:t>产品符合</w:t>
            </w:r>
            <w:r>
              <w:rPr>
                <w:rStyle w:val="10"/>
                <w:rFonts w:hint="eastAsia" w:ascii="宋体" w:hAnsi="宋体" w:eastAsia="宋体" w:cs="宋体"/>
                <w:b w:val="0"/>
                <w:bCs/>
                <w:color w:val="000000"/>
                <w:sz w:val="24"/>
                <w:szCs w:val="24"/>
                <w:highlight w:val="none"/>
              </w:rPr>
              <w:t xml:space="preserve"> NY/T 4182-2022</w:t>
            </w:r>
            <w:r>
              <w:rPr>
                <w:rFonts w:hint="eastAsia" w:ascii="宋体" w:hAnsi="宋体" w:eastAsia="宋体" w:cs="宋体"/>
                <w:b w:val="0"/>
                <w:bCs/>
                <w:kern w:val="0"/>
                <w:sz w:val="24"/>
                <w:szCs w:val="24"/>
                <w:highlight w:val="none"/>
              </w:rPr>
              <w:t>标准安全、技术、性能要求；</w:t>
            </w:r>
          </w:p>
          <w:p w14:paraId="6B95D9A9">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both"/>
              <w:textAlignment w:val="auto"/>
              <w:rPr>
                <w:rFonts w:hint="eastAsia" w:ascii="宋体" w:hAnsi="宋体" w:eastAsia="宋体" w:cs="宋体"/>
                <w:b w:val="0"/>
                <w:bCs/>
                <w:color w:val="auto"/>
                <w:kern w:val="0"/>
                <w:sz w:val="24"/>
                <w:szCs w:val="24"/>
                <w:highlight w:val="none"/>
                <w:lang w:eastAsia="zh-CN"/>
              </w:rPr>
            </w:pPr>
            <w:r>
              <w:rPr>
                <w:rFonts w:hint="eastAsia" w:ascii="宋体" w:hAnsi="宋体" w:eastAsia="宋体" w:cs="宋体"/>
                <w:b w:val="0"/>
                <w:bCs/>
                <w:color w:val="auto"/>
                <w:kern w:val="0"/>
                <w:sz w:val="24"/>
                <w:szCs w:val="24"/>
                <w:highlight w:val="none"/>
                <w:lang w:val="en-US" w:eastAsia="zh-CN"/>
              </w:rPr>
              <w:t>3.</w:t>
            </w:r>
            <w:r>
              <w:rPr>
                <w:rFonts w:hint="eastAsia" w:ascii="宋体" w:hAnsi="宋体" w:eastAsia="宋体" w:cs="宋体"/>
                <w:b w:val="0"/>
                <w:bCs/>
                <w:color w:val="auto"/>
                <w:kern w:val="0"/>
                <w:sz w:val="24"/>
                <w:szCs w:val="24"/>
                <w:highlight w:val="none"/>
              </w:rPr>
              <w:t>可采用太阳能+蓄电池供电或市电供电，设备具有避雷和抗风支撑装置</w:t>
            </w:r>
            <w:r>
              <w:rPr>
                <w:rFonts w:hint="eastAsia" w:ascii="宋体" w:hAnsi="宋体" w:eastAsia="宋体" w:cs="宋体"/>
                <w:b w:val="0"/>
                <w:bCs/>
                <w:color w:val="auto"/>
                <w:kern w:val="0"/>
                <w:sz w:val="24"/>
                <w:szCs w:val="24"/>
                <w:highlight w:val="none"/>
                <w:lang w:eastAsia="zh-CN"/>
              </w:rPr>
              <w:t>。</w:t>
            </w:r>
          </w:p>
          <w:p w14:paraId="73168A7D">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both"/>
              <w:textAlignment w:val="auto"/>
              <w:rPr>
                <w:rFonts w:hint="eastAsia" w:ascii="宋体" w:hAnsi="宋体" w:eastAsia="宋体" w:cs="宋体"/>
                <w:b w:val="0"/>
                <w:bCs/>
                <w:color w:val="auto"/>
                <w:kern w:val="0"/>
                <w:sz w:val="24"/>
                <w:szCs w:val="24"/>
                <w:highlight w:val="none"/>
              </w:rPr>
            </w:pPr>
            <w:r>
              <w:rPr>
                <w:rFonts w:hint="eastAsia" w:ascii="宋体" w:hAnsi="宋体" w:eastAsia="宋体" w:cs="宋体"/>
                <w:b w:val="0"/>
                <w:bCs/>
                <w:color w:val="auto"/>
                <w:kern w:val="0"/>
                <w:sz w:val="24"/>
                <w:szCs w:val="24"/>
                <w:highlight w:val="none"/>
                <w:lang w:val="en-US" w:eastAsia="zh-CN"/>
              </w:rPr>
              <w:t>4</w:t>
            </w:r>
            <w:r>
              <w:rPr>
                <w:rFonts w:hint="eastAsia" w:ascii="宋体" w:hAnsi="宋体" w:eastAsia="宋体" w:cs="宋体"/>
                <w:b w:val="0"/>
                <w:bCs/>
                <w:color w:val="auto"/>
                <w:kern w:val="0"/>
                <w:sz w:val="24"/>
                <w:szCs w:val="24"/>
                <w:highlight w:val="none"/>
              </w:rPr>
              <w:t>.可通过高清摄像头，远程实时查看病虫</w:t>
            </w:r>
            <w:r>
              <w:rPr>
                <w:rFonts w:hint="eastAsia" w:ascii="宋体" w:hAnsi="宋体" w:eastAsia="宋体" w:cs="宋体"/>
                <w:b w:val="0"/>
                <w:bCs/>
                <w:color w:val="auto"/>
                <w:kern w:val="0"/>
                <w:sz w:val="24"/>
                <w:szCs w:val="24"/>
                <w:highlight w:val="none"/>
                <w:lang w:val="en-US" w:eastAsia="zh-CN"/>
              </w:rPr>
              <w:t>监测点</w:t>
            </w:r>
            <w:r>
              <w:rPr>
                <w:rFonts w:hint="eastAsia" w:ascii="宋体" w:hAnsi="宋体" w:eastAsia="宋体" w:cs="宋体"/>
                <w:b w:val="0"/>
                <w:bCs/>
                <w:color w:val="auto"/>
                <w:kern w:val="0"/>
                <w:sz w:val="24"/>
                <w:szCs w:val="24"/>
                <w:highlight w:val="none"/>
              </w:rPr>
              <w:t>一定范围内的作物生长状态、受害</w:t>
            </w:r>
            <w:r>
              <w:rPr>
                <w:rFonts w:hint="eastAsia" w:ascii="宋体" w:hAnsi="宋体" w:eastAsia="宋体" w:cs="宋体"/>
                <w:b w:val="0"/>
                <w:bCs/>
                <w:color w:val="auto"/>
                <w:kern w:val="0"/>
                <w:sz w:val="24"/>
                <w:szCs w:val="24"/>
                <w:highlight w:val="none"/>
                <w:lang w:val="en-US" w:eastAsia="zh-CN"/>
              </w:rPr>
              <w:t>状况</w:t>
            </w:r>
            <w:r>
              <w:rPr>
                <w:rFonts w:hint="eastAsia" w:ascii="宋体" w:hAnsi="宋体" w:eastAsia="宋体" w:cs="宋体"/>
                <w:b w:val="0"/>
                <w:bCs/>
                <w:color w:val="auto"/>
                <w:kern w:val="0"/>
                <w:sz w:val="24"/>
                <w:szCs w:val="24"/>
                <w:highlight w:val="none"/>
              </w:rPr>
              <w:t>以及监测设备运行状态。其中，高清镜头可30倍以上光学变焦、水平转角360°、垂直旋转≥90°，具</w:t>
            </w:r>
            <w:r>
              <w:rPr>
                <w:rFonts w:hint="eastAsia" w:ascii="宋体" w:hAnsi="宋体" w:eastAsia="宋体" w:cs="宋体"/>
                <w:b w:val="0"/>
                <w:bCs/>
                <w:color w:val="auto"/>
                <w:kern w:val="0"/>
                <w:sz w:val="24"/>
                <w:szCs w:val="24"/>
                <w:highlight w:val="none"/>
                <w:lang w:val="en-US" w:eastAsia="zh-CN"/>
              </w:rPr>
              <w:t>有</w:t>
            </w:r>
            <w:r>
              <w:rPr>
                <w:rFonts w:hint="eastAsia" w:ascii="宋体" w:hAnsi="宋体" w:eastAsia="宋体" w:cs="宋体"/>
                <w:b w:val="0"/>
                <w:bCs/>
                <w:color w:val="auto"/>
                <w:kern w:val="0"/>
                <w:sz w:val="24"/>
                <w:szCs w:val="24"/>
                <w:highlight w:val="none"/>
              </w:rPr>
              <w:t>红外夜视、室外防水、电子防抖、电子雾透等功能；白天可视距离≥500m，当监测半径为20m时可清晰分辨10mm×10mm的物体；夜视距离≥50m，当监测半径为8m时可清晰分辨10mm×10mm的物体；视频像素≥500万（或图片像素≥1000万）；具备视频存储、视频回放等功能，并可通过PC机、手机等终端进行远程控制。</w:t>
            </w:r>
          </w:p>
          <w:p w14:paraId="10A5EA71">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both"/>
              <w:textAlignment w:val="auto"/>
              <w:rPr>
                <w:rFonts w:hint="eastAsia" w:ascii="宋体" w:hAnsi="宋体" w:eastAsia="宋体" w:cs="宋体"/>
                <w:b w:val="0"/>
                <w:bCs/>
                <w:color w:val="auto"/>
                <w:kern w:val="0"/>
                <w:sz w:val="24"/>
                <w:szCs w:val="24"/>
                <w:highlight w:val="none"/>
                <w:lang w:eastAsia="zh-CN"/>
              </w:rPr>
            </w:pPr>
            <w:r>
              <w:rPr>
                <w:rFonts w:hint="eastAsia" w:ascii="宋体" w:hAnsi="宋体" w:eastAsia="宋体" w:cs="宋体"/>
                <w:b w:val="0"/>
                <w:bCs/>
                <w:color w:val="auto"/>
                <w:kern w:val="0"/>
                <w:sz w:val="24"/>
                <w:szCs w:val="24"/>
                <w:highlight w:val="none"/>
                <w:lang w:val="en-US" w:eastAsia="zh-CN"/>
              </w:rPr>
              <w:t>5</w:t>
            </w:r>
            <w:r>
              <w:rPr>
                <w:rFonts w:hint="eastAsia" w:ascii="宋体" w:hAnsi="宋体" w:eastAsia="宋体" w:cs="宋体"/>
                <w:b w:val="0"/>
                <w:bCs/>
                <w:color w:val="auto"/>
                <w:kern w:val="0"/>
                <w:sz w:val="24"/>
                <w:szCs w:val="24"/>
                <w:highlight w:val="none"/>
              </w:rPr>
              <w:t>.</w:t>
            </w:r>
            <w:r>
              <w:rPr>
                <w:rFonts w:hint="eastAsia" w:ascii="宋体" w:hAnsi="宋体" w:eastAsia="宋体" w:cs="宋体"/>
                <w:b w:val="0"/>
                <w:bCs/>
                <w:color w:val="auto"/>
                <w:kern w:val="0"/>
                <w:sz w:val="24"/>
                <w:szCs w:val="24"/>
                <w:highlight w:val="none"/>
                <w:lang w:eastAsia="zh-CN"/>
              </w:rPr>
              <w:t>具备数据采集、存储和传输功能，本地储存容量≥4TB；数据按要求接入</w:t>
            </w:r>
            <w:r>
              <w:rPr>
                <w:rFonts w:hint="eastAsia" w:ascii="宋体" w:hAnsi="宋体" w:eastAsia="宋体" w:cs="宋体"/>
                <w:b w:val="0"/>
                <w:bCs/>
                <w:color w:val="auto"/>
                <w:kern w:val="0"/>
                <w:sz w:val="24"/>
                <w:szCs w:val="24"/>
                <w:highlight w:val="none"/>
                <w:lang w:val="en-US" w:eastAsia="zh-CN"/>
              </w:rPr>
              <w:t>县级</w:t>
            </w:r>
            <w:r>
              <w:rPr>
                <w:rFonts w:hint="eastAsia" w:ascii="宋体" w:hAnsi="宋体" w:eastAsia="宋体" w:cs="宋体"/>
                <w:b w:val="0"/>
                <w:bCs/>
                <w:color w:val="auto"/>
                <w:kern w:val="0"/>
                <w:sz w:val="24"/>
                <w:szCs w:val="24"/>
                <w:highlight w:val="none"/>
                <w:lang w:eastAsia="zh-CN"/>
              </w:rPr>
              <w:t>、省级、国家级相关农作物有害生物监控信息系统</w:t>
            </w:r>
            <w:r>
              <w:rPr>
                <w:rFonts w:hint="eastAsia" w:ascii="宋体" w:hAnsi="宋体" w:eastAsia="宋体" w:cs="宋体"/>
                <w:b w:val="0"/>
                <w:bCs/>
                <w:color w:val="auto"/>
                <w:kern w:val="0"/>
                <w:sz w:val="24"/>
                <w:szCs w:val="24"/>
                <w:highlight w:val="none"/>
                <w:lang w:val="en-US" w:eastAsia="zh-CN"/>
              </w:rPr>
              <w:t>和江西省农业农村云上赣农一体化平台，并</w:t>
            </w:r>
            <w:r>
              <w:rPr>
                <w:rFonts w:hint="eastAsia" w:ascii="宋体" w:hAnsi="宋体" w:eastAsia="宋体" w:cs="宋体"/>
                <w:b w:val="0"/>
                <w:bCs/>
                <w:color w:val="auto"/>
                <w:sz w:val="24"/>
                <w:szCs w:val="24"/>
                <w:highlight w:val="none"/>
                <w:vertAlign w:val="baseline"/>
                <w:lang w:val="en-US" w:eastAsia="zh-CN"/>
              </w:rPr>
              <w:t>保证</w:t>
            </w:r>
            <w:r>
              <w:rPr>
                <w:rFonts w:hint="eastAsia" w:ascii="宋体" w:hAnsi="宋体" w:eastAsia="宋体" w:cs="宋体"/>
                <w:b w:val="0"/>
                <w:bCs/>
                <w:color w:val="auto"/>
                <w:kern w:val="2"/>
                <w:sz w:val="24"/>
                <w:szCs w:val="24"/>
                <w:highlight w:val="none"/>
                <w:lang w:val="en-US" w:eastAsia="zh-CN" w:bidi="ar"/>
              </w:rPr>
              <w:t>数据安全</w:t>
            </w:r>
            <w:r>
              <w:rPr>
                <w:rFonts w:hint="eastAsia" w:ascii="宋体" w:hAnsi="宋体" w:eastAsia="宋体" w:cs="宋体"/>
                <w:b w:val="0"/>
                <w:bCs/>
                <w:color w:val="auto"/>
                <w:kern w:val="0"/>
                <w:sz w:val="24"/>
                <w:szCs w:val="24"/>
                <w:highlight w:val="none"/>
                <w:lang w:eastAsia="zh-CN"/>
              </w:rPr>
              <w:t>。</w:t>
            </w:r>
          </w:p>
          <w:p w14:paraId="5AC6AF95">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both"/>
              <w:textAlignment w:val="auto"/>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6.供电方式：交流电源；绝缘电阻：≥2.5MΩ；工作温度：-20℃~70℃；工作湿度：0%~95%。</w:t>
            </w:r>
          </w:p>
          <w:p w14:paraId="2279B883">
            <w:pPr>
              <w:pStyle w:val="5"/>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color w:val="auto"/>
                <w:sz w:val="24"/>
                <w:szCs w:val="24"/>
                <w:highlight w:val="none"/>
                <w:lang w:eastAsia="zh-CN"/>
              </w:rPr>
            </w:pPr>
            <w:r>
              <w:rPr>
                <w:rFonts w:hint="eastAsia" w:ascii="宋体" w:hAnsi="宋体" w:eastAsia="宋体" w:cs="宋体"/>
                <w:b w:val="0"/>
                <w:bCs/>
                <w:color w:val="auto"/>
                <w:kern w:val="0"/>
                <w:sz w:val="24"/>
                <w:szCs w:val="24"/>
                <w:highlight w:val="none"/>
                <w:lang w:val="en-US" w:eastAsia="zh-CN"/>
              </w:rPr>
              <w:t>7.</w:t>
            </w:r>
            <w:r>
              <w:rPr>
                <w:rFonts w:hint="eastAsia" w:ascii="宋体" w:hAnsi="宋体" w:eastAsia="宋体" w:cs="宋体"/>
                <w:b w:val="0"/>
                <w:bCs/>
                <w:color w:val="auto"/>
                <w:sz w:val="24"/>
                <w:szCs w:val="24"/>
                <w:highlight w:val="none"/>
              </w:rPr>
              <w:t>支架材质为不锈钢，高度≥5m，具有避雷和抗风支撑装置。</w:t>
            </w:r>
          </w:p>
        </w:tc>
      </w:tr>
      <w:tr w14:paraId="1D246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2" w:type="pct"/>
            <w:tcBorders>
              <w:top w:val="single" w:color="auto" w:sz="4" w:space="0"/>
              <w:left w:val="single" w:color="auto" w:sz="4" w:space="0"/>
              <w:bottom w:val="single" w:color="auto" w:sz="4" w:space="0"/>
              <w:right w:val="single" w:color="auto" w:sz="4" w:space="0"/>
            </w:tcBorders>
            <w:noWrap w:val="0"/>
            <w:vAlign w:val="center"/>
          </w:tcPr>
          <w:p w14:paraId="3F569EA7">
            <w:pPr>
              <w:keepNext w:val="0"/>
              <w:keepLines w:val="0"/>
              <w:pageBreakBefore w:val="0"/>
              <w:widowControl w:val="0"/>
              <w:kinsoku/>
              <w:wordWrap/>
              <w:overflowPunct/>
              <w:topLinePunct w:val="0"/>
              <w:autoSpaceDE/>
              <w:autoSpaceDN/>
              <w:bidi w:val="0"/>
              <w:spacing w:line="360" w:lineRule="auto"/>
              <w:jc w:val="center"/>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7</w:t>
            </w:r>
          </w:p>
        </w:tc>
        <w:tc>
          <w:tcPr>
            <w:tcW w:w="504" w:type="pct"/>
            <w:tcBorders>
              <w:top w:val="single" w:color="auto" w:sz="4" w:space="0"/>
              <w:left w:val="single" w:color="auto" w:sz="4" w:space="0"/>
              <w:bottom w:val="single" w:color="auto" w:sz="4" w:space="0"/>
              <w:right w:val="single" w:color="auto" w:sz="4" w:space="0"/>
            </w:tcBorders>
            <w:noWrap w:val="0"/>
            <w:vAlign w:val="center"/>
          </w:tcPr>
          <w:p w14:paraId="550C34DD">
            <w:pPr>
              <w:keepNext w:val="0"/>
              <w:keepLines w:val="0"/>
              <w:pageBreakBefore w:val="0"/>
              <w:widowControl w:val="0"/>
              <w:kinsoku/>
              <w:wordWrap/>
              <w:overflowPunct/>
              <w:topLinePunct w:val="0"/>
              <w:autoSpaceDE/>
              <w:autoSpaceDN/>
              <w:bidi w:val="0"/>
              <w:spacing w:line="400" w:lineRule="exact"/>
              <w:jc w:val="center"/>
              <w:rPr>
                <w:rFonts w:hint="eastAsia" w:ascii="宋体" w:hAnsi="宋体" w:eastAsia="宋体" w:cs="宋体"/>
                <w:b w:val="0"/>
                <w:bCs/>
                <w:color w:val="auto"/>
                <w:kern w:val="0"/>
                <w:sz w:val="24"/>
                <w:szCs w:val="24"/>
                <w:highlight w:val="none"/>
                <w:lang w:eastAsia="zh-CN"/>
              </w:rPr>
            </w:pPr>
            <w:r>
              <w:rPr>
                <w:rFonts w:hint="eastAsia" w:ascii="宋体" w:hAnsi="宋体" w:eastAsia="宋体" w:cs="宋体"/>
                <w:b w:val="0"/>
                <w:bCs/>
                <w:color w:val="auto"/>
                <w:kern w:val="0"/>
                <w:sz w:val="24"/>
                <w:szCs w:val="24"/>
                <w:highlight w:val="none"/>
                <w:lang w:eastAsia="zh-CN"/>
              </w:rPr>
              <w:t>田间可移动智能监测调查工具</w:t>
            </w:r>
          </w:p>
        </w:tc>
        <w:tc>
          <w:tcPr>
            <w:tcW w:w="4162" w:type="pct"/>
            <w:tcBorders>
              <w:top w:val="single" w:color="auto" w:sz="4" w:space="0"/>
              <w:left w:val="single" w:color="auto" w:sz="4" w:space="0"/>
              <w:bottom w:val="single" w:color="auto" w:sz="4" w:space="0"/>
              <w:right w:val="single" w:color="auto" w:sz="4" w:space="0"/>
            </w:tcBorders>
            <w:noWrap w:val="0"/>
            <w:vAlign w:val="center"/>
          </w:tcPr>
          <w:p w14:paraId="6F3B0DD0">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（一）软件参数</w:t>
            </w:r>
          </w:p>
          <w:p w14:paraId="7FDA7EE9">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1.调查场景覆盖：支持水稻、玉米、大豆等主要农作物的病虫害调查场景，可拓展至蔬菜、果树等经济作物场景；</w:t>
            </w:r>
          </w:p>
          <w:p w14:paraId="0B48C633">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2.覆盖多场景病虫害调查业务，可按照农作物一、二类病虫害国家调查规范增加业务场景；支持一类病虫害调查场景：稻飞虱、稻纵卷叶螟、稻瘟病、二化螟、南方水稻黑条矮缩病、粘虫、玉米螟、玉米南方锈病、草地贪夜蛾、草地螟、油菜菌核病等和二类病虫害调查场景：</w:t>
            </w:r>
            <w:r>
              <w:rPr>
                <w:rFonts w:hint="eastAsia" w:ascii="宋体" w:hAnsi="宋体" w:eastAsia="宋体" w:cs="宋体"/>
                <w:b w:val="0"/>
                <w:bCs/>
                <w:sz w:val="24"/>
                <w:szCs w:val="24"/>
                <w:highlight w:val="none"/>
                <w:lang w:val="en-US" w:eastAsia="zh-CN"/>
              </w:rPr>
              <w:t>水</w:t>
            </w:r>
            <w:r>
              <w:rPr>
                <w:rFonts w:hint="eastAsia" w:ascii="宋体" w:hAnsi="宋体" w:eastAsia="宋体" w:cs="宋体"/>
                <w:b w:val="0"/>
                <w:bCs/>
                <w:sz w:val="24"/>
                <w:szCs w:val="24"/>
                <w:highlight w:val="none"/>
              </w:rPr>
              <w:t>稻纹枯病等；</w:t>
            </w:r>
          </w:p>
          <w:p w14:paraId="1D8E424F">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3.用于田间病虫测报的智能采集，一键成像</w:t>
            </w:r>
            <w:r>
              <w:rPr>
                <w:rFonts w:hint="eastAsia" w:ascii="宋体" w:hAnsi="宋体" w:eastAsia="宋体" w:cs="宋体"/>
                <w:b w:val="0"/>
                <w:bCs/>
                <w:sz w:val="24"/>
                <w:szCs w:val="24"/>
                <w:highlight w:val="none"/>
                <w:lang w:eastAsia="zh-CN"/>
              </w:rPr>
              <w:t>，</w:t>
            </w:r>
            <w:r>
              <w:rPr>
                <w:rFonts w:hint="eastAsia" w:ascii="宋体" w:hAnsi="宋体" w:eastAsia="宋体" w:cs="宋体"/>
                <w:b w:val="0"/>
                <w:bCs/>
                <w:sz w:val="24"/>
                <w:szCs w:val="24"/>
                <w:highlight w:val="none"/>
              </w:rPr>
              <w:t>支持4K高清成像，可在不同光照条件下自动调节参数，精准识别各虫态并自动分类计数</w:t>
            </w:r>
            <w:r>
              <w:rPr>
                <w:rFonts w:hint="eastAsia" w:ascii="宋体" w:hAnsi="宋体" w:eastAsia="宋体" w:cs="宋体"/>
                <w:b w:val="0"/>
                <w:bCs/>
                <w:sz w:val="24"/>
                <w:szCs w:val="24"/>
                <w:highlight w:val="none"/>
                <w:lang w:eastAsia="zh-CN"/>
              </w:rPr>
              <w:t>，</w:t>
            </w:r>
            <w:r>
              <w:rPr>
                <w:rFonts w:hint="eastAsia" w:ascii="宋体" w:hAnsi="宋体" w:eastAsia="宋体" w:cs="宋体"/>
                <w:b w:val="0"/>
                <w:bCs/>
                <w:sz w:val="24"/>
                <w:szCs w:val="24"/>
                <w:highlight w:val="none"/>
              </w:rPr>
              <w:t>采集时间＜3s，支持自动传输至PC端</w:t>
            </w:r>
            <w:r>
              <w:rPr>
                <w:rFonts w:hint="eastAsia" w:ascii="宋体" w:hAnsi="宋体" w:eastAsia="宋体" w:cs="宋体"/>
                <w:b w:val="0"/>
                <w:bCs/>
                <w:sz w:val="24"/>
                <w:szCs w:val="24"/>
                <w:highlight w:val="none"/>
                <w:lang w:eastAsia="zh-CN"/>
              </w:rPr>
              <w:t>、</w:t>
            </w:r>
            <w:r>
              <w:rPr>
                <w:rFonts w:hint="eastAsia" w:ascii="宋体" w:hAnsi="宋体" w:eastAsia="宋体" w:cs="宋体"/>
                <w:b w:val="0"/>
                <w:bCs/>
                <w:sz w:val="24"/>
                <w:szCs w:val="24"/>
                <w:highlight w:val="none"/>
              </w:rPr>
              <w:t>移动端；</w:t>
            </w:r>
          </w:p>
          <w:p w14:paraId="1BF4DDBD">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4.支持水稻稻飞虱盘拍场景的图像识别，可通过目标检测模型识别灰飞虱，白背飞虱，褐飞虱的长短翅成虫以及高低龄稻飞虱若虫，识别计数准确率不低于85%；</w:t>
            </w:r>
          </w:p>
          <w:p w14:paraId="2A5E636C">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5.支持稻纵卷叶螟卷叶场景的图像识别，可通过实例分割模型识别卷叶数，识别计数准确率不低于80%；</w:t>
            </w:r>
          </w:p>
          <w:p w14:paraId="40A27754">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6.支持水稻稻纵卷叶螟赶蛾过程的视频录制和计数识别功能，通过目标检测模型和跟踪算法进行计数识别，识别计数准确率不低于80%；</w:t>
            </w:r>
          </w:p>
          <w:p w14:paraId="4A9775F0">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7.查看数据：支持查看（手机端/PC端）调查信息，PC端可对原始数据查看、筛选、录入和编辑数据，确保数据准确性，支持Excel/CSV格式导出调查数据；</w:t>
            </w:r>
          </w:p>
          <w:p w14:paraId="634AD0D3">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8.</w:t>
            </w:r>
            <w:r>
              <w:rPr>
                <w:rFonts w:hint="eastAsia" w:ascii="宋体" w:hAnsi="宋体" w:eastAsia="宋体" w:cs="宋体"/>
                <w:b w:val="0"/>
                <w:bCs/>
                <w:sz w:val="24"/>
                <w:szCs w:val="24"/>
                <w:highlight w:val="none"/>
                <w:lang w:val="en-US" w:eastAsia="zh-CN"/>
              </w:rPr>
              <w:t>具有定位功能，</w:t>
            </w:r>
            <w:r>
              <w:rPr>
                <w:rFonts w:hint="eastAsia" w:ascii="宋体" w:hAnsi="宋体" w:eastAsia="宋体" w:cs="宋体"/>
                <w:b w:val="0"/>
                <w:bCs/>
                <w:sz w:val="24"/>
                <w:szCs w:val="24"/>
                <w:highlight w:val="none"/>
              </w:rPr>
              <w:t>定位精度≤1m，支持田间位置标注与轨迹回放；</w:t>
            </w:r>
          </w:p>
          <w:p w14:paraId="6551F3B1">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9.支持声纹登录（识别准确率≥95%），支持语音输入识别（支持普通话、方言混合识别）与语音指令控制，响应时间＜1s；</w:t>
            </w:r>
          </w:p>
          <w:p w14:paraId="58180BAA">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10.调查的田间原始音视频数据可经后台自动汇算生成符合国家标准的植保报表，直接与当地病虫监测</w:t>
            </w:r>
            <w:r>
              <w:rPr>
                <w:rFonts w:hint="eastAsia" w:ascii="宋体" w:hAnsi="宋体" w:eastAsia="宋体" w:cs="宋体"/>
                <w:b w:val="0"/>
                <w:bCs/>
                <w:sz w:val="24"/>
                <w:szCs w:val="24"/>
                <w:highlight w:val="none"/>
                <w:lang w:eastAsia="zh-CN"/>
              </w:rPr>
              <w:t>预警系统</w:t>
            </w:r>
            <w:r>
              <w:rPr>
                <w:rFonts w:hint="eastAsia" w:ascii="宋体" w:hAnsi="宋体" w:eastAsia="宋体" w:cs="宋体"/>
                <w:b w:val="0"/>
                <w:bCs/>
                <w:sz w:val="24"/>
                <w:szCs w:val="24"/>
                <w:highlight w:val="none"/>
              </w:rPr>
              <w:t>连接；</w:t>
            </w:r>
          </w:p>
          <w:p w14:paraId="326E172E">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11.可个性化配置，根据区域植保站主要病虫害配置调查场景以及配套的识别模型服务，支持第三方识别服务的接入。</w:t>
            </w:r>
          </w:p>
          <w:p w14:paraId="670EC79F">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（二）设备参数（性能不低于以下配置）</w:t>
            </w:r>
          </w:p>
          <w:p w14:paraId="766F5BF7">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1.操作系统：适配主流农业监测软件生态，确保系统稳定性与兼容性，支持多任务并发处理；</w:t>
            </w:r>
          </w:p>
          <w:p w14:paraId="3A1FECAE">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2.麦克风：支持降噪与语音增强功能，语音识别准确率≥95%，支持声纹登录</w:t>
            </w:r>
            <w:r>
              <w:rPr>
                <w:rFonts w:hint="eastAsia" w:ascii="宋体" w:hAnsi="宋体" w:eastAsia="宋体" w:cs="宋体"/>
                <w:b w:val="0"/>
                <w:bCs/>
                <w:sz w:val="24"/>
                <w:szCs w:val="24"/>
                <w:highlight w:val="none"/>
                <w:lang w:eastAsia="zh-CN"/>
              </w:rPr>
              <w:t>，</w:t>
            </w:r>
            <w:r>
              <w:rPr>
                <w:rFonts w:hint="eastAsia" w:ascii="宋体" w:hAnsi="宋体" w:eastAsia="宋体" w:cs="宋体"/>
                <w:b w:val="0"/>
                <w:bCs/>
                <w:sz w:val="24"/>
                <w:szCs w:val="24"/>
                <w:highlight w:val="none"/>
              </w:rPr>
              <w:t>响应时间＜1s，支持“开始采集”“保存数据”等常用指令的语音触发；</w:t>
            </w:r>
          </w:p>
          <w:p w14:paraId="187FDB73">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3.内存/芯片：不低于4GB RAM+128GB ROM，8核处理器（主频≥2.0GHz），支持多模块拓展（如外接传感器、识别模块）；</w:t>
            </w:r>
          </w:p>
          <w:p w14:paraId="6E47498B">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4.</w:t>
            </w:r>
            <w:r>
              <w:rPr>
                <w:rFonts w:hint="eastAsia" w:ascii="宋体" w:hAnsi="宋体" w:eastAsia="宋体" w:cs="宋体"/>
                <w:b w:val="0"/>
                <w:bCs/>
                <w:sz w:val="24"/>
                <w:szCs w:val="24"/>
                <w:highlight w:val="none"/>
                <w:lang w:eastAsia="zh-CN"/>
              </w:rPr>
              <w:t>Wi-Fi</w:t>
            </w:r>
            <w:r>
              <w:rPr>
                <w:rFonts w:hint="eastAsia" w:ascii="宋体" w:hAnsi="宋体" w:eastAsia="宋体" w:cs="宋体"/>
                <w:b w:val="0"/>
                <w:bCs/>
                <w:sz w:val="24"/>
                <w:szCs w:val="24"/>
                <w:highlight w:val="none"/>
              </w:rPr>
              <w:t>支持2.4GHz/5GHz双频段（</w:t>
            </w:r>
            <w:r>
              <w:rPr>
                <w:rFonts w:hint="eastAsia" w:ascii="宋体" w:hAnsi="宋体" w:eastAsia="宋体" w:cs="宋体"/>
                <w:b w:val="0"/>
                <w:bCs/>
                <w:sz w:val="24"/>
                <w:szCs w:val="24"/>
                <w:highlight w:val="none"/>
                <w:lang w:eastAsia="zh-CN"/>
              </w:rPr>
              <w:t>Wi-Fi</w:t>
            </w:r>
            <w:r>
              <w:rPr>
                <w:rFonts w:hint="eastAsia" w:ascii="宋体" w:hAnsi="宋体" w:eastAsia="宋体" w:cs="宋体"/>
                <w:b w:val="0"/>
                <w:bCs/>
                <w:sz w:val="24"/>
                <w:szCs w:val="24"/>
                <w:highlight w:val="none"/>
              </w:rPr>
              <w:t xml:space="preserve"> 6标准），传输速率≥1.2Gbps；蓝牙支持BR/EDR+BLE 5.1双模式，传输距离≥10米，适配外接设备连接需求；</w:t>
            </w:r>
          </w:p>
          <w:p w14:paraId="5C9E75CB">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5.摄像头：主摄≥2000万像素，支持光学防抖与低光增强，拍照图像不低于4800万像素，支持自动对焦与多角度拍摄；</w:t>
            </w:r>
          </w:p>
          <w:p w14:paraId="02C2CE2D">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6.续航：配备3块可拆卸4800mAh电池，支持热插拔，25℃～30℃环境下续航≥8小时，单块电池充电时间≤2小时。防护等级：IP67级防尘防水，可在-20℃～50℃环境下稳定运行，适配高温、高湿、雨雪等恶劣田间环境。</w:t>
            </w:r>
          </w:p>
          <w:p w14:paraId="6423A718">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7.显示屏：支持双目视觉成像（如双摄像头协同拍摄），屏幕分辨率≥1080P，支持触控操作与户外强光显示；</w:t>
            </w:r>
          </w:p>
          <w:p w14:paraId="7FA9DD5B">
            <w:pPr>
              <w:keepNext w:val="0"/>
              <w:keepLines w:val="0"/>
              <w:pageBreakBefore w:val="0"/>
              <w:kinsoku/>
              <w:wordWrap/>
              <w:overflowPunct/>
              <w:topLinePunct w:val="0"/>
              <w:autoSpaceDE/>
              <w:autoSpaceDN/>
              <w:bidi w:val="0"/>
              <w:spacing w:line="400" w:lineRule="exact"/>
              <w:ind w:firstLine="480" w:firstLineChars="200"/>
              <w:jc w:val="left"/>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sz w:val="24"/>
                <w:szCs w:val="24"/>
                <w:highlight w:val="none"/>
              </w:rPr>
              <w:t>8.通信： 集成Sub-6GHz频段5G调制解调器，支持SA/NSA双模组网，下行速率≥1Gbps。</w:t>
            </w:r>
          </w:p>
        </w:tc>
      </w:tr>
      <w:tr w14:paraId="506BA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2" w:type="pct"/>
            <w:tcBorders>
              <w:top w:val="single" w:color="auto" w:sz="4" w:space="0"/>
              <w:left w:val="single" w:color="auto" w:sz="4" w:space="0"/>
              <w:bottom w:val="single" w:color="auto" w:sz="4" w:space="0"/>
              <w:right w:val="single" w:color="auto" w:sz="4" w:space="0"/>
            </w:tcBorders>
            <w:noWrap w:val="0"/>
            <w:vAlign w:val="center"/>
          </w:tcPr>
          <w:p w14:paraId="5B4AC70F">
            <w:pPr>
              <w:keepNext w:val="0"/>
              <w:keepLines w:val="0"/>
              <w:pageBreakBefore w:val="0"/>
              <w:widowControl w:val="0"/>
              <w:kinsoku/>
              <w:wordWrap/>
              <w:overflowPunct/>
              <w:topLinePunct w:val="0"/>
              <w:autoSpaceDE/>
              <w:autoSpaceDN/>
              <w:bidi w:val="0"/>
              <w:spacing w:line="360" w:lineRule="auto"/>
              <w:jc w:val="center"/>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8</w:t>
            </w:r>
          </w:p>
        </w:tc>
        <w:tc>
          <w:tcPr>
            <w:tcW w:w="504" w:type="pct"/>
            <w:tcBorders>
              <w:top w:val="single" w:color="auto" w:sz="4" w:space="0"/>
              <w:left w:val="single" w:color="auto" w:sz="4" w:space="0"/>
              <w:bottom w:val="single" w:color="auto" w:sz="4" w:space="0"/>
              <w:right w:val="single" w:color="auto" w:sz="4" w:space="0"/>
            </w:tcBorders>
            <w:noWrap w:val="0"/>
            <w:vAlign w:val="center"/>
          </w:tcPr>
          <w:p w14:paraId="4211D144">
            <w:pPr>
              <w:keepNext w:val="0"/>
              <w:keepLines w:val="0"/>
              <w:pageBreakBefore w:val="0"/>
              <w:widowControl w:val="0"/>
              <w:kinsoku/>
              <w:wordWrap/>
              <w:overflowPunct/>
              <w:topLinePunct w:val="0"/>
              <w:autoSpaceDE/>
              <w:autoSpaceDN/>
              <w:bidi w:val="0"/>
              <w:spacing w:line="400" w:lineRule="exact"/>
              <w:jc w:val="center"/>
              <w:rPr>
                <w:rFonts w:hint="eastAsia" w:ascii="宋体" w:hAnsi="宋体" w:eastAsia="宋体" w:cs="宋体"/>
                <w:b w:val="0"/>
                <w:bCs/>
                <w:color w:val="auto"/>
                <w:kern w:val="0"/>
                <w:sz w:val="24"/>
                <w:szCs w:val="24"/>
                <w:highlight w:val="none"/>
                <w:lang w:eastAsia="zh-CN"/>
              </w:rPr>
            </w:pPr>
            <w:r>
              <w:rPr>
                <w:rFonts w:hint="eastAsia" w:ascii="宋体" w:hAnsi="宋体" w:eastAsia="宋体" w:cs="宋体"/>
                <w:b w:val="0"/>
                <w:bCs/>
                <w:color w:val="auto"/>
                <w:kern w:val="0"/>
                <w:sz w:val="24"/>
                <w:szCs w:val="24"/>
                <w:highlight w:val="none"/>
                <w:lang w:eastAsia="zh-CN"/>
              </w:rPr>
              <w:t>鼠害物联网智能监测系统</w:t>
            </w:r>
          </w:p>
        </w:tc>
        <w:tc>
          <w:tcPr>
            <w:tcW w:w="4162" w:type="pct"/>
            <w:tcBorders>
              <w:top w:val="single" w:color="auto" w:sz="4" w:space="0"/>
              <w:left w:val="single" w:color="auto" w:sz="4" w:space="0"/>
              <w:bottom w:val="single" w:color="auto" w:sz="4" w:space="0"/>
              <w:right w:val="single" w:color="auto" w:sz="4" w:space="0"/>
            </w:tcBorders>
            <w:noWrap w:val="0"/>
            <w:vAlign w:val="center"/>
          </w:tcPr>
          <w:p w14:paraId="3721A431">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（一）害鼠智能监测硬件</w:t>
            </w:r>
          </w:p>
          <w:p w14:paraId="1DED6B52">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1.CPU:主频≥528MHz，支持多线程并发处理，确保视频采集、数据传输、诱饵控制等多任务同步运行。</w:t>
            </w:r>
          </w:p>
          <w:p w14:paraId="308B40B9">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存储：eMMC ≥4GB（eMMC 5.1标准），内存≥512MB（DDR3/DDR4），支持数据本地缓存与快速读写</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整机功耗≤3W，满足低功耗运行需求。</w:t>
            </w:r>
          </w:p>
          <w:p w14:paraId="08E11C7C">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2.摄像模组</w:t>
            </w:r>
            <w:r>
              <w:rPr>
                <w:rFonts w:hint="eastAsia" w:ascii="宋体" w:hAnsi="宋体" w:eastAsia="宋体" w:cs="宋体"/>
                <w:b w:val="0"/>
                <w:bCs/>
                <w:kern w:val="0"/>
                <w:sz w:val="24"/>
                <w:szCs w:val="24"/>
                <w:highlight w:val="none"/>
                <w:lang w:eastAsia="zh-CN"/>
              </w:rPr>
              <w:t>：视频</w:t>
            </w:r>
            <w:r>
              <w:rPr>
                <w:rFonts w:hint="eastAsia" w:ascii="宋体" w:hAnsi="宋体" w:eastAsia="宋体" w:cs="宋体"/>
                <w:b w:val="0"/>
                <w:bCs/>
                <w:kern w:val="0"/>
                <w:sz w:val="24"/>
                <w:szCs w:val="24"/>
                <w:highlight w:val="none"/>
              </w:rPr>
              <w:t>帧率≥30fps</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视频清晰度≥1080P（1920×1080）</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视频有效视野率100%</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视频数据格式AVI/WMV/MP4等多种格式，适配不同平台数据解析需求。</w:t>
            </w:r>
          </w:p>
          <w:p w14:paraId="7C06AFE3">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3.设备运行须满足在温度：-35℃-75℃</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湿度：</w:t>
            </w:r>
            <w:r>
              <w:rPr>
                <w:rFonts w:hint="eastAsia" w:ascii="宋体" w:hAnsi="宋体" w:eastAsia="宋体" w:cs="宋体"/>
                <w:b w:val="0"/>
                <w:bCs/>
                <w:kern w:val="0"/>
                <w:sz w:val="24"/>
                <w:szCs w:val="24"/>
                <w:highlight w:val="none"/>
                <w:lang w:eastAsia="zh-CN"/>
              </w:rPr>
              <w:t>5%～95%</w:t>
            </w:r>
            <w:r>
              <w:rPr>
                <w:rFonts w:hint="eastAsia" w:ascii="宋体" w:hAnsi="宋体" w:eastAsia="宋体" w:cs="宋体"/>
                <w:b w:val="0"/>
                <w:bCs/>
                <w:kern w:val="0"/>
                <w:sz w:val="24"/>
                <w:szCs w:val="24"/>
                <w:highlight w:val="none"/>
              </w:rPr>
              <w:t xml:space="preserve"> RH条件下正常使用，防护等级不低于IP67，可在雨雪、沙尘等恶劣田间环境稳定运行；监测硬件终端精准定位，水平定位精度≤10米，支持田间位置标注与轨迹回传;</w:t>
            </w:r>
          </w:p>
          <w:p w14:paraId="46D0C853">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4.支持交流电直接供电、直流电供电和太阳能供电，待机时间365天*24小时；</w:t>
            </w:r>
          </w:p>
          <w:p w14:paraId="364AF4A7">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5.支持定时定量投放（误差≤5%），适配颗粒、液体等多种诱饵类型，投放量可远程调节；</w:t>
            </w:r>
          </w:p>
          <w:p w14:paraId="025FD239">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6.支持系统定时唤醒和红外组合唤醒；支持远程密码保护、故障诊断、参数控制</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支持数据加密传输与本地存储，确保田间数据不泄露；</w:t>
            </w:r>
          </w:p>
          <w:p w14:paraId="5E9141CE">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（二）害鼠智能识别系统</w:t>
            </w:r>
          </w:p>
          <w:p w14:paraId="79CF4FA4">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国内常见害鼠识别准确率≥85%，江西省常见农区鼠害识别准确率≥90%，并对形态学指标计算：体重、体长、尾长、毛色、身体轮廓等特征。</w:t>
            </w:r>
          </w:p>
          <w:p w14:paraId="4713F44D">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（三）鼠情可视化分析系统</w:t>
            </w:r>
          </w:p>
          <w:p w14:paraId="4D2E78B7">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数据实时接入、计算，害鼠智能精准分类，可视化展示分析鼠种分布、群落结构、种群数量动态、密度趋势、生物量、行为节律等数据查询、监测设备分布查询及异常设备实时预警；支持国家、省、市、县四级网络信息处理、储存、计算、通信的权限管理；支持人工调查数据导入系统分析、可视化展示。</w:t>
            </w:r>
          </w:p>
          <w:p w14:paraId="22683476">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（四）无线传感传输系统</w:t>
            </w:r>
          </w:p>
          <w:p w14:paraId="5BE1ADE6">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可实现害鼠的自动感应并实时开启视频数据采集，并按要求接入当地、省级、国家级相关农作物有害生物监控信息系统。内置有无线网络传输模块，支持有线或2G/3G/4G/5G全网通和Wi-Fi通信；通信频段支持7模全网通；通信模式支持TCP/IP、HTTP、FTP、Wi-Fi；支持设备间通过蓝牙、LORA、NB-IoT、Wi-Fi等自组网通信，实现区域矩阵式监测。</w:t>
            </w:r>
          </w:p>
          <w:p w14:paraId="7DAC1E3E">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（五）工作模式及设备固定安全</w:t>
            </w:r>
          </w:p>
          <w:p w14:paraId="7358DD3D">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kern w:val="0"/>
                <w:sz w:val="24"/>
                <w:szCs w:val="24"/>
                <w:highlight w:val="none"/>
              </w:rPr>
              <w:t>基座采用不低于碳钢材质，增加防腐涂层，适配潮湿、酸性土壤环境。基座固定支架实现智能硬件设备安装固定，配合电子围栏实现硬件设备移动报警；具备产品安全策略，智能抓取设备周边手机、电脑/平板、电视等数码产品硬件MAC数据（可用于报警找回丢失设备）。</w:t>
            </w:r>
          </w:p>
        </w:tc>
      </w:tr>
      <w:tr w14:paraId="3049B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2" w:type="pct"/>
            <w:tcBorders>
              <w:top w:val="single" w:color="auto" w:sz="4" w:space="0"/>
              <w:left w:val="single" w:color="auto" w:sz="4" w:space="0"/>
              <w:bottom w:val="single" w:color="auto" w:sz="4" w:space="0"/>
              <w:right w:val="single" w:color="auto" w:sz="4" w:space="0"/>
            </w:tcBorders>
            <w:noWrap w:val="0"/>
            <w:vAlign w:val="center"/>
          </w:tcPr>
          <w:p w14:paraId="45917BC0">
            <w:pPr>
              <w:keepNext w:val="0"/>
              <w:keepLines w:val="0"/>
              <w:pageBreakBefore w:val="0"/>
              <w:widowControl w:val="0"/>
              <w:kinsoku/>
              <w:wordWrap/>
              <w:overflowPunct/>
              <w:topLinePunct w:val="0"/>
              <w:autoSpaceDE/>
              <w:autoSpaceDN/>
              <w:bidi w:val="0"/>
              <w:spacing w:line="360" w:lineRule="auto"/>
              <w:jc w:val="center"/>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9</w:t>
            </w:r>
          </w:p>
        </w:tc>
        <w:tc>
          <w:tcPr>
            <w:tcW w:w="504" w:type="pct"/>
            <w:tcBorders>
              <w:top w:val="single" w:color="auto" w:sz="4" w:space="0"/>
              <w:left w:val="single" w:color="auto" w:sz="4" w:space="0"/>
              <w:bottom w:val="single" w:color="auto" w:sz="4" w:space="0"/>
              <w:right w:val="single" w:color="auto" w:sz="4" w:space="0"/>
            </w:tcBorders>
            <w:noWrap w:val="0"/>
            <w:vAlign w:val="center"/>
          </w:tcPr>
          <w:p w14:paraId="6C36506B">
            <w:pPr>
              <w:keepNext w:val="0"/>
              <w:keepLines w:val="0"/>
              <w:pageBreakBefore w:val="0"/>
              <w:widowControl w:val="0"/>
              <w:kinsoku/>
              <w:wordWrap/>
              <w:overflowPunct/>
              <w:topLinePunct w:val="0"/>
              <w:autoSpaceDE/>
              <w:autoSpaceDN/>
              <w:bidi w:val="0"/>
              <w:spacing w:line="400" w:lineRule="exact"/>
              <w:jc w:val="center"/>
              <w:rPr>
                <w:rFonts w:hint="eastAsia" w:ascii="宋体" w:hAnsi="宋体" w:eastAsia="宋体" w:cs="宋体"/>
                <w:b w:val="0"/>
                <w:bCs/>
                <w:color w:val="auto"/>
                <w:kern w:val="0"/>
                <w:sz w:val="24"/>
                <w:szCs w:val="24"/>
                <w:highlight w:val="none"/>
                <w:lang w:eastAsia="zh-CN"/>
              </w:rPr>
            </w:pPr>
            <w:r>
              <w:rPr>
                <w:rFonts w:hint="eastAsia" w:ascii="宋体" w:hAnsi="宋体" w:eastAsia="宋体" w:cs="宋体"/>
                <w:b w:val="0"/>
                <w:bCs/>
                <w:color w:val="auto"/>
                <w:kern w:val="0"/>
                <w:sz w:val="24"/>
                <w:szCs w:val="24"/>
                <w:highlight w:val="none"/>
                <w:lang w:eastAsia="zh-CN"/>
              </w:rPr>
              <w:t>病虫害调查工具箱</w:t>
            </w:r>
          </w:p>
        </w:tc>
        <w:tc>
          <w:tcPr>
            <w:tcW w:w="4162" w:type="pct"/>
            <w:tcBorders>
              <w:top w:val="single" w:color="auto" w:sz="4" w:space="0"/>
              <w:left w:val="single" w:color="auto" w:sz="4" w:space="0"/>
              <w:bottom w:val="single" w:color="auto" w:sz="4" w:space="0"/>
              <w:right w:val="single" w:color="auto" w:sz="4" w:space="0"/>
            </w:tcBorders>
            <w:noWrap w:val="0"/>
            <w:vAlign w:val="center"/>
          </w:tcPr>
          <w:p w14:paraId="63E63C7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80" w:firstLineChars="200"/>
              <w:jc w:val="both"/>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1.配备适用于野外调查、植物调查、病虫测报的常用工具装备，可对病虫进行田间调查和监测。</w:t>
            </w:r>
          </w:p>
          <w:p w14:paraId="786AEAC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00" w:lineRule="exact"/>
              <w:ind w:left="0" w:right="0" w:firstLine="480" w:firstLineChars="200"/>
              <w:jc w:val="both"/>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2.工具箱箱体材质：高强度ABS工程塑料，防水防尘，承重≥15kg，尺寸≤40×30×20(cm)；功能：模块化分层设计，带防震隔层，可定制标识，适配车载、背包携带方便携带，</w:t>
            </w:r>
          </w:p>
          <w:p w14:paraId="44CBA1D2">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both"/>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3.主要工具仪器配置（符合国家及行业相关规范及标准，每个产品1套（个））:便携水桶、指南针、签字笔、弯镊子、一次性手套、不锈钢水杯、多用小刀、油性记号笔、解剖刀、多用记录本、手压手电、带光源放大镜、注射器、金属柄解剖针、常用标签、折叠小凳子、放大镜、直镊子、昆虫针、医用剪刀、专业捕虫网、昆虫采集三件套、剪枝剪、太阳帽、昆虫针钳、指形管、测树围尺、带光显微镜、计数器、折叠锯、样品采集器、植物采集记录本、昆虫采集记录本等。</w:t>
            </w:r>
          </w:p>
        </w:tc>
      </w:tr>
      <w:tr w14:paraId="21E7F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2" w:type="pct"/>
            <w:tcBorders>
              <w:top w:val="single" w:color="auto" w:sz="4" w:space="0"/>
              <w:left w:val="single" w:color="auto" w:sz="4" w:space="0"/>
              <w:bottom w:val="single" w:color="auto" w:sz="4" w:space="0"/>
              <w:right w:val="single" w:color="auto" w:sz="4" w:space="0"/>
            </w:tcBorders>
            <w:noWrap w:val="0"/>
            <w:vAlign w:val="center"/>
          </w:tcPr>
          <w:p w14:paraId="02BDD0C5">
            <w:pPr>
              <w:keepNext w:val="0"/>
              <w:keepLines w:val="0"/>
              <w:pageBreakBefore w:val="0"/>
              <w:widowControl w:val="0"/>
              <w:kinsoku/>
              <w:wordWrap/>
              <w:overflowPunct/>
              <w:topLinePunct w:val="0"/>
              <w:autoSpaceDE/>
              <w:autoSpaceDN/>
              <w:bidi w:val="0"/>
              <w:spacing w:line="360" w:lineRule="auto"/>
              <w:jc w:val="center"/>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10</w:t>
            </w:r>
          </w:p>
        </w:tc>
        <w:tc>
          <w:tcPr>
            <w:tcW w:w="504" w:type="pct"/>
            <w:tcBorders>
              <w:top w:val="single" w:color="auto" w:sz="4" w:space="0"/>
              <w:left w:val="single" w:color="auto" w:sz="4" w:space="0"/>
              <w:bottom w:val="single" w:color="auto" w:sz="4" w:space="0"/>
              <w:right w:val="single" w:color="auto" w:sz="4" w:space="0"/>
            </w:tcBorders>
            <w:noWrap w:val="0"/>
            <w:vAlign w:val="center"/>
          </w:tcPr>
          <w:p w14:paraId="29CBA483">
            <w:pPr>
              <w:keepNext w:val="0"/>
              <w:keepLines w:val="0"/>
              <w:pageBreakBefore w:val="0"/>
              <w:widowControl w:val="0"/>
              <w:kinsoku/>
              <w:wordWrap/>
              <w:overflowPunct/>
              <w:topLinePunct w:val="0"/>
              <w:autoSpaceDE/>
              <w:autoSpaceDN/>
              <w:bidi w:val="0"/>
              <w:spacing w:line="400" w:lineRule="exact"/>
              <w:jc w:val="center"/>
              <w:rPr>
                <w:rFonts w:hint="eastAsia" w:ascii="宋体" w:hAnsi="宋体" w:eastAsia="宋体" w:cs="宋体"/>
                <w:b w:val="0"/>
                <w:bCs/>
                <w:color w:val="auto"/>
                <w:kern w:val="0"/>
                <w:sz w:val="24"/>
                <w:szCs w:val="24"/>
                <w:highlight w:val="none"/>
                <w:lang w:eastAsia="zh-CN"/>
              </w:rPr>
            </w:pPr>
            <w:r>
              <w:rPr>
                <w:rFonts w:hint="eastAsia" w:ascii="宋体" w:hAnsi="宋体" w:eastAsia="宋体" w:cs="宋体"/>
                <w:b w:val="0"/>
                <w:bCs/>
                <w:color w:val="auto"/>
                <w:kern w:val="0"/>
                <w:sz w:val="24"/>
                <w:szCs w:val="24"/>
                <w:highlight w:val="none"/>
                <w:lang w:eastAsia="zh-CN"/>
              </w:rPr>
              <w:t>工具房</w:t>
            </w:r>
          </w:p>
        </w:tc>
        <w:tc>
          <w:tcPr>
            <w:tcW w:w="4162" w:type="pct"/>
            <w:tcBorders>
              <w:top w:val="single" w:color="auto" w:sz="4" w:space="0"/>
              <w:left w:val="single" w:color="auto" w:sz="4" w:space="0"/>
              <w:bottom w:val="single" w:color="auto" w:sz="4" w:space="0"/>
              <w:right w:val="single" w:color="auto" w:sz="4" w:space="0"/>
            </w:tcBorders>
            <w:noWrap w:val="0"/>
            <w:vAlign w:val="center"/>
          </w:tcPr>
          <w:p w14:paraId="31DB8513">
            <w:pPr>
              <w:keepNext w:val="0"/>
              <w:keepLines w:val="0"/>
              <w:pageBreakBefore w:val="0"/>
              <w:tabs>
                <w:tab w:val="left" w:pos="3360"/>
              </w:tabs>
              <w:kinsoku/>
              <w:wordWrap/>
              <w:overflowPunct/>
              <w:topLinePunct w:val="0"/>
              <w:autoSpaceDE/>
              <w:autoSpaceDN/>
              <w:bidi w:val="0"/>
              <w:spacing w:line="400" w:lineRule="exact"/>
              <w:ind w:firstLine="480" w:firstLineChars="200"/>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1.防火岩棉彩钢夹心板结构、亭形顶带轻钢骨架，主骨架采用Q235B热镀锌钢材，壁厚≥2.3mm，次骨架壁厚≥1.5mm，连接件厚度≥1.0mm，满足GB</w:t>
            </w:r>
            <w:r>
              <w:rPr>
                <w:rFonts w:hint="eastAsia" w:ascii="宋体" w:hAnsi="宋体" w:eastAsia="宋体" w:cs="宋体"/>
                <w:b w:val="0"/>
                <w:bCs/>
                <w:kern w:val="0"/>
                <w:sz w:val="24"/>
                <w:szCs w:val="24"/>
                <w:highlight w:val="none"/>
                <w:lang w:val="en-US" w:eastAsia="zh-CN"/>
              </w:rPr>
              <w:t>/T</w:t>
            </w:r>
            <w:r>
              <w:rPr>
                <w:rFonts w:hint="eastAsia" w:ascii="宋体" w:hAnsi="宋体" w:eastAsia="宋体" w:cs="宋体"/>
                <w:b w:val="0"/>
                <w:bCs/>
                <w:kern w:val="0"/>
                <w:sz w:val="24"/>
                <w:szCs w:val="24"/>
                <w:highlight w:val="none"/>
              </w:rPr>
              <w:t xml:space="preserve"> 50018-202</w:t>
            </w:r>
            <w:r>
              <w:rPr>
                <w:rFonts w:hint="eastAsia" w:ascii="宋体" w:hAnsi="宋体" w:eastAsia="宋体" w:cs="宋体"/>
                <w:b w:val="0"/>
                <w:bCs/>
                <w:kern w:val="0"/>
                <w:sz w:val="24"/>
                <w:szCs w:val="24"/>
                <w:highlight w:val="none"/>
                <w:lang w:val="en-US" w:eastAsia="zh-CN"/>
              </w:rPr>
              <w:t>5</w:t>
            </w:r>
            <w:r>
              <w:rPr>
                <w:rFonts w:hint="eastAsia" w:ascii="宋体" w:hAnsi="宋体" w:eastAsia="宋体" w:cs="宋体"/>
                <w:b w:val="0"/>
                <w:bCs/>
                <w:kern w:val="0"/>
                <w:sz w:val="24"/>
                <w:szCs w:val="24"/>
                <w:highlight w:val="none"/>
              </w:rPr>
              <w:t>《冷弯型钢结构技术</w:t>
            </w:r>
            <w:r>
              <w:rPr>
                <w:rFonts w:hint="eastAsia" w:ascii="宋体" w:hAnsi="宋体" w:eastAsia="宋体" w:cs="宋体"/>
                <w:b w:val="0"/>
                <w:bCs/>
                <w:kern w:val="0"/>
                <w:sz w:val="24"/>
                <w:szCs w:val="24"/>
                <w:highlight w:val="none"/>
                <w:lang w:val="en-US" w:eastAsia="zh-CN"/>
              </w:rPr>
              <w:t>标准</w:t>
            </w:r>
            <w:r>
              <w:rPr>
                <w:rFonts w:hint="eastAsia" w:ascii="宋体" w:hAnsi="宋体" w:eastAsia="宋体" w:cs="宋体"/>
                <w:b w:val="0"/>
                <w:bCs/>
                <w:kern w:val="0"/>
                <w:sz w:val="24"/>
                <w:szCs w:val="24"/>
                <w:highlight w:val="none"/>
              </w:rPr>
              <w:t>》要求，岩棉板厚度≥50mm，檐口标高为2.4m，总高为3m，总建筑面积</w:t>
            </w:r>
            <w:r>
              <w:rPr>
                <w:rFonts w:hint="eastAsia" w:ascii="宋体" w:hAnsi="宋体" w:eastAsia="宋体" w:cs="宋体"/>
                <w:b w:val="0"/>
                <w:bCs/>
                <w:kern w:val="0"/>
                <w:sz w:val="24"/>
                <w:szCs w:val="24"/>
                <w:highlight w:val="none"/>
                <w:lang w:val="en-US" w:eastAsia="zh-CN"/>
              </w:rPr>
              <w:t>6</w:t>
            </w:r>
            <w:r>
              <w:rPr>
                <w:rFonts w:hint="eastAsia" w:ascii="宋体" w:hAnsi="宋体" w:eastAsia="宋体" w:cs="宋体"/>
                <w:b w:val="0"/>
                <w:bCs/>
                <w:kern w:val="0"/>
                <w:sz w:val="24"/>
                <w:szCs w:val="24"/>
                <w:highlight w:val="none"/>
              </w:rPr>
              <w:t>㎡；</w:t>
            </w:r>
          </w:p>
          <w:p w14:paraId="13451627">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2.墙板双面≥0.3mm厚</w:t>
            </w:r>
            <w:r>
              <w:rPr>
                <w:rFonts w:hint="eastAsia" w:ascii="宋体" w:hAnsi="宋体" w:eastAsia="宋体" w:cs="宋体"/>
                <w:b w:val="0"/>
                <w:bCs/>
                <w:kern w:val="0"/>
                <w:sz w:val="24"/>
                <w:szCs w:val="24"/>
                <w:highlight w:val="none"/>
                <w:lang w:eastAsia="zh-CN"/>
              </w:rPr>
              <w:t>彩板</w:t>
            </w:r>
            <w:r>
              <w:rPr>
                <w:rFonts w:hint="eastAsia" w:ascii="宋体" w:hAnsi="宋体" w:eastAsia="宋体" w:cs="宋体"/>
                <w:b w:val="0"/>
                <w:bCs/>
                <w:kern w:val="0"/>
                <w:sz w:val="24"/>
                <w:szCs w:val="24"/>
                <w:highlight w:val="none"/>
              </w:rPr>
              <w:t>，房主材厚度≥2.3mm，压板槽上梁与墙板连接件厚度≥1.0mm；</w:t>
            </w:r>
          </w:p>
          <w:p w14:paraId="730E280E">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3.窗950mm×1200mm铝合金防盗窗，窗框型材壁厚≥1.2mm，窗扇采用双层中空玻璃，防盗锁具；钢制防盗门980mm×2000mm，门体钢板厚度≥2.0mm，内填防火岩棉</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带密码锁+机械锁双锁具；顶瓦980型彩钢瓦厚度≥0.4mm，镀铝锌涂层（锌层厚度≥85μm），；</w:t>
            </w:r>
          </w:p>
          <w:p w14:paraId="0AF9150A">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4.通过斜撑、横梁等支撑结构，整体抗风等级≥12级；</w:t>
            </w:r>
          </w:p>
          <w:p w14:paraId="41FF14F7">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5.施工要求：符合GB 50205-2020《钢结构工程施工质量验收标准》、GB 50212-2014《建筑防腐蚀工程施工规范》等国家标准、行业规范和合同等相关文件的要求；</w:t>
            </w:r>
          </w:p>
          <w:p w14:paraId="3ABF9FCB">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6.质量要求：合格；</w:t>
            </w:r>
          </w:p>
          <w:p w14:paraId="16D38FB6">
            <w:pPr>
              <w:keepNext w:val="0"/>
              <w:keepLines w:val="0"/>
              <w:pageBreakBefore w:val="0"/>
              <w:numPr>
                <w:ilvl w:val="0"/>
                <w:numId w:val="0"/>
              </w:numPr>
              <w:kinsoku/>
              <w:wordWrap/>
              <w:overflowPunct/>
              <w:topLinePunct w:val="0"/>
              <w:autoSpaceDE/>
              <w:autoSpaceDN/>
              <w:bidi w:val="0"/>
              <w:spacing w:line="400" w:lineRule="exact"/>
              <w:ind w:left="467" w:leftChars="0" w:firstLine="0" w:firstLineChars="0"/>
              <w:jc w:val="left"/>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kern w:val="0"/>
                <w:sz w:val="24"/>
                <w:szCs w:val="24"/>
                <w:highlight w:val="none"/>
              </w:rPr>
              <w:t>注：该项属于工具房施工服务。</w:t>
            </w:r>
          </w:p>
        </w:tc>
      </w:tr>
      <w:tr w14:paraId="61BAB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2" w:type="pct"/>
            <w:tcBorders>
              <w:top w:val="single" w:color="auto" w:sz="4" w:space="0"/>
              <w:left w:val="single" w:color="auto" w:sz="4" w:space="0"/>
              <w:bottom w:val="single" w:color="auto" w:sz="4" w:space="0"/>
              <w:right w:val="single" w:color="auto" w:sz="4" w:space="0"/>
            </w:tcBorders>
            <w:noWrap w:val="0"/>
            <w:vAlign w:val="center"/>
          </w:tcPr>
          <w:p w14:paraId="76C63E3D">
            <w:pPr>
              <w:keepNext w:val="0"/>
              <w:keepLines w:val="0"/>
              <w:pageBreakBefore w:val="0"/>
              <w:widowControl w:val="0"/>
              <w:kinsoku/>
              <w:wordWrap/>
              <w:overflowPunct/>
              <w:topLinePunct w:val="0"/>
              <w:autoSpaceDE/>
              <w:autoSpaceDN/>
              <w:bidi w:val="0"/>
              <w:spacing w:line="360" w:lineRule="auto"/>
              <w:jc w:val="center"/>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11</w:t>
            </w:r>
          </w:p>
        </w:tc>
        <w:tc>
          <w:tcPr>
            <w:tcW w:w="504" w:type="pct"/>
            <w:tcBorders>
              <w:top w:val="single" w:color="auto" w:sz="4" w:space="0"/>
              <w:left w:val="single" w:color="auto" w:sz="4" w:space="0"/>
              <w:bottom w:val="single" w:color="auto" w:sz="4" w:space="0"/>
              <w:right w:val="single" w:color="auto" w:sz="4" w:space="0"/>
            </w:tcBorders>
            <w:noWrap w:val="0"/>
            <w:vAlign w:val="center"/>
          </w:tcPr>
          <w:p w14:paraId="685D3936">
            <w:pPr>
              <w:keepNext w:val="0"/>
              <w:keepLines w:val="0"/>
              <w:pageBreakBefore w:val="0"/>
              <w:widowControl w:val="0"/>
              <w:kinsoku/>
              <w:wordWrap/>
              <w:overflowPunct/>
              <w:topLinePunct w:val="0"/>
              <w:autoSpaceDE/>
              <w:autoSpaceDN/>
              <w:bidi w:val="0"/>
              <w:spacing w:line="400" w:lineRule="exact"/>
              <w:jc w:val="center"/>
              <w:rPr>
                <w:rFonts w:hint="eastAsia" w:ascii="宋体" w:hAnsi="宋体" w:eastAsia="宋体" w:cs="宋体"/>
                <w:b w:val="0"/>
                <w:bCs/>
                <w:color w:val="auto"/>
                <w:kern w:val="0"/>
                <w:sz w:val="24"/>
                <w:szCs w:val="24"/>
                <w:highlight w:val="none"/>
                <w:lang w:eastAsia="zh-CN"/>
              </w:rPr>
            </w:pPr>
            <w:r>
              <w:rPr>
                <w:rFonts w:hint="eastAsia" w:ascii="宋体" w:hAnsi="宋体" w:eastAsia="宋体" w:cs="宋体"/>
                <w:b w:val="0"/>
                <w:bCs/>
                <w:color w:val="auto"/>
                <w:kern w:val="0"/>
                <w:sz w:val="24"/>
                <w:szCs w:val="24"/>
                <w:highlight w:val="none"/>
                <w:lang w:eastAsia="zh-CN"/>
              </w:rPr>
              <w:t>围栏</w:t>
            </w:r>
          </w:p>
        </w:tc>
        <w:tc>
          <w:tcPr>
            <w:tcW w:w="4162" w:type="pct"/>
            <w:tcBorders>
              <w:top w:val="single" w:color="auto" w:sz="4" w:space="0"/>
              <w:left w:val="single" w:color="auto" w:sz="4" w:space="0"/>
              <w:bottom w:val="single" w:color="auto" w:sz="4" w:space="0"/>
              <w:right w:val="single" w:color="auto" w:sz="4" w:space="0"/>
            </w:tcBorders>
            <w:noWrap w:val="0"/>
            <w:vAlign w:val="center"/>
          </w:tcPr>
          <w:p w14:paraId="3133E9CB">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1.周长24米，采用304不锈钢结构建设的通透式栅栏，立柱规格Φ50×2.0mm，横竖杆间距≤150mm，围栏高1.8m，每个监测点围栏含不锈钢门一套</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单扇门尺寸1.2m×2.0m，门框厚度≥2.0mm，带防盗锁具，门体与围栏焊接固定，确保整体稳定性</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及示范牌，围栏内填土及平整，铺设吸水砖及绿化等；</w:t>
            </w:r>
          </w:p>
          <w:p w14:paraId="212F0E7A">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2.示范牌规格1m*1.5m，采用304不锈钢框架+亚克力板，表面喷绘监测点信息（字体≥10cm，防水防紫外线），底部设置混凝土基础（尺寸500×500×500mm），确保抗风、抗倾覆</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示范牌信息内容包含信息内容：包含监测点名称、功能说明、维护单位、联系方式等，铺设吸水砖路主道宽80cm，支道宽60cm；采用透水混凝土砖（厚度≥60mm，透水系数≥1.0mm/s），砖缝填充石英砂，确保排水性能；围栏内侧种植地被植物（如麦冬）覆盖裸露地面。</w:t>
            </w:r>
          </w:p>
          <w:p w14:paraId="28FD82FA">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3.施工要求：符合国家标准、行业规范和合同等相关文件的要求；</w:t>
            </w:r>
          </w:p>
          <w:p w14:paraId="12063032">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4.质量要求：合格。</w:t>
            </w:r>
          </w:p>
          <w:p w14:paraId="7F80E0B0">
            <w:pPr>
              <w:keepNext w:val="0"/>
              <w:keepLines w:val="0"/>
              <w:pageBreakBefore w:val="0"/>
              <w:numPr>
                <w:ilvl w:val="0"/>
                <w:numId w:val="0"/>
              </w:numPr>
              <w:kinsoku/>
              <w:wordWrap/>
              <w:overflowPunct/>
              <w:topLinePunct w:val="0"/>
              <w:autoSpaceDE/>
              <w:autoSpaceDN/>
              <w:bidi w:val="0"/>
              <w:spacing w:line="400" w:lineRule="exact"/>
              <w:ind w:left="0" w:leftChars="0" w:firstLine="480" w:firstLineChars="200"/>
              <w:jc w:val="both"/>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kern w:val="0"/>
                <w:sz w:val="24"/>
                <w:szCs w:val="24"/>
                <w:highlight w:val="none"/>
              </w:rPr>
              <w:t>注：该项属于围栏施工服务。</w:t>
            </w:r>
          </w:p>
        </w:tc>
      </w:tr>
      <w:tr w14:paraId="030BE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2" w:type="pct"/>
            <w:tcBorders>
              <w:top w:val="single" w:color="auto" w:sz="4" w:space="0"/>
              <w:left w:val="single" w:color="auto" w:sz="4" w:space="0"/>
              <w:bottom w:val="single" w:color="auto" w:sz="4" w:space="0"/>
              <w:right w:val="single" w:color="auto" w:sz="4" w:space="0"/>
            </w:tcBorders>
            <w:noWrap w:val="0"/>
            <w:vAlign w:val="center"/>
          </w:tcPr>
          <w:p w14:paraId="53EB271F">
            <w:pPr>
              <w:keepNext w:val="0"/>
              <w:keepLines w:val="0"/>
              <w:pageBreakBefore w:val="0"/>
              <w:widowControl w:val="0"/>
              <w:kinsoku/>
              <w:wordWrap/>
              <w:overflowPunct/>
              <w:topLinePunct w:val="0"/>
              <w:autoSpaceDE/>
              <w:autoSpaceDN/>
              <w:bidi w:val="0"/>
              <w:spacing w:line="360" w:lineRule="auto"/>
              <w:jc w:val="center"/>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12</w:t>
            </w:r>
          </w:p>
        </w:tc>
        <w:tc>
          <w:tcPr>
            <w:tcW w:w="504" w:type="pct"/>
            <w:tcBorders>
              <w:top w:val="single" w:color="auto" w:sz="4" w:space="0"/>
              <w:left w:val="single" w:color="auto" w:sz="4" w:space="0"/>
              <w:bottom w:val="single" w:color="auto" w:sz="4" w:space="0"/>
              <w:right w:val="single" w:color="auto" w:sz="4" w:space="0"/>
            </w:tcBorders>
            <w:noWrap w:val="0"/>
            <w:vAlign w:val="center"/>
          </w:tcPr>
          <w:p w14:paraId="407E1DF8">
            <w:pPr>
              <w:keepNext w:val="0"/>
              <w:keepLines w:val="0"/>
              <w:pageBreakBefore w:val="0"/>
              <w:widowControl w:val="0"/>
              <w:kinsoku/>
              <w:wordWrap/>
              <w:overflowPunct/>
              <w:topLinePunct w:val="0"/>
              <w:autoSpaceDE/>
              <w:autoSpaceDN/>
              <w:bidi w:val="0"/>
              <w:spacing w:line="400" w:lineRule="exact"/>
              <w:jc w:val="center"/>
              <w:rPr>
                <w:rFonts w:hint="eastAsia" w:ascii="宋体" w:hAnsi="宋体" w:eastAsia="宋体" w:cs="宋体"/>
                <w:b w:val="0"/>
                <w:bCs/>
                <w:color w:val="auto"/>
                <w:kern w:val="0"/>
                <w:sz w:val="24"/>
                <w:szCs w:val="24"/>
                <w:highlight w:val="none"/>
                <w:lang w:eastAsia="zh-CN"/>
              </w:rPr>
            </w:pPr>
            <w:r>
              <w:rPr>
                <w:rFonts w:hint="eastAsia" w:ascii="宋体" w:hAnsi="宋体" w:eastAsia="宋体" w:cs="宋体"/>
                <w:b w:val="0"/>
                <w:bCs/>
                <w:color w:val="auto"/>
                <w:kern w:val="0"/>
                <w:sz w:val="24"/>
                <w:szCs w:val="24"/>
                <w:highlight w:val="none"/>
                <w:lang w:eastAsia="zh-CN"/>
              </w:rPr>
              <w:t>安装供电工程</w:t>
            </w:r>
          </w:p>
        </w:tc>
        <w:tc>
          <w:tcPr>
            <w:tcW w:w="4162" w:type="pct"/>
            <w:tcBorders>
              <w:top w:val="single" w:color="auto" w:sz="4" w:space="0"/>
              <w:left w:val="single" w:color="auto" w:sz="4" w:space="0"/>
              <w:bottom w:val="single" w:color="auto" w:sz="4" w:space="0"/>
              <w:right w:val="single" w:color="auto" w:sz="4" w:space="0"/>
            </w:tcBorders>
            <w:noWrap w:val="0"/>
            <w:vAlign w:val="center"/>
          </w:tcPr>
          <w:p w14:paraId="6AB02383">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lang w:val="en-US" w:eastAsia="zh-CN"/>
              </w:rPr>
            </w:pPr>
            <w:r>
              <w:rPr>
                <w:rFonts w:hint="eastAsia" w:ascii="宋体" w:hAnsi="宋体" w:eastAsia="宋体" w:cs="宋体"/>
                <w:b w:val="0"/>
                <w:bCs/>
                <w:kern w:val="0"/>
                <w:sz w:val="24"/>
                <w:szCs w:val="24"/>
                <w:highlight w:val="none"/>
              </w:rPr>
              <w:t>1.安装配套配电设施1套，包括配电箱、电缆交换箱、光纤设备铺设等</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lang w:val="en-US" w:eastAsia="zh-CN"/>
              </w:rPr>
              <w:t>须符合本项目供电需求。</w:t>
            </w:r>
          </w:p>
          <w:p w14:paraId="74D351A7">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2.施工要求：符合国家标准、行业规范和合同等相关文件的要求；</w:t>
            </w:r>
          </w:p>
          <w:p w14:paraId="647CFE9C">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3.质量要求：合格。</w:t>
            </w:r>
          </w:p>
          <w:p w14:paraId="08576A4F">
            <w:pPr>
              <w:keepNext w:val="0"/>
              <w:keepLines w:val="0"/>
              <w:pageBreakBefore w:val="0"/>
              <w:numPr>
                <w:ilvl w:val="0"/>
                <w:numId w:val="0"/>
              </w:numPr>
              <w:kinsoku/>
              <w:wordWrap/>
              <w:overflowPunct/>
              <w:topLinePunct w:val="0"/>
              <w:autoSpaceDE/>
              <w:autoSpaceDN/>
              <w:bidi w:val="0"/>
              <w:spacing w:line="400" w:lineRule="exact"/>
              <w:ind w:left="0" w:leftChars="0" w:firstLine="0" w:firstLineChars="0"/>
              <w:jc w:val="both"/>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kern w:val="0"/>
                <w:sz w:val="24"/>
                <w:szCs w:val="24"/>
                <w:highlight w:val="none"/>
              </w:rPr>
              <w:t>注：该项属于安装供电工程施工服务。</w:t>
            </w:r>
          </w:p>
        </w:tc>
      </w:tr>
      <w:tr w14:paraId="4C854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2" w:type="pct"/>
            <w:tcBorders>
              <w:top w:val="single" w:color="auto" w:sz="4" w:space="0"/>
              <w:left w:val="single" w:color="auto" w:sz="4" w:space="0"/>
              <w:bottom w:val="single" w:color="auto" w:sz="4" w:space="0"/>
              <w:right w:val="single" w:color="auto" w:sz="4" w:space="0"/>
            </w:tcBorders>
            <w:noWrap w:val="0"/>
            <w:vAlign w:val="center"/>
          </w:tcPr>
          <w:p w14:paraId="4E469FF7">
            <w:pPr>
              <w:keepNext w:val="0"/>
              <w:keepLines w:val="0"/>
              <w:pageBreakBefore w:val="0"/>
              <w:widowControl w:val="0"/>
              <w:kinsoku/>
              <w:wordWrap/>
              <w:overflowPunct/>
              <w:topLinePunct w:val="0"/>
              <w:autoSpaceDE/>
              <w:autoSpaceDN/>
              <w:bidi w:val="0"/>
              <w:spacing w:line="360" w:lineRule="auto"/>
              <w:jc w:val="center"/>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13</w:t>
            </w:r>
          </w:p>
        </w:tc>
        <w:tc>
          <w:tcPr>
            <w:tcW w:w="504" w:type="pct"/>
            <w:tcBorders>
              <w:top w:val="single" w:color="auto" w:sz="4" w:space="0"/>
              <w:left w:val="single" w:color="auto" w:sz="4" w:space="0"/>
              <w:bottom w:val="single" w:color="auto" w:sz="4" w:space="0"/>
              <w:right w:val="single" w:color="auto" w:sz="4" w:space="0"/>
            </w:tcBorders>
            <w:noWrap w:val="0"/>
            <w:vAlign w:val="center"/>
          </w:tcPr>
          <w:p w14:paraId="0BE66D3B">
            <w:pPr>
              <w:keepNext w:val="0"/>
              <w:keepLines w:val="0"/>
              <w:pageBreakBefore w:val="0"/>
              <w:widowControl w:val="0"/>
              <w:kinsoku/>
              <w:wordWrap/>
              <w:overflowPunct/>
              <w:topLinePunct w:val="0"/>
              <w:autoSpaceDE/>
              <w:autoSpaceDN/>
              <w:bidi w:val="0"/>
              <w:spacing w:line="400" w:lineRule="exact"/>
              <w:jc w:val="center"/>
              <w:rPr>
                <w:rFonts w:hint="eastAsia" w:ascii="宋体" w:hAnsi="宋体" w:eastAsia="宋体" w:cs="宋体"/>
                <w:b w:val="0"/>
                <w:bCs/>
                <w:color w:val="auto"/>
                <w:kern w:val="0"/>
                <w:sz w:val="24"/>
                <w:szCs w:val="24"/>
                <w:highlight w:val="none"/>
                <w:lang w:eastAsia="zh-CN"/>
              </w:rPr>
            </w:pPr>
            <w:r>
              <w:rPr>
                <w:rFonts w:hint="eastAsia" w:ascii="宋体" w:hAnsi="宋体" w:eastAsia="宋体" w:cs="宋体"/>
                <w:b w:val="0"/>
                <w:bCs/>
                <w:color w:val="auto"/>
                <w:kern w:val="0"/>
                <w:sz w:val="24"/>
                <w:szCs w:val="24"/>
                <w:highlight w:val="none"/>
                <w:lang w:eastAsia="zh-CN"/>
              </w:rPr>
              <w:t>病虫害调查电动车</w:t>
            </w:r>
          </w:p>
        </w:tc>
        <w:tc>
          <w:tcPr>
            <w:tcW w:w="4162" w:type="pct"/>
            <w:tcBorders>
              <w:top w:val="single" w:color="auto" w:sz="4" w:space="0"/>
              <w:left w:val="single" w:color="auto" w:sz="4" w:space="0"/>
              <w:bottom w:val="single" w:color="auto" w:sz="4" w:space="0"/>
              <w:right w:val="single" w:color="auto" w:sz="4" w:space="0"/>
            </w:tcBorders>
            <w:noWrap w:val="0"/>
            <w:vAlign w:val="center"/>
          </w:tcPr>
          <w:p w14:paraId="05446467">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lang w:val="en-US" w:eastAsia="zh-CN"/>
              </w:rPr>
              <w:t>1.产品满足GB17761—2024《电动自行车安全技术规范》</w:t>
            </w:r>
            <w:r>
              <w:rPr>
                <w:rFonts w:hint="eastAsia" w:ascii="宋体" w:hAnsi="宋体" w:eastAsia="宋体" w:cs="宋体"/>
                <w:b w:val="0"/>
                <w:bCs/>
                <w:kern w:val="0"/>
                <w:sz w:val="24"/>
                <w:szCs w:val="24"/>
                <w:highlight w:val="none"/>
              </w:rPr>
              <w:t>安全、技术、性能要求；</w:t>
            </w:r>
          </w:p>
          <w:p w14:paraId="339B89AC">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lang w:val="en-US" w:eastAsia="zh-CN"/>
              </w:rPr>
              <w:t>2</w:t>
            </w:r>
            <w:r>
              <w:rPr>
                <w:rFonts w:hint="eastAsia" w:ascii="宋体" w:hAnsi="宋体" w:eastAsia="宋体" w:cs="宋体"/>
                <w:b w:val="0"/>
                <w:bCs/>
                <w:kern w:val="0"/>
                <w:sz w:val="24"/>
                <w:szCs w:val="24"/>
                <w:highlight w:val="none"/>
              </w:rPr>
              <w:t>.两轮车型，前后真空胎轮胎</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尺寸1</w:t>
            </w:r>
            <w:r>
              <w:rPr>
                <w:rFonts w:hint="eastAsia" w:ascii="宋体" w:hAnsi="宋体" w:eastAsia="宋体" w:cs="宋体"/>
                <w:b w:val="0"/>
                <w:bCs/>
                <w:kern w:val="0"/>
                <w:sz w:val="24"/>
                <w:szCs w:val="24"/>
                <w:highlight w:val="none"/>
                <w:lang w:val="en-US" w:eastAsia="zh-CN"/>
              </w:rPr>
              <w:t>2</w:t>
            </w:r>
            <w:r>
              <w:rPr>
                <w:rFonts w:hint="eastAsia" w:ascii="宋体" w:hAnsi="宋体" w:eastAsia="宋体" w:cs="宋体"/>
                <w:b w:val="0"/>
                <w:bCs/>
                <w:kern w:val="0"/>
                <w:sz w:val="24"/>
                <w:szCs w:val="24"/>
                <w:highlight w:val="none"/>
              </w:rPr>
              <w:t>英寸</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，适配田间、林地复杂路况;电池电压≥</w:t>
            </w:r>
            <w:r>
              <w:rPr>
                <w:rFonts w:hint="eastAsia" w:ascii="宋体" w:hAnsi="宋体" w:eastAsia="宋体" w:cs="宋体"/>
                <w:b w:val="0"/>
                <w:bCs/>
                <w:kern w:val="0"/>
                <w:sz w:val="24"/>
                <w:szCs w:val="24"/>
                <w:highlight w:val="none"/>
                <w:lang w:eastAsia="zh-CN"/>
              </w:rPr>
              <w:t>48V</w:t>
            </w:r>
            <w:r>
              <w:rPr>
                <w:rFonts w:hint="eastAsia" w:ascii="宋体" w:hAnsi="宋体" w:eastAsia="宋体" w:cs="宋体"/>
                <w:b w:val="0"/>
                <w:bCs/>
                <w:kern w:val="0"/>
                <w:sz w:val="24"/>
                <w:szCs w:val="24"/>
                <w:highlight w:val="none"/>
              </w:rPr>
              <w:t>，电容≥3</w:t>
            </w:r>
            <w:r>
              <w:rPr>
                <w:rFonts w:hint="eastAsia" w:ascii="宋体" w:hAnsi="宋体" w:eastAsia="宋体" w:cs="宋体"/>
                <w:b w:val="0"/>
                <w:bCs/>
                <w:kern w:val="0"/>
                <w:sz w:val="24"/>
                <w:szCs w:val="24"/>
                <w:highlight w:val="none"/>
                <w:lang w:val="en-US" w:eastAsia="zh-CN"/>
              </w:rPr>
              <w:t>0</w:t>
            </w:r>
            <w:r>
              <w:rPr>
                <w:rFonts w:hint="eastAsia" w:ascii="宋体" w:hAnsi="宋体" w:eastAsia="宋体" w:cs="宋体"/>
                <w:b w:val="0"/>
                <w:bCs/>
                <w:kern w:val="0"/>
                <w:sz w:val="24"/>
                <w:szCs w:val="24"/>
                <w:highlight w:val="none"/>
              </w:rPr>
              <w:t>Ah，变频电机功率≥</w:t>
            </w:r>
            <w:r>
              <w:rPr>
                <w:rFonts w:hint="eastAsia" w:ascii="宋体" w:hAnsi="宋体" w:eastAsia="宋体" w:cs="宋体"/>
                <w:b w:val="0"/>
                <w:bCs/>
                <w:kern w:val="0"/>
                <w:sz w:val="24"/>
                <w:szCs w:val="24"/>
                <w:highlight w:val="none"/>
                <w:lang w:val="en-US" w:eastAsia="zh-CN"/>
              </w:rPr>
              <w:t>400</w:t>
            </w:r>
            <w:r>
              <w:rPr>
                <w:rFonts w:hint="eastAsia" w:ascii="宋体" w:hAnsi="宋体" w:eastAsia="宋体" w:cs="宋体"/>
                <w:b w:val="0"/>
                <w:bCs/>
                <w:kern w:val="0"/>
                <w:sz w:val="24"/>
                <w:szCs w:val="24"/>
                <w:highlight w:val="none"/>
              </w:rPr>
              <w:t>W</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载重≥</w:t>
            </w:r>
            <w:r>
              <w:rPr>
                <w:rFonts w:hint="eastAsia" w:ascii="宋体" w:hAnsi="宋体" w:eastAsia="宋体" w:cs="宋体"/>
                <w:b w:val="0"/>
                <w:bCs/>
                <w:kern w:val="0"/>
                <w:sz w:val="24"/>
                <w:szCs w:val="24"/>
                <w:highlight w:val="none"/>
                <w:lang w:val="en-US" w:eastAsia="zh-CN"/>
              </w:rPr>
              <w:t>15</w:t>
            </w:r>
            <w:r>
              <w:rPr>
                <w:rFonts w:hint="eastAsia" w:ascii="宋体" w:hAnsi="宋体" w:eastAsia="宋体" w:cs="宋体"/>
                <w:b w:val="0"/>
                <w:bCs/>
                <w:kern w:val="0"/>
                <w:sz w:val="24"/>
                <w:szCs w:val="24"/>
                <w:highlight w:val="none"/>
              </w:rPr>
              <w:t>0kg；</w:t>
            </w:r>
          </w:p>
          <w:p w14:paraId="7F9B69DB">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lang w:val="en-US" w:eastAsia="zh-CN"/>
              </w:rPr>
              <w:t>3</w:t>
            </w:r>
            <w:r>
              <w:rPr>
                <w:rFonts w:hint="eastAsia" w:ascii="宋体" w:hAnsi="宋体" w:eastAsia="宋体" w:cs="宋体"/>
                <w:b w:val="0"/>
                <w:bCs/>
                <w:kern w:val="0"/>
                <w:sz w:val="24"/>
                <w:szCs w:val="24"/>
                <w:highlight w:val="none"/>
              </w:rPr>
              <w:t>.配套装置：高清液晶仪表</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实时显示电量、速度、里程等），控制器12管，高保真防盗报警器（声光报警+震动感应），卫星定位（支持GPS/北斗双模定位，APP端可查看轨迹、查看设备状态），远程锁车，手机USB充电；前后碟刹+电子手刹，支持紧急制动，标配ABS防抱死系统；</w:t>
            </w:r>
          </w:p>
          <w:p w14:paraId="715466A7">
            <w:pPr>
              <w:keepNext w:val="0"/>
              <w:keepLines w:val="0"/>
              <w:pageBreakBefore w:val="0"/>
              <w:kinsoku/>
              <w:wordWrap/>
              <w:overflowPunct/>
              <w:topLinePunct w:val="0"/>
              <w:autoSpaceDE/>
              <w:autoSpaceDN/>
              <w:bidi w:val="0"/>
              <w:spacing w:line="400" w:lineRule="exact"/>
              <w:ind w:firstLine="480" w:firstLineChars="200"/>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kern w:val="0"/>
                <w:sz w:val="24"/>
                <w:szCs w:val="24"/>
                <w:highlight w:val="none"/>
                <w:lang w:val="en-US" w:eastAsia="zh-CN"/>
              </w:rPr>
              <w:t>4</w:t>
            </w:r>
            <w:r>
              <w:rPr>
                <w:rFonts w:hint="eastAsia" w:ascii="宋体" w:hAnsi="宋体" w:eastAsia="宋体" w:cs="宋体"/>
                <w:b w:val="0"/>
                <w:bCs/>
                <w:kern w:val="0"/>
                <w:sz w:val="24"/>
                <w:szCs w:val="24"/>
                <w:highlight w:val="none"/>
              </w:rPr>
              <w:t>.支持里程/速度两档自由切换，一键修复故障代码。</w:t>
            </w:r>
          </w:p>
        </w:tc>
      </w:tr>
      <w:tr w14:paraId="4AC2D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2" w:type="pct"/>
            <w:tcBorders>
              <w:top w:val="single" w:color="auto" w:sz="4" w:space="0"/>
              <w:left w:val="single" w:color="auto" w:sz="4" w:space="0"/>
              <w:bottom w:val="single" w:color="auto" w:sz="4" w:space="0"/>
              <w:right w:val="single" w:color="auto" w:sz="4" w:space="0"/>
            </w:tcBorders>
            <w:noWrap w:val="0"/>
            <w:vAlign w:val="center"/>
          </w:tcPr>
          <w:p w14:paraId="0999ECE6">
            <w:pPr>
              <w:keepNext w:val="0"/>
              <w:keepLines w:val="0"/>
              <w:pageBreakBefore w:val="0"/>
              <w:widowControl w:val="0"/>
              <w:kinsoku/>
              <w:wordWrap/>
              <w:overflowPunct/>
              <w:topLinePunct w:val="0"/>
              <w:autoSpaceDE/>
              <w:autoSpaceDN/>
              <w:bidi w:val="0"/>
              <w:spacing w:line="360" w:lineRule="auto"/>
              <w:jc w:val="center"/>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14</w:t>
            </w:r>
          </w:p>
        </w:tc>
        <w:tc>
          <w:tcPr>
            <w:tcW w:w="504" w:type="pct"/>
            <w:tcBorders>
              <w:top w:val="single" w:color="auto" w:sz="4" w:space="0"/>
              <w:left w:val="single" w:color="auto" w:sz="4" w:space="0"/>
              <w:bottom w:val="single" w:color="auto" w:sz="4" w:space="0"/>
              <w:right w:val="single" w:color="auto" w:sz="4" w:space="0"/>
            </w:tcBorders>
            <w:noWrap w:val="0"/>
            <w:vAlign w:val="center"/>
          </w:tcPr>
          <w:p w14:paraId="08F94699">
            <w:pPr>
              <w:keepNext w:val="0"/>
              <w:keepLines w:val="0"/>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b w:val="0"/>
                <w:bCs/>
                <w:color w:val="auto"/>
                <w:kern w:val="0"/>
                <w:sz w:val="24"/>
                <w:szCs w:val="24"/>
                <w:highlight w:val="none"/>
                <w:lang w:val="en-US" w:eastAsia="zh-CN" w:bidi="ar-SA"/>
              </w:rPr>
            </w:pPr>
            <w:r>
              <w:rPr>
                <w:rFonts w:hint="eastAsia" w:ascii="宋体" w:hAnsi="宋体" w:eastAsia="宋体" w:cs="宋体"/>
                <w:b w:val="0"/>
                <w:bCs/>
                <w:kern w:val="0"/>
                <w:sz w:val="24"/>
                <w:szCs w:val="24"/>
                <w:highlight w:val="none"/>
                <w:lang w:eastAsia="zh-CN"/>
              </w:rPr>
              <w:t>数码</w:t>
            </w:r>
            <w:r>
              <w:rPr>
                <w:rFonts w:hint="eastAsia" w:ascii="宋体" w:hAnsi="宋体" w:eastAsia="宋体" w:cs="宋体"/>
                <w:b w:val="0"/>
                <w:bCs/>
                <w:kern w:val="0"/>
                <w:sz w:val="24"/>
                <w:szCs w:val="24"/>
                <w:highlight w:val="none"/>
              </w:rPr>
              <w:t>生物显微镜</w:t>
            </w:r>
          </w:p>
        </w:tc>
        <w:tc>
          <w:tcPr>
            <w:tcW w:w="4162" w:type="pct"/>
            <w:tcBorders>
              <w:top w:val="single" w:color="auto" w:sz="4" w:space="0"/>
              <w:left w:val="single" w:color="auto" w:sz="4" w:space="0"/>
              <w:bottom w:val="single" w:color="auto" w:sz="4" w:space="0"/>
              <w:right w:val="single" w:color="auto" w:sz="4" w:space="0"/>
            </w:tcBorders>
            <w:noWrap w:val="0"/>
            <w:vAlign w:val="center"/>
          </w:tcPr>
          <w:p w14:paraId="74939ED5">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1.平场目镜WF10X/ф20（标准目镜）、WF16X/ф11（高倍目镜），适配不同观察需求；</w:t>
            </w:r>
          </w:p>
          <w:p w14:paraId="09F9731E">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2.消色差物镜：4X/0.10（广角扫描）、10X/0.25（常规观察）、40X/0.65（高倍观察，带弹簧防压片）、100X/1.25（油镜，带弹簧防压片）；</w:t>
            </w:r>
          </w:p>
          <w:p w14:paraId="2F69312D">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3.总放大倍数40X～1600X，满足基础生物观察与细胞结构分析需求；</w:t>
            </w:r>
          </w:p>
          <w:p w14:paraId="15A6321F">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4.观察头铰链式45°倾斜</w:t>
            </w:r>
            <w:r>
              <w:rPr>
                <w:rFonts w:hint="eastAsia" w:ascii="宋体" w:hAnsi="宋体" w:eastAsia="宋体" w:cs="宋体"/>
                <w:b w:val="0"/>
                <w:bCs/>
                <w:kern w:val="0"/>
                <w:sz w:val="24"/>
                <w:szCs w:val="24"/>
                <w:highlight w:val="none"/>
                <w:lang w:eastAsia="zh-CN"/>
              </w:rPr>
              <w:t>，</w:t>
            </w:r>
            <w:r>
              <w:rPr>
                <w:rFonts w:hint="eastAsia" w:ascii="宋体" w:hAnsi="宋体" w:eastAsia="宋体" w:cs="宋体"/>
                <w:b w:val="0"/>
                <w:bCs/>
                <w:kern w:val="0"/>
                <w:sz w:val="24"/>
                <w:szCs w:val="24"/>
                <w:highlight w:val="none"/>
              </w:rPr>
              <w:t>支持360°旋转，适配多人协作观察；</w:t>
            </w:r>
          </w:p>
          <w:p w14:paraId="71B2D0CA">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5.转换器为四孔内向式滚珠内定位转换器，切换流畅，定位精准；</w:t>
            </w:r>
          </w:p>
          <w:p w14:paraId="4A81646D">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6.粗微调调焦范围30mm，微动格值2um，粗微动同轴调焦，粗动松紧可调，带锁紧和限位，确保操作稳定；</w:t>
            </w:r>
          </w:p>
          <w:p w14:paraId="2F5E0A91">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7.载物台双层机械式尺寸153 mm×135mm（±5%），移动范围80 mm×75mm，游标格值0.1mm，适配常规各类尺寸载玻片；</w:t>
            </w:r>
          </w:p>
          <w:p w14:paraId="207295CB">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8.机械筒长160mm，适配标准目镜与物镜组合；</w:t>
            </w:r>
          </w:p>
          <w:p w14:paraId="2E325FD1">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9.光瞳距离55mm～75mm，适配不同瞳距用户；</w:t>
            </w:r>
          </w:p>
          <w:p w14:paraId="2E894E54">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10.聚光镜1.25NA阿贝聚光镜，可变光栏带滤色片（上下升降）；</w:t>
            </w:r>
          </w:p>
          <w:p w14:paraId="02F2DE8E">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11.照明采用20V可调亮度卤钨灯泡（6V 20W），支持明场观察，适配不同样品亮度需求；</w:t>
            </w:r>
          </w:p>
          <w:p w14:paraId="55B7AFF4">
            <w:pPr>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kern w:val="0"/>
                <w:sz w:val="24"/>
                <w:szCs w:val="24"/>
                <w:highlight w:val="none"/>
              </w:rPr>
              <w:t>12.标配C口/CS口，适配主流数码相机或显微镜摄像头；支持图像捕捉、测量、标注，适配Windows</w:t>
            </w:r>
            <w:r>
              <w:rPr>
                <w:rFonts w:hint="eastAsia" w:ascii="宋体" w:hAnsi="宋体" w:eastAsia="宋体" w:cs="宋体"/>
                <w:b w:val="0"/>
                <w:bCs/>
                <w:kern w:val="0"/>
                <w:sz w:val="24"/>
                <w:szCs w:val="24"/>
                <w:highlight w:val="none"/>
                <w:lang w:eastAsia="zh-CN"/>
              </w:rPr>
              <w:t>及国产</w:t>
            </w:r>
            <w:r>
              <w:rPr>
                <w:rFonts w:hint="eastAsia" w:ascii="宋体" w:hAnsi="宋体" w:cs="宋体"/>
                <w:b w:val="0"/>
                <w:bCs/>
                <w:kern w:val="0"/>
                <w:sz w:val="24"/>
                <w:szCs w:val="24"/>
                <w:highlight w:val="none"/>
                <w:lang w:val="en-US" w:eastAsia="zh-CN"/>
              </w:rPr>
              <w:t>操作</w:t>
            </w:r>
            <w:r>
              <w:rPr>
                <w:rFonts w:hint="eastAsia" w:ascii="宋体" w:hAnsi="宋体" w:eastAsia="宋体" w:cs="宋体"/>
                <w:b w:val="0"/>
                <w:bCs/>
                <w:kern w:val="0"/>
                <w:sz w:val="24"/>
                <w:szCs w:val="24"/>
                <w:highlight w:val="none"/>
              </w:rPr>
              <w:t>系统。</w:t>
            </w:r>
          </w:p>
        </w:tc>
      </w:tr>
      <w:tr w14:paraId="6A7D8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02" w:type="pct"/>
            <w:tcBorders>
              <w:top w:val="single" w:color="auto" w:sz="4" w:space="0"/>
              <w:left w:val="single" w:color="auto" w:sz="4" w:space="0"/>
              <w:bottom w:val="single" w:color="auto" w:sz="4" w:space="0"/>
              <w:right w:val="single" w:color="auto" w:sz="4" w:space="0"/>
            </w:tcBorders>
            <w:noWrap w:val="0"/>
            <w:vAlign w:val="center"/>
          </w:tcPr>
          <w:p w14:paraId="4F75399B">
            <w:pPr>
              <w:keepNext w:val="0"/>
              <w:keepLines w:val="0"/>
              <w:pageBreakBefore w:val="0"/>
              <w:widowControl w:val="0"/>
              <w:kinsoku/>
              <w:wordWrap/>
              <w:overflowPunct/>
              <w:topLinePunct w:val="0"/>
              <w:autoSpaceDE/>
              <w:autoSpaceDN/>
              <w:bidi w:val="0"/>
              <w:spacing w:line="360" w:lineRule="auto"/>
              <w:jc w:val="center"/>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lang w:val="en-US" w:eastAsia="zh-CN"/>
              </w:rPr>
              <w:t>15</w:t>
            </w:r>
          </w:p>
        </w:tc>
        <w:tc>
          <w:tcPr>
            <w:tcW w:w="504" w:type="pct"/>
            <w:tcBorders>
              <w:top w:val="single" w:color="auto" w:sz="4" w:space="0"/>
              <w:left w:val="single" w:color="auto" w:sz="4" w:space="0"/>
              <w:bottom w:val="single" w:color="auto" w:sz="4" w:space="0"/>
              <w:right w:val="single" w:color="auto" w:sz="4" w:space="0"/>
            </w:tcBorders>
            <w:noWrap w:val="0"/>
            <w:vAlign w:val="center"/>
          </w:tcPr>
          <w:p w14:paraId="02606058">
            <w:pPr>
              <w:keepNext w:val="0"/>
              <w:keepLines w:val="0"/>
              <w:pageBreakBefore w:val="0"/>
              <w:widowControl w:val="0"/>
              <w:kinsoku/>
              <w:wordWrap/>
              <w:overflowPunct/>
              <w:topLinePunct w:val="0"/>
              <w:autoSpaceDE/>
              <w:autoSpaceDN/>
              <w:bidi w:val="0"/>
              <w:spacing w:line="400" w:lineRule="exact"/>
              <w:jc w:val="center"/>
              <w:rPr>
                <w:rFonts w:hint="eastAsia" w:ascii="宋体" w:hAnsi="宋体" w:eastAsia="宋体" w:cs="宋体"/>
                <w:b w:val="0"/>
                <w:bCs/>
                <w:color w:val="auto"/>
                <w:kern w:val="0"/>
                <w:sz w:val="24"/>
                <w:szCs w:val="24"/>
                <w:highlight w:val="none"/>
                <w:lang w:eastAsia="zh-CN"/>
              </w:rPr>
            </w:pPr>
            <w:r>
              <w:rPr>
                <w:rFonts w:hint="eastAsia" w:ascii="宋体" w:hAnsi="宋体" w:eastAsia="宋体" w:cs="宋体"/>
                <w:b w:val="0"/>
                <w:bCs/>
                <w:color w:val="auto"/>
                <w:kern w:val="0"/>
                <w:sz w:val="24"/>
                <w:szCs w:val="24"/>
                <w:highlight w:val="none"/>
                <w:lang w:eastAsia="zh-CN"/>
              </w:rPr>
              <w:t>县级农作物病虫疫情监测预警信息系统</w:t>
            </w:r>
          </w:p>
        </w:tc>
        <w:tc>
          <w:tcPr>
            <w:tcW w:w="4162" w:type="pct"/>
            <w:tcBorders>
              <w:top w:val="single" w:color="auto" w:sz="4" w:space="0"/>
              <w:left w:val="single" w:color="auto" w:sz="4" w:space="0"/>
              <w:bottom w:val="single" w:color="auto" w:sz="4" w:space="0"/>
              <w:right w:val="single" w:color="auto" w:sz="4" w:space="0"/>
            </w:tcBorders>
            <w:noWrap w:val="0"/>
            <w:vAlign w:val="center"/>
          </w:tcPr>
          <w:p w14:paraId="18C9EDBE">
            <w:pPr>
              <w:keepNext w:val="0"/>
              <w:keepLines w:val="0"/>
              <w:pageBreakBefore w:val="0"/>
              <w:kinsoku/>
              <w:wordWrap/>
              <w:overflowPunct/>
              <w:topLinePunct w:val="0"/>
              <w:autoSpaceDE/>
              <w:autoSpaceDN/>
              <w:bidi w:val="0"/>
              <w:adjustRightInd/>
              <w:snapToGrid/>
              <w:spacing w:line="400" w:lineRule="exact"/>
              <w:ind w:firstLine="480" w:firstLineChars="200"/>
              <w:jc w:val="both"/>
              <w:textAlignment w:val="auto"/>
              <w:rPr>
                <w:rFonts w:hint="eastAsia" w:ascii="宋体" w:hAnsi="宋体" w:eastAsia="宋体" w:cs="宋体"/>
                <w:b w:val="0"/>
                <w:bCs/>
                <w:color w:val="auto"/>
                <w:kern w:val="0"/>
                <w:sz w:val="24"/>
                <w:szCs w:val="24"/>
                <w:highlight w:val="none"/>
                <w:lang w:eastAsia="zh-CN"/>
              </w:rPr>
            </w:pPr>
            <w:r>
              <w:rPr>
                <w:rFonts w:hint="eastAsia" w:ascii="宋体" w:hAnsi="宋体" w:eastAsia="宋体" w:cs="宋体"/>
                <w:b w:val="0"/>
                <w:bCs/>
                <w:color w:val="auto"/>
                <w:kern w:val="0"/>
                <w:sz w:val="24"/>
                <w:szCs w:val="24"/>
                <w:highlight w:val="none"/>
                <w:lang w:eastAsia="zh-CN"/>
              </w:rPr>
              <w:t>主要指标</w:t>
            </w:r>
            <w:r>
              <w:rPr>
                <w:rFonts w:hint="eastAsia" w:ascii="宋体" w:hAnsi="宋体" w:eastAsia="宋体" w:cs="宋体"/>
                <w:b w:val="0"/>
                <w:bCs/>
                <w:color w:val="auto"/>
                <w:kern w:val="0"/>
                <w:sz w:val="24"/>
                <w:szCs w:val="24"/>
                <w:highlight w:val="none"/>
              </w:rPr>
              <w:t>符合NY/T 4182-2022技术参数与性能要求</w:t>
            </w:r>
          </w:p>
          <w:p w14:paraId="6FDF9250">
            <w:pPr>
              <w:keepNext w:val="0"/>
              <w:keepLines w:val="0"/>
              <w:pageBreakBefore w:val="0"/>
              <w:kinsoku/>
              <w:wordWrap/>
              <w:overflowPunct/>
              <w:topLinePunct w:val="0"/>
              <w:autoSpaceDE/>
              <w:autoSpaceDN/>
              <w:bidi w:val="0"/>
              <w:adjustRightInd/>
              <w:snapToGrid/>
              <w:spacing w:line="400" w:lineRule="exact"/>
              <w:ind w:firstLine="480" w:firstLineChars="200"/>
              <w:jc w:val="both"/>
              <w:textAlignment w:val="auto"/>
              <w:rPr>
                <w:rFonts w:hint="eastAsia" w:ascii="宋体" w:hAnsi="宋体" w:eastAsia="宋体" w:cs="宋体"/>
                <w:b w:val="0"/>
                <w:bCs/>
                <w:color w:val="auto"/>
                <w:kern w:val="0"/>
                <w:sz w:val="24"/>
                <w:szCs w:val="24"/>
                <w:highlight w:val="none"/>
              </w:rPr>
            </w:pPr>
            <w:r>
              <w:rPr>
                <w:rFonts w:hint="eastAsia" w:ascii="宋体" w:hAnsi="宋体" w:eastAsia="宋体" w:cs="宋体"/>
                <w:b w:val="0"/>
                <w:bCs/>
                <w:color w:val="auto"/>
                <w:kern w:val="0"/>
                <w:sz w:val="24"/>
                <w:szCs w:val="24"/>
                <w:highlight w:val="none"/>
              </w:rPr>
              <w:t>一、软件：病虫害物联网管理系统。</w:t>
            </w:r>
          </w:p>
          <w:p w14:paraId="7624129F">
            <w:pPr>
              <w:keepNext w:val="0"/>
              <w:keepLines w:val="0"/>
              <w:pageBreakBefore w:val="0"/>
              <w:kinsoku/>
              <w:wordWrap/>
              <w:overflowPunct/>
              <w:topLinePunct w:val="0"/>
              <w:autoSpaceDE/>
              <w:autoSpaceDN/>
              <w:bidi w:val="0"/>
              <w:adjustRightInd/>
              <w:snapToGrid/>
              <w:spacing w:line="400" w:lineRule="exact"/>
              <w:ind w:firstLine="480" w:firstLineChars="200"/>
              <w:jc w:val="both"/>
              <w:textAlignment w:val="auto"/>
              <w:rPr>
                <w:rFonts w:hint="eastAsia" w:ascii="宋体" w:hAnsi="宋体" w:eastAsia="宋体" w:cs="宋体"/>
                <w:b w:val="0"/>
                <w:bCs/>
                <w:color w:val="auto"/>
                <w:kern w:val="0"/>
                <w:sz w:val="24"/>
                <w:szCs w:val="24"/>
                <w:highlight w:val="none"/>
              </w:rPr>
            </w:pPr>
            <w:r>
              <w:rPr>
                <w:rFonts w:hint="eastAsia" w:ascii="宋体" w:hAnsi="宋体" w:eastAsia="宋体" w:cs="宋体"/>
                <w:b w:val="0"/>
                <w:bCs/>
                <w:color w:val="auto"/>
                <w:kern w:val="0"/>
                <w:sz w:val="24"/>
                <w:szCs w:val="24"/>
                <w:highlight w:val="none"/>
              </w:rPr>
              <w:t>（一）病虫害物联网管理系统</w:t>
            </w:r>
          </w:p>
          <w:p w14:paraId="2FBC8678">
            <w:pPr>
              <w:keepNext w:val="0"/>
              <w:keepLines w:val="0"/>
              <w:pageBreakBefore w:val="0"/>
              <w:kinsoku/>
              <w:wordWrap/>
              <w:overflowPunct/>
              <w:topLinePunct w:val="0"/>
              <w:autoSpaceDE/>
              <w:autoSpaceDN/>
              <w:bidi w:val="0"/>
              <w:adjustRightInd/>
              <w:snapToGrid/>
              <w:spacing w:line="400" w:lineRule="exact"/>
              <w:ind w:firstLine="480" w:firstLineChars="200"/>
              <w:jc w:val="both"/>
              <w:textAlignment w:val="auto"/>
              <w:rPr>
                <w:rFonts w:hint="eastAsia" w:ascii="宋体" w:hAnsi="宋体" w:eastAsia="宋体" w:cs="宋体"/>
                <w:b w:val="0"/>
                <w:bCs/>
                <w:color w:val="auto"/>
                <w:kern w:val="0"/>
                <w:sz w:val="24"/>
                <w:szCs w:val="24"/>
                <w:highlight w:val="none"/>
              </w:rPr>
            </w:pPr>
            <w:r>
              <w:rPr>
                <w:rFonts w:hint="eastAsia" w:ascii="宋体" w:hAnsi="宋体" w:eastAsia="宋体" w:cs="宋体"/>
                <w:b w:val="0"/>
                <w:bCs/>
                <w:color w:val="auto"/>
                <w:kern w:val="0"/>
                <w:sz w:val="24"/>
                <w:szCs w:val="24"/>
                <w:highlight w:val="none"/>
              </w:rPr>
              <w:t>1.病虫害物联网数据分析：支持通过GIS的方式展示设备的基本信息、分布情况和运行状态，支持已接入物联网设备采集基础数据的图形化展示，支持物联网数据实时查看及历史数据检索，支持数据按照月份、年份分别进行统计，图表化展现物联网数据，分别支持物联网设备单点、县域的数据分析功能，支持图形、列表分析结果展示形式，支持监测点、时间、病虫害类型等不同分析因子的自定义筛选，使用ECHARTS专业图形化工具，支持数据的导出功能，包含1000种以上病虫害的</w:t>
            </w:r>
            <w:r>
              <w:rPr>
                <w:rFonts w:hint="eastAsia" w:ascii="宋体" w:hAnsi="宋体" w:eastAsia="宋体" w:cs="宋体"/>
                <w:b w:val="0"/>
                <w:bCs/>
                <w:color w:val="auto"/>
                <w:kern w:val="0"/>
                <w:sz w:val="24"/>
                <w:szCs w:val="24"/>
                <w:highlight w:val="none"/>
                <w:lang w:eastAsia="zh-CN"/>
              </w:rPr>
              <w:t>的专业知识库</w:t>
            </w:r>
            <w:r>
              <w:rPr>
                <w:rFonts w:hint="eastAsia" w:ascii="宋体" w:hAnsi="宋体" w:eastAsia="宋体" w:cs="宋体"/>
                <w:b w:val="0"/>
                <w:bCs/>
                <w:color w:val="auto"/>
                <w:kern w:val="0"/>
                <w:sz w:val="24"/>
                <w:szCs w:val="24"/>
                <w:highlight w:val="none"/>
              </w:rPr>
              <w:t>，支持保留知识内容发布人的信息，支持按作物、病虫种类检索；</w:t>
            </w:r>
          </w:p>
          <w:p w14:paraId="7665CB5E">
            <w:pPr>
              <w:keepNext w:val="0"/>
              <w:keepLines w:val="0"/>
              <w:pageBreakBefore w:val="0"/>
              <w:kinsoku/>
              <w:wordWrap/>
              <w:overflowPunct/>
              <w:topLinePunct w:val="0"/>
              <w:autoSpaceDE/>
              <w:autoSpaceDN/>
              <w:bidi w:val="0"/>
              <w:adjustRightInd/>
              <w:snapToGrid/>
              <w:spacing w:line="400" w:lineRule="exact"/>
              <w:ind w:firstLine="480" w:firstLineChars="200"/>
              <w:jc w:val="both"/>
              <w:textAlignment w:val="auto"/>
              <w:rPr>
                <w:rFonts w:hint="eastAsia" w:ascii="宋体" w:hAnsi="宋体" w:eastAsia="宋体" w:cs="宋体"/>
                <w:b w:val="0"/>
                <w:bCs/>
                <w:color w:val="auto"/>
                <w:kern w:val="0"/>
                <w:sz w:val="24"/>
                <w:szCs w:val="24"/>
                <w:highlight w:val="none"/>
              </w:rPr>
            </w:pPr>
            <w:r>
              <w:rPr>
                <w:rFonts w:hint="eastAsia" w:ascii="宋体" w:hAnsi="宋体" w:eastAsia="宋体" w:cs="宋体"/>
                <w:b w:val="0"/>
                <w:bCs/>
                <w:color w:val="auto"/>
                <w:kern w:val="0"/>
                <w:sz w:val="24"/>
                <w:szCs w:val="24"/>
                <w:highlight w:val="none"/>
              </w:rPr>
              <w:t>2.病虫害模型预警工具：支持大数据量同时并发接入和调取（≥1000设备同时在线），支持多种病虫害模型，病虫害模型种类至少覆盖三种当地主要作物，支持模型参数人工调整，支持预测结果表格、图形化及地图形式展示；</w:t>
            </w:r>
          </w:p>
          <w:p w14:paraId="4A3E7893">
            <w:pPr>
              <w:keepNext w:val="0"/>
              <w:keepLines w:val="0"/>
              <w:pageBreakBefore w:val="0"/>
              <w:kinsoku/>
              <w:wordWrap/>
              <w:overflowPunct/>
              <w:topLinePunct w:val="0"/>
              <w:autoSpaceDE/>
              <w:autoSpaceDN/>
              <w:bidi w:val="0"/>
              <w:adjustRightInd/>
              <w:snapToGrid/>
              <w:spacing w:line="400" w:lineRule="exact"/>
              <w:ind w:firstLine="480" w:firstLineChars="200"/>
              <w:jc w:val="both"/>
              <w:textAlignment w:val="auto"/>
              <w:rPr>
                <w:rFonts w:hint="eastAsia" w:ascii="宋体" w:hAnsi="宋体" w:eastAsia="宋体" w:cs="宋体"/>
                <w:b w:val="0"/>
                <w:bCs/>
                <w:color w:val="auto"/>
                <w:kern w:val="0"/>
                <w:sz w:val="24"/>
                <w:szCs w:val="24"/>
                <w:highlight w:val="none"/>
              </w:rPr>
            </w:pPr>
            <w:r>
              <w:rPr>
                <w:rFonts w:hint="eastAsia" w:ascii="宋体" w:hAnsi="宋体" w:eastAsia="宋体" w:cs="宋体"/>
                <w:b w:val="0"/>
                <w:bCs/>
                <w:color w:val="auto"/>
                <w:kern w:val="0"/>
                <w:sz w:val="24"/>
                <w:szCs w:val="24"/>
                <w:highlight w:val="none"/>
              </w:rPr>
              <w:t>3.病虫害监测预警：</w:t>
            </w:r>
            <w:r>
              <w:rPr>
                <w:rFonts w:hint="eastAsia" w:ascii="宋体" w:hAnsi="宋体" w:eastAsia="宋体" w:cs="宋体"/>
                <w:b w:val="0"/>
                <w:bCs/>
                <w:color w:val="auto"/>
                <w:sz w:val="24"/>
                <w:szCs w:val="24"/>
                <w:highlight w:val="none"/>
              </w:rPr>
              <w:t>支持与</w:t>
            </w:r>
            <w:r>
              <w:rPr>
                <w:rStyle w:val="10"/>
                <w:rFonts w:hint="eastAsia" w:ascii="宋体" w:hAnsi="宋体" w:eastAsia="宋体" w:cs="宋体"/>
                <w:b w:val="0"/>
                <w:bCs/>
                <w:color w:val="auto"/>
                <w:sz w:val="24"/>
                <w:szCs w:val="24"/>
                <w:highlight w:val="none"/>
              </w:rPr>
              <w:t>江西省农业农村云上赣农一体化平台、全国植保植检管理系统（国家级平台）</w:t>
            </w:r>
            <w:r>
              <w:rPr>
                <w:rFonts w:hint="eastAsia" w:ascii="宋体" w:hAnsi="宋体" w:eastAsia="宋体" w:cs="宋体"/>
                <w:b w:val="0"/>
                <w:bCs/>
                <w:color w:val="auto"/>
                <w:sz w:val="24"/>
                <w:szCs w:val="24"/>
                <w:highlight w:val="none"/>
              </w:rPr>
              <w:t>实现数据层面对接互通。</w:t>
            </w:r>
            <w:r>
              <w:rPr>
                <w:rFonts w:hint="eastAsia" w:ascii="宋体" w:hAnsi="宋体" w:eastAsia="宋体" w:cs="宋体"/>
                <w:b w:val="0"/>
                <w:bCs/>
                <w:color w:val="auto"/>
                <w:kern w:val="0"/>
                <w:sz w:val="24"/>
                <w:szCs w:val="24"/>
                <w:highlight w:val="none"/>
              </w:rPr>
              <w:t>支持移动终端</w:t>
            </w:r>
            <w:r>
              <w:rPr>
                <w:rFonts w:hint="eastAsia" w:ascii="宋体" w:hAnsi="宋体" w:eastAsia="宋体" w:cs="宋体"/>
                <w:b w:val="0"/>
                <w:bCs/>
                <w:color w:val="auto"/>
                <w:kern w:val="0"/>
                <w:sz w:val="24"/>
                <w:szCs w:val="24"/>
                <w:highlight w:val="none"/>
                <w:lang w:eastAsia="zh-CN"/>
              </w:rPr>
              <w:t>、电脑</w:t>
            </w:r>
            <w:r>
              <w:rPr>
                <w:rFonts w:hint="eastAsia" w:ascii="宋体" w:hAnsi="宋体" w:eastAsia="宋体" w:cs="宋体"/>
                <w:b w:val="0"/>
                <w:bCs/>
                <w:color w:val="auto"/>
                <w:sz w:val="24"/>
                <w:szCs w:val="24"/>
                <w:highlight w:val="none"/>
              </w:rPr>
              <w:t>web端</w:t>
            </w:r>
            <w:r>
              <w:rPr>
                <w:rFonts w:hint="eastAsia" w:ascii="宋体" w:hAnsi="宋体" w:eastAsia="宋体" w:cs="宋体"/>
                <w:b w:val="0"/>
                <w:bCs/>
                <w:color w:val="auto"/>
                <w:kern w:val="0"/>
                <w:sz w:val="24"/>
                <w:szCs w:val="24"/>
                <w:highlight w:val="none"/>
              </w:rPr>
              <w:t>填报数据实时接入，支持一处填写多级（省级或国家级）</w:t>
            </w:r>
            <w:r>
              <w:rPr>
                <w:rFonts w:hint="eastAsia" w:ascii="宋体" w:hAnsi="宋体" w:eastAsia="宋体" w:cs="宋体"/>
                <w:b w:val="0"/>
                <w:bCs/>
                <w:color w:val="auto"/>
                <w:kern w:val="0"/>
                <w:sz w:val="24"/>
                <w:szCs w:val="24"/>
                <w:highlight w:val="none"/>
                <w:lang w:val="en-US" w:eastAsia="zh-CN"/>
              </w:rPr>
              <w:t>自动</w:t>
            </w:r>
            <w:r>
              <w:rPr>
                <w:rFonts w:hint="eastAsia" w:ascii="宋体" w:hAnsi="宋体" w:eastAsia="宋体" w:cs="宋体"/>
                <w:b w:val="0"/>
                <w:bCs/>
                <w:color w:val="auto"/>
                <w:kern w:val="0"/>
                <w:sz w:val="24"/>
                <w:szCs w:val="24"/>
                <w:highlight w:val="none"/>
              </w:rPr>
              <w:t>上报，支持任务</w:t>
            </w:r>
            <w:r>
              <w:rPr>
                <w:rFonts w:hint="eastAsia" w:ascii="宋体" w:hAnsi="宋体" w:eastAsia="宋体" w:cs="宋体"/>
                <w:b w:val="0"/>
                <w:bCs/>
                <w:color w:val="auto"/>
                <w:kern w:val="0"/>
                <w:sz w:val="24"/>
                <w:szCs w:val="24"/>
                <w:highlight w:val="none"/>
                <w:lang w:eastAsia="zh-CN"/>
              </w:rPr>
              <w:t>、填报报表</w:t>
            </w:r>
            <w:r>
              <w:rPr>
                <w:rFonts w:hint="eastAsia" w:ascii="宋体" w:hAnsi="宋体" w:eastAsia="宋体" w:cs="宋体"/>
                <w:b w:val="0"/>
                <w:bCs/>
                <w:color w:val="auto"/>
                <w:kern w:val="0"/>
                <w:sz w:val="24"/>
                <w:szCs w:val="24"/>
                <w:highlight w:val="none"/>
              </w:rPr>
              <w:t>的导出和打印，</w:t>
            </w:r>
            <w:r>
              <w:rPr>
                <w:rFonts w:hint="eastAsia" w:ascii="宋体" w:hAnsi="宋体" w:eastAsia="宋体" w:cs="宋体"/>
                <w:b w:val="0"/>
                <w:bCs/>
                <w:color w:val="auto"/>
                <w:kern w:val="0"/>
                <w:sz w:val="24"/>
                <w:szCs w:val="24"/>
                <w:highlight w:val="none"/>
                <w:lang w:eastAsia="zh-CN"/>
              </w:rPr>
              <w:t>填报报表可导出为PDF/Excel格式</w:t>
            </w:r>
            <w:r>
              <w:rPr>
                <w:rFonts w:hint="eastAsia" w:ascii="宋体" w:hAnsi="宋体" w:eastAsia="宋体" w:cs="宋体"/>
                <w:b w:val="0"/>
                <w:bCs/>
                <w:color w:val="auto"/>
                <w:kern w:val="0"/>
                <w:sz w:val="24"/>
                <w:szCs w:val="24"/>
                <w:highlight w:val="none"/>
              </w:rPr>
              <w:t>。</w:t>
            </w:r>
          </w:p>
          <w:p w14:paraId="700376DC">
            <w:pPr>
              <w:keepNext w:val="0"/>
              <w:keepLines w:val="0"/>
              <w:pageBreakBefore w:val="0"/>
              <w:kinsoku/>
              <w:wordWrap/>
              <w:overflowPunct/>
              <w:topLinePunct w:val="0"/>
              <w:autoSpaceDE/>
              <w:autoSpaceDN/>
              <w:bidi w:val="0"/>
              <w:adjustRightInd/>
              <w:snapToGrid/>
              <w:spacing w:line="400" w:lineRule="exact"/>
              <w:ind w:firstLine="480" w:firstLineChars="200"/>
              <w:jc w:val="both"/>
              <w:textAlignment w:val="auto"/>
              <w:rPr>
                <w:rFonts w:hint="eastAsia" w:ascii="宋体" w:hAnsi="宋体" w:eastAsia="宋体" w:cs="宋体"/>
                <w:b w:val="0"/>
                <w:bCs/>
                <w:color w:val="auto"/>
                <w:kern w:val="0"/>
                <w:sz w:val="24"/>
                <w:szCs w:val="24"/>
                <w:highlight w:val="none"/>
              </w:rPr>
            </w:pPr>
            <w:r>
              <w:rPr>
                <w:rFonts w:hint="eastAsia" w:ascii="宋体" w:hAnsi="宋体" w:eastAsia="宋体" w:cs="宋体"/>
                <w:b w:val="0"/>
                <w:bCs/>
                <w:color w:val="auto"/>
                <w:kern w:val="0"/>
                <w:sz w:val="24"/>
                <w:szCs w:val="24"/>
                <w:highlight w:val="none"/>
              </w:rPr>
              <w:t>（二）设备接口、大数据存储及输出、模型运算</w:t>
            </w:r>
          </w:p>
          <w:p w14:paraId="4D5B87E0">
            <w:pPr>
              <w:keepNext w:val="0"/>
              <w:keepLines w:val="0"/>
              <w:pageBreakBefore w:val="0"/>
              <w:kinsoku/>
              <w:wordWrap/>
              <w:overflowPunct/>
              <w:topLinePunct w:val="0"/>
              <w:autoSpaceDE/>
              <w:autoSpaceDN/>
              <w:bidi w:val="0"/>
              <w:adjustRightInd/>
              <w:snapToGrid/>
              <w:spacing w:line="400" w:lineRule="exact"/>
              <w:ind w:firstLine="480" w:firstLineChars="200"/>
              <w:jc w:val="both"/>
              <w:textAlignment w:val="auto"/>
              <w:rPr>
                <w:rFonts w:hint="eastAsia" w:ascii="宋体" w:hAnsi="宋体" w:eastAsia="宋体" w:cs="宋体"/>
                <w:b w:val="0"/>
                <w:bCs/>
                <w:color w:val="auto"/>
                <w:kern w:val="0"/>
                <w:sz w:val="24"/>
                <w:szCs w:val="24"/>
                <w:highlight w:val="none"/>
              </w:rPr>
            </w:pPr>
            <w:r>
              <w:rPr>
                <w:rFonts w:hint="eastAsia" w:ascii="宋体" w:hAnsi="宋体" w:eastAsia="宋体" w:cs="宋体"/>
                <w:b w:val="0"/>
                <w:bCs/>
                <w:color w:val="auto"/>
                <w:kern w:val="0"/>
                <w:sz w:val="24"/>
                <w:szCs w:val="24"/>
                <w:highlight w:val="none"/>
              </w:rPr>
              <w:t>1.设备接口：支持从虫情测报灯、性诱设备、小气象仪等各类物联网设备接入数据，支持与各个植保物联网设备品牌、供应商进行对接，支持硬件网关协议匹配，兼容Modbus、MQTT、HTTP等多种通信协议</w:t>
            </w:r>
            <w:r>
              <w:rPr>
                <w:rFonts w:hint="eastAsia" w:ascii="宋体" w:hAnsi="宋体" w:eastAsia="宋体" w:cs="宋体"/>
                <w:b w:val="0"/>
                <w:bCs/>
                <w:color w:val="auto"/>
                <w:kern w:val="0"/>
                <w:sz w:val="24"/>
                <w:szCs w:val="24"/>
                <w:highlight w:val="none"/>
                <w:lang w:eastAsia="zh-CN"/>
              </w:rPr>
              <w:t>。</w:t>
            </w:r>
            <w:r>
              <w:rPr>
                <w:rFonts w:hint="eastAsia" w:ascii="宋体" w:hAnsi="宋体" w:eastAsia="宋体" w:cs="宋体"/>
                <w:b w:val="0"/>
                <w:bCs/>
                <w:color w:val="auto"/>
                <w:kern w:val="0"/>
                <w:sz w:val="24"/>
                <w:szCs w:val="24"/>
                <w:highlight w:val="none"/>
              </w:rPr>
              <w:t>接入硬件网关设备的数据或直接接入物联网设备数据；</w:t>
            </w:r>
          </w:p>
          <w:p w14:paraId="5264FD55">
            <w:pPr>
              <w:keepNext w:val="0"/>
              <w:keepLines w:val="0"/>
              <w:pageBreakBefore w:val="0"/>
              <w:kinsoku/>
              <w:wordWrap/>
              <w:overflowPunct/>
              <w:topLinePunct w:val="0"/>
              <w:autoSpaceDE/>
              <w:autoSpaceDN/>
              <w:bidi w:val="0"/>
              <w:adjustRightInd/>
              <w:snapToGrid/>
              <w:spacing w:line="400" w:lineRule="exact"/>
              <w:ind w:firstLine="480" w:firstLineChars="200"/>
              <w:jc w:val="both"/>
              <w:textAlignment w:val="auto"/>
              <w:rPr>
                <w:rFonts w:hint="eastAsia" w:ascii="宋体" w:hAnsi="宋体" w:eastAsia="宋体" w:cs="宋体"/>
                <w:b w:val="0"/>
                <w:bCs/>
                <w:color w:val="auto"/>
                <w:kern w:val="0"/>
                <w:sz w:val="24"/>
                <w:szCs w:val="24"/>
                <w:highlight w:val="none"/>
              </w:rPr>
            </w:pPr>
            <w:r>
              <w:rPr>
                <w:rFonts w:hint="eastAsia" w:ascii="宋体" w:hAnsi="宋体" w:eastAsia="宋体" w:cs="宋体"/>
                <w:b w:val="0"/>
                <w:bCs/>
                <w:color w:val="auto"/>
                <w:kern w:val="0"/>
                <w:sz w:val="24"/>
                <w:szCs w:val="24"/>
                <w:highlight w:val="none"/>
              </w:rPr>
              <w:t>2.大数据</w:t>
            </w:r>
            <w:r>
              <w:rPr>
                <w:rFonts w:hint="eastAsia" w:ascii="宋体" w:hAnsi="宋体" w:eastAsia="宋体" w:cs="宋体"/>
                <w:b w:val="0"/>
                <w:bCs/>
                <w:color w:val="auto"/>
                <w:kern w:val="0"/>
                <w:sz w:val="24"/>
                <w:szCs w:val="24"/>
                <w:highlight w:val="none"/>
                <w:lang w:eastAsia="zh-CN"/>
              </w:rPr>
              <w:t>存储</w:t>
            </w:r>
            <w:r>
              <w:rPr>
                <w:rFonts w:hint="eastAsia" w:ascii="宋体" w:hAnsi="宋体" w:eastAsia="宋体" w:cs="宋体"/>
                <w:b w:val="0"/>
                <w:bCs/>
                <w:color w:val="auto"/>
                <w:kern w:val="0"/>
                <w:sz w:val="24"/>
                <w:szCs w:val="24"/>
                <w:highlight w:val="none"/>
              </w:rPr>
              <w:t>及输出：具备标准化数据输出接口（支持JSON、XML格式），数据录入（移动端）支持调查数据移动端随时填报</w:t>
            </w:r>
            <w:r>
              <w:rPr>
                <w:rFonts w:hint="eastAsia" w:ascii="宋体" w:hAnsi="宋体" w:eastAsia="宋体" w:cs="宋体"/>
                <w:b w:val="0"/>
                <w:bCs/>
                <w:color w:val="auto"/>
                <w:kern w:val="0"/>
                <w:sz w:val="24"/>
                <w:szCs w:val="24"/>
                <w:highlight w:val="none"/>
                <w:lang w:eastAsia="zh-CN"/>
              </w:rPr>
              <w:t>，</w:t>
            </w:r>
            <w:r>
              <w:rPr>
                <w:rFonts w:hint="eastAsia" w:ascii="宋体" w:hAnsi="宋体" w:eastAsia="宋体" w:cs="宋体"/>
                <w:b w:val="0"/>
                <w:bCs/>
                <w:color w:val="auto"/>
                <w:kern w:val="0"/>
                <w:sz w:val="24"/>
                <w:szCs w:val="24"/>
                <w:highlight w:val="none"/>
              </w:rPr>
              <w:t>支持数据随时回传服务器，支持接收省级和国家级填报任务</w:t>
            </w:r>
            <w:r>
              <w:rPr>
                <w:rFonts w:hint="eastAsia" w:ascii="宋体" w:hAnsi="宋体" w:eastAsia="宋体" w:cs="宋体"/>
                <w:b w:val="0"/>
                <w:bCs/>
                <w:color w:val="auto"/>
                <w:kern w:val="0"/>
                <w:sz w:val="24"/>
                <w:szCs w:val="24"/>
                <w:highlight w:val="none"/>
                <w:lang w:val="en-US" w:eastAsia="zh-CN"/>
              </w:rPr>
              <w:t>并自动同步</w:t>
            </w:r>
            <w:r>
              <w:rPr>
                <w:rFonts w:hint="eastAsia" w:ascii="宋体" w:hAnsi="宋体" w:eastAsia="宋体" w:cs="宋体"/>
                <w:b w:val="0"/>
                <w:bCs/>
                <w:color w:val="auto"/>
                <w:kern w:val="0"/>
                <w:sz w:val="24"/>
                <w:szCs w:val="24"/>
                <w:highlight w:val="none"/>
              </w:rPr>
              <w:t>。</w:t>
            </w:r>
          </w:p>
          <w:p w14:paraId="5E44339E">
            <w:pPr>
              <w:keepNext w:val="0"/>
              <w:keepLines w:val="0"/>
              <w:pageBreakBefore w:val="0"/>
              <w:kinsoku/>
              <w:wordWrap/>
              <w:overflowPunct/>
              <w:topLinePunct w:val="0"/>
              <w:autoSpaceDE/>
              <w:autoSpaceDN/>
              <w:bidi w:val="0"/>
              <w:adjustRightInd/>
              <w:snapToGrid/>
              <w:spacing w:line="400" w:lineRule="exact"/>
              <w:ind w:firstLine="480" w:firstLineChars="200"/>
              <w:jc w:val="both"/>
              <w:textAlignment w:val="auto"/>
              <w:rPr>
                <w:rFonts w:hint="eastAsia" w:ascii="宋体" w:hAnsi="宋体" w:eastAsia="宋体" w:cs="宋体"/>
                <w:b w:val="0"/>
                <w:bCs/>
                <w:color w:val="auto"/>
                <w:kern w:val="0"/>
                <w:sz w:val="24"/>
                <w:szCs w:val="24"/>
                <w:highlight w:val="none"/>
              </w:rPr>
            </w:pPr>
            <w:r>
              <w:rPr>
                <w:rFonts w:hint="eastAsia" w:ascii="宋体" w:hAnsi="宋体" w:eastAsia="宋体" w:cs="宋体"/>
                <w:b w:val="0"/>
                <w:bCs/>
                <w:color w:val="auto"/>
                <w:kern w:val="0"/>
                <w:sz w:val="24"/>
                <w:szCs w:val="24"/>
                <w:highlight w:val="none"/>
              </w:rPr>
              <w:t>（三）预测结果分析、数据调查、病虫情报、GIS分析、病虫害档案</w:t>
            </w:r>
          </w:p>
          <w:p w14:paraId="3B238E26">
            <w:pPr>
              <w:keepNext w:val="0"/>
              <w:keepLines w:val="0"/>
              <w:pageBreakBefore w:val="0"/>
              <w:kinsoku/>
              <w:wordWrap/>
              <w:overflowPunct/>
              <w:topLinePunct w:val="0"/>
              <w:autoSpaceDE/>
              <w:autoSpaceDN/>
              <w:bidi w:val="0"/>
              <w:adjustRightInd/>
              <w:snapToGrid/>
              <w:spacing w:line="400" w:lineRule="exact"/>
              <w:ind w:firstLine="480" w:firstLineChars="200"/>
              <w:jc w:val="both"/>
              <w:textAlignment w:val="auto"/>
              <w:rPr>
                <w:rFonts w:hint="eastAsia" w:ascii="宋体" w:hAnsi="宋体" w:eastAsia="宋体" w:cs="宋体"/>
                <w:b w:val="0"/>
                <w:bCs/>
                <w:color w:val="auto"/>
                <w:kern w:val="0"/>
                <w:sz w:val="24"/>
                <w:szCs w:val="24"/>
                <w:highlight w:val="none"/>
              </w:rPr>
            </w:pPr>
            <w:r>
              <w:rPr>
                <w:rFonts w:hint="eastAsia" w:ascii="宋体" w:hAnsi="宋体" w:eastAsia="宋体" w:cs="宋体"/>
                <w:b w:val="0"/>
                <w:bCs/>
                <w:color w:val="auto"/>
                <w:kern w:val="0"/>
                <w:sz w:val="24"/>
                <w:szCs w:val="24"/>
                <w:highlight w:val="none"/>
              </w:rPr>
              <w:t>1.支持设备信息添加、维护，设备状态查看等设备管理；</w:t>
            </w:r>
          </w:p>
          <w:p w14:paraId="46FDC662">
            <w:pPr>
              <w:keepNext w:val="0"/>
              <w:keepLines w:val="0"/>
              <w:pageBreakBefore w:val="0"/>
              <w:kinsoku/>
              <w:wordWrap/>
              <w:overflowPunct/>
              <w:topLinePunct w:val="0"/>
              <w:autoSpaceDE/>
              <w:autoSpaceDN/>
              <w:bidi w:val="0"/>
              <w:adjustRightInd/>
              <w:snapToGrid/>
              <w:spacing w:line="400" w:lineRule="exact"/>
              <w:ind w:firstLine="480" w:firstLineChars="200"/>
              <w:jc w:val="both"/>
              <w:textAlignment w:val="auto"/>
              <w:rPr>
                <w:rFonts w:hint="eastAsia" w:ascii="宋体" w:hAnsi="宋体" w:eastAsia="宋体" w:cs="宋体"/>
                <w:b w:val="0"/>
                <w:bCs/>
                <w:color w:val="auto"/>
                <w:kern w:val="0"/>
                <w:sz w:val="24"/>
                <w:szCs w:val="24"/>
                <w:highlight w:val="none"/>
              </w:rPr>
            </w:pPr>
            <w:r>
              <w:rPr>
                <w:rFonts w:hint="eastAsia" w:ascii="宋体" w:hAnsi="宋体" w:eastAsia="宋体" w:cs="宋体"/>
                <w:b w:val="0"/>
                <w:bCs/>
                <w:color w:val="auto"/>
                <w:kern w:val="0"/>
                <w:sz w:val="24"/>
                <w:szCs w:val="24"/>
                <w:highlight w:val="none"/>
              </w:rPr>
              <w:t>2.支持物联网设备采集图像的多格式筛选查看</w:t>
            </w:r>
            <w:r>
              <w:rPr>
                <w:rFonts w:hint="eastAsia" w:ascii="宋体" w:hAnsi="宋体" w:eastAsia="宋体" w:cs="宋体"/>
                <w:b w:val="0"/>
                <w:bCs/>
                <w:color w:val="auto"/>
                <w:kern w:val="0"/>
                <w:sz w:val="24"/>
                <w:szCs w:val="24"/>
                <w:highlight w:val="none"/>
                <w:lang w:eastAsia="zh-CN"/>
              </w:rPr>
              <w:t>（兼容</w:t>
            </w:r>
            <w:r>
              <w:rPr>
                <w:rFonts w:hint="eastAsia" w:ascii="宋体" w:hAnsi="宋体" w:eastAsia="宋体" w:cs="宋体"/>
                <w:b w:val="0"/>
                <w:bCs/>
                <w:color w:val="auto"/>
                <w:kern w:val="0"/>
                <w:sz w:val="24"/>
                <w:szCs w:val="24"/>
                <w:highlight w:val="none"/>
              </w:rPr>
              <w:t>JPG/PNG/MP4）；</w:t>
            </w:r>
          </w:p>
          <w:p w14:paraId="4E4E4027">
            <w:pPr>
              <w:keepNext w:val="0"/>
              <w:keepLines w:val="0"/>
              <w:pageBreakBefore w:val="0"/>
              <w:kinsoku/>
              <w:wordWrap/>
              <w:overflowPunct/>
              <w:topLinePunct w:val="0"/>
              <w:autoSpaceDE/>
              <w:autoSpaceDN/>
              <w:bidi w:val="0"/>
              <w:adjustRightInd/>
              <w:snapToGrid/>
              <w:spacing w:line="400" w:lineRule="exact"/>
              <w:ind w:firstLine="480" w:firstLineChars="200"/>
              <w:jc w:val="both"/>
              <w:textAlignment w:val="auto"/>
              <w:rPr>
                <w:rFonts w:hint="eastAsia" w:ascii="宋体" w:hAnsi="宋体" w:eastAsia="宋体" w:cs="宋体"/>
                <w:b w:val="0"/>
                <w:bCs/>
                <w:color w:val="auto"/>
                <w:kern w:val="0"/>
                <w:sz w:val="24"/>
                <w:szCs w:val="24"/>
                <w:highlight w:val="none"/>
              </w:rPr>
            </w:pPr>
            <w:r>
              <w:rPr>
                <w:rFonts w:hint="eastAsia" w:ascii="宋体" w:hAnsi="宋体" w:eastAsia="宋体" w:cs="宋体"/>
                <w:b w:val="0"/>
                <w:bCs/>
                <w:color w:val="auto"/>
                <w:kern w:val="0"/>
                <w:sz w:val="24"/>
                <w:szCs w:val="24"/>
                <w:highlight w:val="none"/>
              </w:rPr>
              <w:t>3.支持对县域接入的监测点信息进行管理；</w:t>
            </w:r>
          </w:p>
          <w:p w14:paraId="51169F70">
            <w:pPr>
              <w:keepNext w:val="0"/>
              <w:keepLines w:val="0"/>
              <w:pageBreakBefore w:val="0"/>
              <w:kinsoku/>
              <w:wordWrap/>
              <w:overflowPunct/>
              <w:topLinePunct w:val="0"/>
              <w:autoSpaceDE/>
              <w:autoSpaceDN/>
              <w:bidi w:val="0"/>
              <w:adjustRightInd/>
              <w:snapToGrid/>
              <w:spacing w:line="400" w:lineRule="exact"/>
              <w:ind w:firstLine="480" w:firstLineChars="200"/>
              <w:jc w:val="both"/>
              <w:textAlignment w:val="auto"/>
              <w:rPr>
                <w:rFonts w:hint="eastAsia" w:ascii="宋体" w:hAnsi="宋体" w:eastAsia="宋体" w:cs="宋体"/>
                <w:b w:val="0"/>
                <w:bCs/>
                <w:color w:val="auto"/>
                <w:kern w:val="0"/>
                <w:sz w:val="24"/>
                <w:szCs w:val="24"/>
                <w:highlight w:val="none"/>
              </w:rPr>
            </w:pPr>
            <w:r>
              <w:rPr>
                <w:rFonts w:hint="eastAsia" w:ascii="宋体" w:hAnsi="宋体" w:eastAsia="宋体" w:cs="宋体"/>
                <w:b w:val="0"/>
                <w:bCs/>
                <w:color w:val="auto"/>
                <w:kern w:val="0"/>
                <w:sz w:val="24"/>
                <w:szCs w:val="24"/>
                <w:highlight w:val="none"/>
              </w:rPr>
              <w:t>4.支持对测报人员进行管理，对账号进行分配，账号权限进行管理；</w:t>
            </w:r>
          </w:p>
          <w:p w14:paraId="4D2CA5A2">
            <w:pPr>
              <w:keepNext w:val="0"/>
              <w:keepLines w:val="0"/>
              <w:pageBreakBefore w:val="0"/>
              <w:kinsoku/>
              <w:wordWrap/>
              <w:overflowPunct/>
              <w:topLinePunct w:val="0"/>
              <w:autoSpaceDE/>
              <w:autoSpaceDN/>
              <w:bidi w:val="0"/>
              <w:adjustRightInd/>
              <w:snapToGrid/>
              <w:spacing w:line="400" w:lineRule="exact"/>
              <w:ind w:firstLine="480" w:firstLineChars="200"/>
              <w:jc w:val="both"/>
              <w:textAlignment w:val="auto"/>
              <w:rPr>
                <w:rFonts w:hint="eastAsia" w:ascii="宋体" w:hAnsi="宋体" w:eastAsia="宋体" w:cs="宋体"/>
                <w:b w:val="0"/>
                <w:bCs/>
                <w:color w:val="auto"/>
                <w:kern w:val="0"/>
                <w:sz w:val="24"/>
                <w:szCs w:val="24"/>
                <w:highlight w:val="none"/>
              </w:rPr>
            </w:pPr>
            <w:r>
              <w:rPr>
                <w:rFonts w:hint="eastAsia" w:ascii="宋体" w:hAnsi="宋体" w:eastAsia="宋体" w:cs="宋体"/>
                <w:b w:val="0"/>
                <w:bCs/>
                <w:color w:val="auto"/>
                <w:kern w:val="0"/>
                <w:sz w:val="24"/>
                <w:szCs w:val="24"/>
                <w:highlight w:val="none"/>
              </w:rPr>
              <w:t>5.支持对病虫害、视频资料等植保知识数据进行发布；</w:t>
            </w:r>
          </w:p>
          <w:p w14:paraId="186788DA">
            <w:pPr>
              <w:keepNext w:val="0"/>
              <w:keepLines w:val="0"/>
              <w:pageBreakBefore w:val="0"/>
              <w:kinsoku/>
              <w:wordWrap/>
              <w:overflowPunct/>
              <w:topLinePunct w:val="0"/>
              <w:autoSpaceDE/>
              <w:autoSpaceDN/>
              <w:bidi w:val="0"/>
              <w:adjustRightInd/>
              <w:snapToGrid/>
              <w:spacing w:line="400" w:lineRule="exact"/>
              <w:ind w:firstLine="480" w:firstLineChars="200"/>
              <w:jc w:val="both"/>
              <w:textAlignment w:val="auto"/>
              <w:rPr>
                <w:rFonts w:hint="eastAsia" w:ascii="宋体" w:hAnsi="宋体" w:eastAsia="宋体" w:cs="宋体"/>
                <w:b w:val="0"/>
                <w:bCs/>
                <w:color w:val="auto"/>
                <w:kern w:val="0"/>
                <w:sz w:val="24"/>
                <w:szCs w:val="24"/>
                <w:highlight w:val="none"/>
              </w:rPr>
            </w:pPr>
            <w:r>
              <w:rPr>
                <w:rFonts w:hint="eastAsia" w:ascii="宋体" w:hAnsi="宋体" w:eastAsia="宋体" w:cs="宋体"/>
                <w:b w:val="0"/>
                <w:bCs/>
                <w:color w:val="auto"/>
                <w:kern w:val="0"/>
                <w:sz w:val="24"/>
                <w:szCs w:val="24"/>
                <w:highlight w:val="none"/>
              </w:rPr>
              <w:t>6.支持综合性展示页面，展示物联网设备状态、基础数据及数据分析图表；</w:t>
            </w:r>
          </w:p>
          <w:p w14:paraId="35236695">
            <w:pPr>
              <w:keepNext w:val="0"/>
              <w:keepLines w:val="0"/>
              <w:pageBreakBefore w:val="0"/>
              <w:kinsoku/>
              <w:wordWrap/>
              <w:overflowPunct/>
              <w:topLinePunct w:val="0"/>
              <w:autoSpaceDE/>
              <w:autoSpaceDN/>
              <w:bidi w:val="0"/>
              <w:adjustRightInd/>
              <w:snapToGrid/>
              <w:spacing w:line="400" w:lineRule="exact"/>
              <w:ind w:firstLine="480" w:firstLineChars="200"/>
              <w:jc w:val="both"/>
              <w:textAlignment w:val="auto"/>
              <w:rPr>
                <w:rFonts w:hint="eastAsia" w:ascii="宋体" w:hAnsi="宋体" w:eastAsia="宋体" w:cs="宋体"/>
                <w:b w:val="0"/>
                <w:bCs/>
                <w:color w:val="auto"/>
                <w:kern w:val="0"/>
                <w:sz w:val="24"/>
                <w:szCs w:val="24"/>
                <w:highlight w:val="none"/>
                <w:lang w:eastAsia="zh-CN"/>
              </w:rPr>
            </w:pPr>
            <w:r>
              <w:rPr>
                <w:rFonts w:hint="eastAsia" w:ascii="宋体" w:hAnsi="宋体" w:eastAsia="宋体" w:cs="宋体"/>
                <w:b w:val="0"/>
                <w:bCs/>
                <w:color w:val="auto"/>
                <w:kern w:val="0"/>
                <w:sz w:val="24"/>
                <w:szCs w:val="24"/>
                <w:highlight w:val="none"/>
              </w:rPr>
              <w:t>7.支持监视主要设备的实时数据采集情况、设备状态</w:t>
            </w:r>
            <w:r>
              <w:rPr>
                <w:rFonts w:hint="eastAsia" w:ascii="宋体" w:hAnsi="宋体" w:eastAsia="宋体" w:cs="宋体"/>
                <w:b w:val="0"/>
                <w:bCs/>
                <w:color w:val="auto"/>
                <w:kern w:val="0"/>
                <w:sz w:val="24"/>
                <w:szCs w:val="24"/>
                <w:highlight w:val="none"/>
                <w:lang w:eastAsia="zh-CN"/>
              </w:rPr>
              <w:t>。</w:t>
            </w:r>
          </w:p>
          <w:p w14:paraId="77F3ADF4">
            <w:pPr>
              <w:pStyle w:val="3"/>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color w:val="auto"/>
                <w:sz w:val="24"/>
                <w:szCs w:val="24"/>
                <w:highlight w:val="none"/>
              </w:rPr>
            </w:pPr>
            <w:r>
              <w:rPr>
                <w:rFonts w:hint="eastAsia" w:ascii="宋体" w:hAnsi="宋体" w:eastAsia="宋体" w:cs="宋体"/>
                <w:b w:val="0"/>
                <w:bCs/>
                <w:color w:val="auto"/>
                <w:kern w:val="0"/>
                <w:sz w:val="24"/>
                <w:szCs w:val="24"/>
                <w:highlight w:val="none"/>
                <w:lang w:val="en-US" w:eastAsia="zh-CN"/>
              </w:rPr>
              <w:t>8.</w:t>
            </w:r>
            <w:r>
              <w:rPr>
                <w:rFonts w:hint="eastAsia" w:ascii="宋体" w:hAnsi="宋体" w:eastAsia="宋体" w:cs="宋体"/>
                <w:b w:val="0"/>
                <w:bCs/>
                <w:color w:val="auto"/>
                <w:sz w:val="24"/>
                <w:szCs w:val="24"/>
                <w:highlight w:val="none"/>
              </w:rPr>
              <w:t>支持县域重点虫害</w:t>
            </w:r>
            <w:r>
              <w:rPr>
                <w:rStyle w:val="10"/>
                <w:rFonts w:hint="eastAsia" w:ascii="宋体" w:hAnsi="宋体" w:eastAsia="宋体" w:cs="宋体"/>
                <w:b w:val="0"/>
                <w:bCs/>
                <w:color w:val="auto"/>
                <w:sz w:val="24"/>
                <w:szCs w:val="24"/>
                <w:highlight w:val="none"/>
              </w:rPr>
              <w:t>始见期、发生峰值、历年同期数据对比分析</w:t>
            </w:r>
            <w:r>
              <w:rPr>
                <w:rFonts w:hint="eastAsia" w:ascii="宋体" w:hAnsi="宋体" w:eastAsia="宋体" w:cs="宋体"/>
                <w:b w:val="0"/>
                <w:bCs/>
                <w:color w:val="auto"/>
                <w:sz w:val="24"/>
                <w:szCs w:val="24"/>
                <w:highlight w:val="none"/>
              </w:rPr>
              <w:t>。</w:t>
            </w:r>
          </w:p>
          <w:p w14:paraId="45BECA92">
            <w:pPr>
              <w:pStyle w:val="6"/>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lang w:val="en-US" w:eastAsia="zh-CN"/>
              </w:rPr>
              <w:t>9.</w:t>
            </w:r>
            <w:r>
              <w:rPr>
                <w:rFonts w:hint="eastAsia" w:ascii="宋体" w:hAnsi="宋体" w:eastAsia="宋体" w:cs="宋体"/>
                <w:b w:val="0"/>
                <w:bCs/>
                <w:color w:val="auto"/>
                <w:sz w:val="24"/>
                <w:szCs w:val="24"/>
                <w:highlight w:val="none"/>
              </w:rPr>
              <w:t>支持按时间、病虫害种类、田间虫量多因子关联对比分析。</w:t>
            </w:r>
          </w:p>
          <w:p w14:paraId="5C961753">
            <w:pPr>
              <w:pStyle w:val="6"/>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lang w:val="en-US" w:eastAsia="zh-CN"/>
              </w:rPr>
              <w:t>10.</w:t>
            </w:r>
            <w:r>
              <w:rPr>
                <w:rFonts w:hint="eastAsia" w:ascii="宋体" w:hAnsi="宋体" w:eastAsia="宋体" w:cs="宋体"/>
                <w:b w:val="0"/>
                <w:bCs/>
                <w:color w:val="auto"/>
                <w:sz w:val="24"/>
                <w:szCs w:val="24"/>
                <w:highlight w:val="none"/>
              </w:rPr>
              <w:t>系统可自动生成</w:t>
            </w:r>
            <w:r>
              <w:rPr>
                <w:rStyle w:val="10"/>
                <w:rFonts w:hint="eastAsia" w:ascii="宋体" w:hAnsi="宋体" w:eastAsia="宋体" w:cs="宋体"/>
                <w:b w:val="0"/>
                <w:bCs/>
                <w:color w:val="auto"/>
                <w:sz w:val="24"/>
                <w:szCs w:val="24"/>
                <w:highlight w:val="none"/>
              </w:rPr>
              <w:t>月度植保工作报告</w:t>
            </w:r>
            <w:r>
              <w:rPr>
                <w:rFonts w:hint="eastAsia" w:ascii="宋体" w:hAnsi="宋体" w:eastAsia="宋体" w:cs="宋体"/>
                <w:b w:val="0"/>
                <w:bCs/>
                <w:color w:val="auto"/>
                <w:sz w:val="24"/>
                <w:szCs w:val="24"/>
                <w:highlight w:val="none"/>
              </w:rPr>
              <w:t>，包含：物联网设备运行分析、主要病虫害发生态势分析、数据上报情况、工作汇总分享。</w:t>
            </w:r>
          </w:p>
          <w:p w14:paraId="0C06531B">
            <w:pPr>
              <w:pStyle w:val="6"/>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lang w:val="en-US" w:eastAsia="zh-CN"/>
              </w:rPr>
              <w:t>11.</w:t>
            </w:r>
            <w:r>
              <w:rPr>
                <w:rFonts w:hint="eastAsia" w:ascii="宋体" w:hAnsi="宋体" w:eastAsia="宋体" w:cs="宋体"/>
                <w:b w:val="0"/>
                <w:bCs/>
                <w:color w:val="auto"/>
                <w:sz w:val="24"/>
                <w:szCs w:val="24"/>
                <w:highlight w:val="none"/>
              </w:rPr>
              <w:t>支持监测点基础信息查看编辑，可配置地理位置、监测作物、对应防控病虫害，设备数据可与监测作物、病虫信息自动关联匹配。</w:t>
            </w:r>
          </w:p>
          <w:p w14:paraId="79DAC3B5">
            <w:pPr>
              <w:pStyle w:val="6"/>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lang w:val="en-US" w:eastAsia="zh-CN"/>
              </w:rPr>
              <w:t>12.</w:t>
            </w:r>
            <w:r>
              <w:rPr>
                <w:rFonts w:hint="eastAsia" w:ascii="宋体" w:hAnsi="宋体" w:eastAsia="宋体" w:cs="宋体"/>
                <w:b w:val="0"/>
                <w:bCs/>
                <w:color w:val="auto"/>
                <w:sz w:val="24"/>
                <w:szCs w:val="24"/>
                <w:highlight w:val="none"/>
              </w:rPr>
              <w:t>支持自定义病虫害发生阈值、设备离线故障阈值，达到阈值自动告警；支持移动端 APP、短信双渠道告警推送，可维护告警联系人、查询告警历史台账。</w:t>
            </w:r>
          </w:p>
          <w:p w14:paraId="4858E8F2">
            <w:pPr>
              <w:pStyle w:val="6"/>
              <w:keepNext w:val="0"/>
              <w:keepLines w:val="0"/>
              <w:pageBreakBefore w:val="0"/>
              <w:kinsoku/>
              <w:wordWrap/>
              <w:overflowPunct/>
              <w:topLinePunct w:val="0"/>
              <w:autoSpaceDE/>
              <w:autoSpaceDN/>
              <w:bidi w:val="0"/>
              <w:spacing w:line="400" w:lineRule="exact"/>
              <w:ind w:firstLine="480" w:firstLineChars="200"/>
              <w:jc w:val="both"/>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13.</w:t>
            </w:r>
            <w:r>
              <w:rPr>
                <w:rFonts w:hint="eastAsia" w:ascii="宋体" w:hAnsi="宋体" w:eastAsia="宋体" w:cs="宋体"/>
                <w:b w:val="0"/>
                <w:bCs/>
                <w:color w:val="auto"/>
                <w:sz w:val="24"/>
                <w:szCs w:val="24"/>
                <w:highlight w:val="none"/>
              </w:rPr>
              <w:t>支持物联网监测数据快捷导出，可按设备类型、数据类别、自定义时间段批量筛选导出。</w:t>
            </w:r>
          </w:p>
          <w:p w14:paraId="20E1FD8E">
            <w:pPr>
              <w:keepNext w:val="0"/>
              <w:keepLines w:val="0"/>
              <w:pageBreakBefore w:val="0"/>
              <w:kinsoku/>
              <w:wordWrap/>
              <w:overflowPunct/>
              <w:topLinePunct w:val="0"/>
              <w:autoSpaceDE/>
              <w:autoSpaceDN/>
              <w:bidi w:val="0"/>
              <w:adjustRightInd/>
              <w:snapToGrid/>
              <w:spacing w:line="400" w:lineRule="exact"/>
              <w:ind w:firstLine="480" w:firstLineChars="200"/>
              <w:jc w:val="both"/>
              <w:textAlignment w:val="auto"/>
              <w:rPr>
                <w:rFonts w:hint="eastAsia" w:ascii="宋体" w:hAnsi="宋体" w:eastAsia="宋体" w:cs="宋体"/>
                <w:b w:val="0"/>
                <w:bCs/>
                <w:color w:val="auto"/>
                <w:kern w:val="0"/>
                <w:sz w:val="24"/>
                <w:szCs w:val="24"/>
                <w:highlight w:val="none"/>
              </w:rPr>
            </w:pPr>
            <w:r>
              <w:rPr>
                <w:rFonts w:hint="eastAsia" w:ascii="宋体" w:hAnsi="宋体" w:eastAsia="宋体" w:cs="宋体"/>
                <w:b w:val="0"/>
                <w:bCs/>
                <w:color w:val="auto"/>
                <w:kern w:val="0"/>
                <w:sz w:val="24"/>
                <w:szCs w:val="24"/>
                <w:highlight w:val="none"/>
              </w:rPr>
              <w:t>二、硬件：数据传输与报送设备和手持移动终端</w:t>
            </w:r>
          </w:p>
          <w:p w14:paraId="7A8ABB5F">
            <w:pPr>
              <w:keepNext w:val="0"/>
              <w:keepLines w:val="0"/>
              <w:pageBreakBefore w:val="0"/>
              <w:kinsoku/>
              <w:wordWrap/>
              <w:overflowPunct/>
              <w:topLinePunct w:val="0"/>
              <w:autoSpaceDE/>
              <w:autoSpaceDN/>
              <w:bidi w:val="0"/>
              <w:adjustRightInd/>
              <w:snapToGrid/>
              <w:spacing w:line="400" w:lineRule="exact"/>
              <w:ind w:firstLine="480" w:firstLineChars="200"/>
              <w:jc w:val="both"/>
              <w:textAlignment w:val="auto"/>
              <w:rPr>
                <w:rFonts w:hint="eastAsia" w:ascii="宋体" w:hAnsi="宋体" w:eastAsia="宋体" w:cs="宋体"/>
                <w:b w:val="0"/>
                <w:bCs/>
                <w:color w:val="auto"/>
                <w:kern w:val="0"/>
                <w:sz w:val="24"/>
                <w:szCs w:val="24"/>
                <w:highlight w:val="none"/>
              </w:rPr>
            </w:pPr>
            <w:r>
              <w:rPr>
                <w:rFonts w:hint="eastAsia" w:ascii="宋体" w:hAnsi="宋体" w:eastAsia="宋体" w:cs="宋体"/>
                <w:b w:val="0"/>
                <w:bCs/>
                <w:color w:val="auto"/>
                <w:kern w:val="0"/>
                <w:sz w:val="24"/>
                <w:szCs w:val="24"/>
                <w:highlight w:val="none"/>
              </w:rPr>
              <w:t>（一）</w:t>
            </w:r>
            <w:r>
              <w:rPr>
                <w:rFonts w:hint="eastAsia" w:ascii="宋体" w:hAnsi="宋体" w:eastAsia="宋体" w:cs="宋体"/>
                <w:b w:val="0"/>
                <w:bCs/>
                <w:color w:val="auto"/>
                <w:kern w:val="0"/>
                <w:sz w:val="24"/>
                <w:szCs w:val="24"/>
                <w:highlight w:val="none"/>
                <w:lang w:val="en-US" w:eastAsia="zh-CN"/>
              </w:rPr>
              <w:t>触控一体机1台</w:t>
            </w:r>
            <w:r>
              <w:rPr>
                <w:rFonts w:hint="eastAsia" w:ascii="宋体" w:hAnsi="宋体" w:eastAsia="宋体" w:cs="宋体"/>
                <w:b w:val="0"/>
                <w:bCs/>
                <w:color w:val="auto"/>
                <w:kern w:val="0"/>
                <w:sz w:val="24"/>
                <w:szCs w:val="24"/>
                <w:highlight w:val="none"/>
              </w:rPr>
              <w:t>：显示屏幕尺寸≥</w:t>
            </w:r>
            <w:r>
              <w:rPr>
                <w:rFonts w:hint="eastAsia" w:ascii="宋体" w:hAnsi="宋体" w:eastAsia="宋体" w:cs="宋体"/>
                <w:b w:val="0"/>
                <w:bCs/>
                <w:color w:val="auto"/>
                <w:kern w:val="0"/>
                <w:sz w:val="24"/>
                <w:szCs w:val="24"/>
                <w:highlight w:val="none"/>
                <w:lang w:val="en-US" w:eastAsia="zh-CN"/>
              </w:rPr>
              <w:t>75</w:t>
            </w:r>
            <w:r>
              <w:rPr>
                <w:rFonts w:hint="eastAsia" w:ascii="宋体" w:hAnsi="宋体" w:eastAsia="宋体" w:cs="宋体"/>
                <w:b w:val="0"/>
                <w:bCs/>
                <w:color w:val="auto"/>
                <w:kern w:val="0"/>
                <w:sz w:val="24"/>
                <w:szCs w:val="24"/>
                <w:highlight w:val="none"/>
              </w:rPr>
              <w:t>英寸，分辨率</w:t>
            </w:r>
            <w:r>
              <w:rPr>
                <w:rFonts w:hint="eastAsia" w:ascii="宋体" w:hAnsi="宋体" w:eastAsia="宋体" w:cs="宋体"/>
                <w:b w:val="0"/>
                <w:bCs/>
                <w:color w:val="auto"/>
                <w:kern w:val="0"/>
                <w:sz w:val="24"/>
                <w:szCs w:val="24"/>
                <w:highlight w:val="none"/>
                <w:lang w:val="en-US" w:eastAsia="zh-CN"/>
              </w:rPr>
              <w:t>不低于</w:t>
            </w:r>
            <w:r>
              <w:rPr>
                <w:rFonts w:hint="eastAsia" w:ascii="宋体" w:hAnsi="宋体" w:eastAsia="宋体" w:cs="宋体"/>
                <w:b w:val="0"/>
                <w:bCs/>
                <w:color w:val="auto"/>
                <w:kern w:val="0"/>
                <w:sz w:val="24"/>
                <w:szCs w:val="24"/>
                <w:highlight w:val="none"/>
              </w:rPr>
              <w:t>3840×2160超高清，亮度</w:t>
            </w:r>
            <w:r>
              <w:rPr>
                <w:rFonts w:hint="eastAsia" w:ascii="宋体" w:hAnsi="宋体" w:eastAsia="宋体" w:cs="宋体"/>
                <w:b w:val="0"/>
                <w:bCs/>
                <w:color w:val="auto"/>
                <w:kern w:val="0"/>
                <w:sz w:val="24"/>
                <w:szCs w:val="24"/>
                <w:highlight w:val="none"/>
                <w:lang w:val="en-US" w:eastAsia="zh-CN"/>
              </w:rPr>
              <w:t>≥</w:t>
            </w:r>
            <w:r>
              <w:rPr>
                <w:rFonts w:hint="eastAsia" w:ascii="宋体" w:hAnsi="宋体" w:eastAsia="宋体" w:cs="宋体"/>
                <w:b w:val="0"/>
                <w:bCs/>
                <w:color w:val="auto"/>
                <w:kern w:val="0"/>
                <w:sz w:val="24"/>
                <w:szCs w:val="24"/>
                <w:highlight w:val="none"/>
              </w:rPr>
              <w:t xml:space="preserve"> 500cd/m²</w:t>
            </w:r>
            <w:r>
              <w:rPr>
                <w:rFonts w:hint="eastAsia" w:ascii="宋体" w:hAnsi="宋体" w:eastAsia="宋体" w:cs="宋体"/>
                <w:b w:val="0"/>
                <w:bCs/>
                <w:color w:val="auto"/>
                <w:kern w:val="0"/>
                <w:sz w:val="24"/>
                <w:szCs w:val="24"/>
                <w:highlight w:val="none"/>
                <w:lang w:eastAsia="zh-CN"/>
              </w:rPr>
              <w:t>，响应时间≤8ms，CPU工作主频</w:t>
            </w:r>
            <w:r>
              <w:rPr>
                <w:rFonts w:hint="eastAsia" w:ascii="宋体" w:hAnsi="宋体" w:eastAsia="宋体" w:cs="宋体"/>
                <w:b w:val="0"/>
                <w:bCs/>
                <w:color w:val="auto"/>
                <w:kern w:val="0"/>
                <w:sz w:val="24"/>
                <w:szCs w:val="24"/>
                <w:highlight w:val="none"/>
                <w:lang w:val="en-US" w:eastAsia="zh-CN"/>
              </w:rPr>
              <w:t>2.0</w:t>
            </w:r>
            <w:r>
              <w:rPr>
                <w:rFonts w:hint="eastAsia" w:ascii="宋体" w:hAnsi="宋体" w:eastAsia="宋体" w:cs="宋体"/>
                <w:b w:val="0"/>
                <w:bCs/>
                <w:color w:val="auto"/>
                <w:kern w:val="0"/>
                <w:sz w:val="24"/>
                <w:szCs w:val="24"/>
                <w:highlight w:val="none"/>
                <w:lang w:eastAsia="zh-CN"/>
              </w:rPr>
              <w:t>～2.2GHz，内部缓存容量</w:t>
            </w:r>
            <w:r>
              <w:rPr>
                <w:rFonts w:hint="eastAsia" w:ascii="宋体" w:hAnsi="宋体" w:eastAsia="宋体" w:cs="宋体"/>
                <w:b w:val="0"/>
                <w:bCs/>
                <w:color w:val="auto"/>
                <w:kern w:val="0"/>
                <w:sz w:val="24"/>
                <w:szCs w:val="24"/>
                <w:highlight w:val="none"/>
                <w:lang w:val="en-US" w:eastAsia="zh-CN"/>
              </w:rPr>
              <w:t>≥</w:t>
            </w:r>
            <w:r>
              <w:rPr>
                <w:rFonts w:hint="eastAsia" w:ascii="宋体" w:hAnsi="宋体" w:eastAsia="宋体" w:cs="宋体"/>
                <w:b w:val="0"/>
                <w:bCs/>
                <w:color w:val="auto"/>
                <w:kern w:val="0"/>
                <w:sz w:val="24"/>
                <w:szCs w:val="24"/>
                <w:highlight w:val="none"/>
                <w:lang w:eastAsia="zh-CN"/>
              </w:rPr>
              <w:t>8GB，CPU核心数8，存储（ROM）</w:t>
            </w:r>
            <w:r>
              <w:rPr>
                <w:rFonts w:hint="eastAsia" w:ascii="宋体" w:hAnsi="宋体" w:eastAsia="宋体" w:cs="宋体"/>
                <w:b w:val="0"/>
                <w:bCs/>
                <w:color w:val="auto"/>
                <w:kern w:val="0"/>
                <w:sz w:val="24"/>
                <w:szCs w:val="24"/>
                <w:highlight w:val="none"/>
                <w:lang w:val="en-US" w:eastAsia="zh-CN"/>
              </w:rPr>
              <w:t>≥</w:t>
            </w:r>
            <w:r>
              <w:rPr>
                <w:rFonts w:hint="eastAsia" w:ascii="宋体" w:hAnsi="宋体" w:eastAsia="宋体" w:cs="宋体"/>
                <w:b w:val="0"/>
                <w:bCs/>
                <w:color w:val="auto"/>
                <w:kern w:val="0"/>
                <w:sz w:val="24"/>
                <w:szCs w:val="24"/>
                <w:highlight w:val="none"/>
                <w:lang w:eastAsia="zh-CN"/>
              </w:rPr>
              <w:t>256GB，</w:t>
            </w:r>
            <w:r>
              <w:rPr>
                <w:rFonts w:hint="eastAsia" w:ascii="宋体" w:hAnsi="宋体" w:eastAsia="宋体" w:cs="宋体"/>
                <w:b w:val="0"/>
                <w:bCs/>
                <w:color w:val="auto"/>
                <w:kern w:val="0"/>
                <w:sz w:val="24"/>
                <w:szCs w:val="24"/>
                <w:highlight w:val="none"/>
                <w:lang w:val="en-US" w:eastAsia="zh-CN"/>
              </w:rPr>
              <w:t>摄像头</w:t>
            </w:r>
            <w:r>
              <w:rPr>
                <w:rFonts w:hint="eastAsia" w:ascii="宋体" w:hAnsi="宋体" w:eastAsia="宋体" w:cs="宋体"/>
                <w:b w:val="0"/>
                <w:bCs/>
                <w:color w:val="auto"/>
                <w:kern w:val="0"/>
                <w:sz w:val="24"/>
                <w:szCs w:val="24"/>
                <w:highlight w:val="none"/>
                <w:lang w:eastAsia="zh-CN"/>
              </w:rPr>
              <w:t>4800+3*800万像素。</w:t>
            </w:r>
            <w:r>
              <w:rPr>
                <w:rFonts w:hint="eastAsia" w:ascii="宋体" w:hAnsi="宋体" w:eastAsia="宋体" w:cs="宋体"/>
                <w:b w:val="0"/>
                <w:bCs/>
                <w:color w:val="auto"/>
                <w:sz w:val="24"/>
                <w:szCs w:val="24"/>
                <w:highlight w:val="none"/>
              </w:rPr>
              <w:t>具有手写触摸</w:t>
            </w:r>
            <w:r>
              <w:rPr>
                <w:rFonts w:hint="eastAsia" w:ascii="宋体" w:hAnsi="宋体" w:eastAsia="宋体" w:cs="宋体"/>
                <w:b w:val="0"/>
                <w:bCs/>
                <w:color w:val="auto"/>
                <w:sz w:val="24"/>
                <w:szCs w:val="24"/>
                <w:highlight w:val="none"/>
                <w:lang w:eastAsia="zh-CN"/>
              </w:rPr>
              <w:t>、</w:t>
            </w:r>
            <w:r>
              <w:rPr>
                <w:rFonts w:hint="eastAsia" w:ascii="宋体" w:hAnsi="宋体" w:eastAsia="宋体" w:cs="宋体"/>
                <w:b w:val="0"/>
                <w:bCs/>
                <w:color w:val="auto"/>
                <w:sz w:val="24"/>
                <w:szCs w:val="24"/>
                <w:highlight w:val="none"/>
                <w:lang w:val="en-US" w:eastAsia="zh-CN"/>
              </w:rPr>
              <w:t>主摄像头</w:t>
            </w:r>
            <w:r>
              <w:rPr>
                <w:rFonts w:hint="eastAsia" w:ascii="宋体" w:hAnsi="宋体" w:eastAsia="宋体" w:cs="宋体"/>
                <w:b w:val="0"/>
                <w:bCs/>
                <w:color w:val="auto"/>
                <w:sz w:val="24"/>
                <w:szCs w:val="24"/>
                <w:highlight w:val="none"/>
                <w:lang w:eastAsia="zh-CN"/>
              </w:rPr>
              <w:t>声音定位、智能取景、电子云台、人脸识别、8路阵列麦克风、智能麦克风、自动回声消除（AEC）、自动增益控制（AGC）、语音增强</w:t>
            </w:r>
            <w:r>
              <w:rPr>
                <w:rFonts w:hint="eastAsia" w:ascii="宋体" w:hAnsi="宋体" w:eastAsia="宋体" w:cs="宋体"/>
                <w:b w:val="0"/>
                <w:bCs/>
                <w:color w:val="auto"/>
                <w:sz w:val="24"/>
                <w:szCs w:val="24"/>
                <w:highlight w:val="none"/>
                <w:lang w:val="en-US" w:eastAsia="zh-CN"/>
              </w:rPr>
              <w:t>等</w:t>
            </w:r>
            <w:r>
              <w:rPr>
                <w:rFonts w:hint="eastAsia" w:ascii="宋体" w:hAnsi="宋体" w:eastAsia="宋体" w:cs="宋体"/>
                <w:b w:val="0"/>
                <w:bCs/>
                <w:color w:val="auto"/>
                <w:sz w:val="24"/>
                <w:szCs w:val="24"/>
                <w:highlight w:val="none"/>
              </w:rPr>
              <w:t>功能</w:t>
            </w:r>
            <w:r>
              <w:rPr>
                <w:rFonts w:hint="eastAsia" w:ascii="宋体" w:hAnsi="宋体" w:eastAsia="宋体" w:cs="宋体"/>
                <w:b w:val="0"/>
                <w:bCs/>
                <w:color w:val="auto"/>
                <w:sz w:val="24"/>
                <w:szCs w:val="24"/>
                <w:highlight w:val="none"/>
                <w:lang w:eastAsia="zh-CN"/>
              </w:rPr>
              <w:t>；</w:t>
            </w:r>
          </w:p>
          <w:p w14:paraId="6883FE1A">
            <w:pPr>
              <w:keepNext w:val="0"/>
              <w:keepLines w:val="0"/>
              <w:pageBreakBefore w:val="0"/>
              <w:widowControl w:val="0"/>
              <w:kinsoku/>
              <w:wordWrap/>
              <w:overflowPunct/>
              <w:topLinePunct w:val="0"/>
              <w:autoSpaceDE/>
              <w:autoSpaceDN/>
              <w:bidi w:val="0"/>
              <w:adjustRightInd/>
              <w:snapToGrid/>
              <w:spacing w:line="400" w:lineRule="exact"/>
              <w:ind w:firstLine="480" w:firstLineChars="200"/>
              <w:jc w:val="both"/>
              <w:textAlignment w:val="auto"/>
              <w:rPr>
                <w:rFonts w:hint="eastAsia" w:ascii="宋体" w:hAnsi="宋体" w:eastAsia="宋体" w:cs="宋体"/>
                <w:b w:val="0"/>
                <w:bCs/>
                <w:color w:val="auto"/>
                <w:kern w:val="0"/>
                <w:sz w:val="24"/>
                <w:szCs w:val="24"/>
                <w:highlight w:val="none"/>
                <w:lang w:val="en-US" w:eastAsia="zh-CN"/>
              </w:rPr>
            </w:pPr>
            <w:r>
              <w:rPr>
                <w:rFonts w:hint="eastAsia" w:ascii="宋体" w:hAnsi="宋体" w:eastAsia="宋体" w:cs="宋体"/>
                <w:b w:val="0"/>
                <w:bCs/>
                <w:color w:val="auto"/>
                <w:kern w:val="0"/>
                <w:sz w:val="24"/>
                <w:szCs w:val="24"/>
                <w:highlight w:val="none"/>
              </w:rPr>
              <w:t>（二）手持移动终端</w:t>
            </w:r>
            <w:r>
              <w:rPr>
                <w:rFonts w:hint="eastAsia" w:ascii="宋体" w:hAnsi="宋体" w:eastAsia="宋体" w:cs="宋体"/>
                <w:b w:val="0"/>
                <w:bCs/>
                <w:color w:val="auto"/>
                <w:kern w:val="0"/>
                <w:sz w:val="24"/>
                <w:szCs w:val="24"/>
                <w:highlight w:val="none"/>
                <w:lang w:val="en-US" w:eastAsia="zh-CN"/>
              </w:rPr>
              <w:t>1台</w:t>
            </w:r>
            <w:r>
              <w:rPr>
                <w:rFonts w:hint="eastAsia" w:ascii="宋体" w:hAnsi="宋体" w:eastAsia="宋体" w:cs="宋体"/>
                <w:b w:val="0"/>
                <w:bCs/>
                <w:color w:val="auto"/>
                <w:kern w:val="0"/>
                <w:sz w:val="24"/>
                <w:szCs w:val="24"/>
                <w:highlight w:val="none"/>
              </w:rPr>
              <w:t>：屏幕显示尺寸≥5.7寸，分辨率≥1920×1080，</w:t>
            </w:r>
            <w:r>
              <w:rPr>
                <w:rFonts w:hint="eastAsia" w:ascii="宋体" w:hAnsi="宋体" w:eastAsia="宋体" w:cs="宋体"/>
                <w:b w:val="0"/>
                <w:bCs/>
                <w:color w:val="auto"/>
                <w:kern w:val="0"/>
                <w:sz w:val="24"/>
                <w:szCs w:val="24"/>
                <w:highlight w:val="none"/>
                <w:lang w:eastAsia="zh-CN"/>
              </w:rPr>
              <w:t>处理器</w:t>
            </w:r>
            <w:r>
              <w:rPr>
                <w:rFonts w:hint="eastAsia" w:ascii="宋体" w:hAnsi="宋体" w:eastAsia="宋体" w:cs="宋体"/>
                <w:b w:val="0"/>
                <w:bCs/>
                <w:color w:val="auto"/>
                <w:kern w:val="0"/>
                <w:sz w:val="24"/>
                <w:szCs w:val="24"/>
                <w:highlight w:val="none"/>
              </w:rPr>
              <w:t>≥八核，运行内存≥</w:t>
            </w:r>
            <w:r>
              <w:rPr>
                <w:rFonts w:hint="eastAsia" w:ascii="宋体" w:hAnsi="宋体" w:eastAsia="宋体" w:cs="宋体"/>
                <w:b w:val="0"/>
                <w:bCs/>
                <w:color w:val="auto"/>
                <w:kern w:val="0"/>
                <w:sz w:val="24"/>
                <w:szCs w:val="24"/>
                <w:highlight w:val="none"/>
                <w:lang w:val="en-US" w:eastAsia="zh-CN"/>
              </w:rPr>
              <w:t>6</w:t>
            </w:r>
            <w:r>
              <w:rPr>
                <w:rFonts w:hint="eastAsia" w:ascii="宋体" w:hAnsi="宋体" w:eastAsia="宋体" w:cs="宋体"/>
                <w:b w:val="0"/>
                <w:bCs/>
                <w:color w:val="auto"/>
                <w:kern w:val="0"/>
                <w:sz w:val="24"/>
                <w:szCs w:val="24"/>
                <w:highlight w:val="none"/>
              </w:rPr>
              <w:t>GB，存储容量≥</w:t>
            </w:r>
            <w:r>
              <w:rPr>
                <w:rFonts w:hint="eastAsia" w:ascii="宋体" w:hAnsi="宋体" w:eastAsia="宋体" w:cs="宋体"/>
                <w:b w:val="0"/>
                <w:bCs/>
                <w:color w:val="auto"/>
                <w:kern w:val="0"/>
                <w:sz w:val="24"/>
                <w:szCs w:val="24"/>
                <w:highlight w:val="none"/>
                <w:lang w:val="en-US" w:eastAsia="zh-CN"/>
              </w:rPr>
              <w:t>64</w:t>
            </w:r>
            <w:r>
              <w:rPr>
                <w:rFonts w:hint="eastAsia" w:ascii="宋体" w:hAnsi="宋体" w:eastAsia="宋体" w:cs="宋体"/>
                <w:b w:val="0"/>
                <w:bCs/>
                <w:color w:val="auto"/>
                <w:kern w:val="0"/>
                <w:sz w:val="24"/>
                <w:szCs w:val="24"/>
                <w:highlight w:val="none"/>
              </w:rPr>
              <w:t>GB，支持</w:t>
            </w:r>
            <w:r>
              <w:rPr>
                <w:rFonts w:hint="eastAsia" w:ascii="宋体" w:hAnsi="宋体" w:eastAsia="宋体" w:cs="宋体"/>
                <w:b w:val="0"/>
                <w:bCs/>
                <w:color w:val="auto"/>
                <w:kern w:val="0"/>
                <w:sz w:val="24"/>
                <w:szCs w:val="24"/>
                <w:highlight w:val="none"/>
                <w:lang w:val="en-US" w:eastAsia="zh-CN"/>
              </w:rPr>
              <w:t>主流</w:t>
            </w:r>
            <w:r>
              <w:rPr>
                <w:rFonts w:hint="eastAsia" w:ascii="宋体" w:hAnsi="宋体" w:eastAsia="宋体" w:cs="宋体"/>
                <w:b w:val="0"/>
                <w:bCs/>
                <w:color w:val="auto"/>
                <w:kern w:val="0"/>
                <w:sz w:val="24"/>
                <w:szCs w:val="24"/>
                <w:highlight w:val="none"/>
              </w:rPr>
              <w:t>操作系统，支持联通、移动和电信4G</w:t>
            </w:r>
            <w:r>
              <w:rPr>
                <w:rFonts w:hint="eastAsia" w:ascii="宋体" w:hAnsi="宋体" w:eastAsia="宋体" w:cs="宋体"/>
                <w:b w:val="0"/>
                <w:bCs/>
                <w:color w:val="auto"/>
                <w:kern w:val="0"/>
                <w:sz w:val="24"/>
                <w:szCs w:val="24"/>
                <w:highlight w:val="none"/>
                <w:lang w:val="en-US" w:eastAsia="zh-CN"/>
              </w:rPr>
              <w:t>/5G</w:t>
            </w:r>
            <w:r>
              <w:rPr>
                <w:rFonts w:hint="eastAsia" w:ascii="宋体" w:hAnsi="宋体" w:eastAsia="宋体" w:cs="宋体"/>
                <w:b w:val="0"/>
                <w:bCs/>
                <w:color w:val="auto"/>
                <w:kern w:val="0"/>
                <w:sz w:val="24"/>
                <w:szCs w:val="24"/>
                <w:highlight w:val="none"/>
              </w:rPr>
              <w:t>全制式，摄像头像素≥1200万（支持4K视频录制）</w:t>
            </w:r>
            <w:r>
              <w:rPr>
                <w:rFonts w:hint="eastAsia" w:ascii="宋体" w:hAnsi="宋体" w:eastAsia="宋体" w:cs="宋体"/>
                <w:b w:val="0"/>
                <w:bCs/>
                <w:color w:val="auto"/>
                <w:kern w:val="0"/>
                <w:sz w:val="24"/>
                <w:szCs w:val="24"/>
                <w:highlight w:val="none"/>
                <w:lang w:eastAsia="zh-CN"/>
              </w:rPr>
              <w:t>。</w:t>
            </w:r>
          </w:p>
        </w:tc>
      </w:tr>
    </w:tbl>
    <w:p w14:paraId="1D00DCAA">
      <w:pPr>
        <w:pageBreakBefore w:val="0"/>
        <w:widowControl w:val="0"/>
        <w:wordWrap/>
        <w:overflowPunct/>
        <w:topLinePunct w:val="0"/>
        <w:bidi w:val="0"/>
        <w:spacing w:line="360" w:lineRule="auto"/>
        <w:rPr>
          <w:rFonts w:hint="eastAsia" w:ascii="仿宋_GB2312" w:hAnsi="仿宋_GB2312" w:eastAsia="仿宋_GB2312" w:cs="仿宋_GB2312"/>
          <w:b/>
          <w:bCs/>
          <w:color w:val="auto"/>
          <w:sz w:val="28"/>
          <w:szCs w:val="28"/>
          <w:highlight w:val="none"/>
        </w:rPr>
      </w:pPr>
      <w:r>
        <w:rPr>
          <w:rFonts w:hint="eastAsia" w:ascii="仿宋_GB2312" w:hAnsi="仿宋_GB2312" w:eastAsia="仿宋_GB2312" w:cs="仿宋_GB2312"/>
          <w:b/>
          <w:bCs/>
          <w:color w:val="auto"/>
          <w:sz w:val="28"/>
          <w:szCs w:val="28"/>
          <w:highlight w:val="none"/>
        </w:rPr>
        <w:t>注：以上“技术要求”为实质性条款须完全响应，</w:t>
      </w:r>
      <w:r>
        <w:rPr>
          <w:rFonts w:hint="eastAsia" w:ascii="仿宋_GB2312" w:hAnsi="仿宋_GB2312" w:eastAsia="仿宋_GB2312" w:cs="仿宋_GB2312"/>
          <w:b/>
          <w:bCs/>
          <w:color w:val="auto"/>
          <w:sz w:val="28"/>
          <w:szCs w:val="28"/>
          <w:highlight w:val="none"/>
          <w:lang w:val="en-US" w:eastAsia="zh-CN"/>
        </w:rPr>
        <w:t>按要求提供证明材料，未提供证明材料或证明材料不合格的投标无效</w:t>
      </w:r>
      <w:r>
        <w:rPr>
          <w:rFonts w:hint="eastAsia" w:ascii="仿宋_GB2312" w:hAnsi="仿宋_GB2312" w:eastAsia="仿宋_GB2312" w:cs="仿宋_GB2312"/>
          <w:b/>
          <w:bCs/>
          <w:color w:val="auto"/>
          <w:sz w:val="28"/>
          <w:szCs w:val="28"/>
          <w:highlight w:val="none"/>
        </w:rPr>
        <w:t>。</w:t>
      </w:r>
    </w:p>
    <w:p w14:paraId="69AF4FC9">
      <w:pPr>
        <w:pageBreakBefore w:val="0"/>
        <w:widowControl w:val="0"/>
        <w:wordWrap/>
        <w:overflowPunct/>
        <w:topLinePunct w:val="0"/>
        <w:bidi w:val="0"/>
        <w:spacing w:line="360" w:lineRule="auto"/>
        <w:rPr>
          <w:rFonts w:hint="eastAsia" w:ascii="仿宋_GB2312" w:hAnsi="仿宋_GB2312" w:eastAsia="仿宋_GB2312" w:cs="仿宋_GB2312"/>
          <w:b/>
          <w:bCs/>
          <w:color w:val="auto"/>
          <w:sz w:val="28"/>
          <w:szCs w:val="28"/>
          <w:highlight w:val="none"/>
          <w:lang w:eastAsia="zh-CN"/>
        </w:rPr>
      </w:pPr>
    </w:p>
    <w:p w14:paraId="696743E1">
      <w:pPr>
        <w:pageBreakBefore w:val="0"/>
        <w:widowControl w:val="0"/>
        <w:numPr>
          <w:ilvl w:val="0"/>
          <w:numId w:val="1"/>
        </w:numPr>
        <w:wordWrap/>
        <w:overflowPunct/>
        <w:topLinePunct w:val="0"/>
        <w:bidi w:val="0"/>
        <w:spacing w:before="78" w:line="219" w:lineRule="auto"/>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商务条件</w:t>
      </w:r>
    </w:p>
    <w:p w14:paraId="62FCCEF4">
      <w:pPr>
        <w:pageBreakBefore w:val="0"/>
        <w:widowControl w:val="0"/>
        <w:numPr>
          <w:ilvl w:val="0"/>
          <w:numId w:val="0"/>
        </w:numPr>
        <w:wordWrap/>
        <w:overflowPunct/>
        <w:topLinePunct w:val="0"/>
        <w:bidi w:val="0"/>
        <w:spacing w:before="78" w:line="219" w:lineRule="auto"/>
        <w:rPr>
          <w:rFonts w:ascii="宋体" w:hAnsi="宋体" w:eastAsia="宋体" w:cs="宋体"/>
          <w:color w:val="auto"/>
          <w:spacing w:val="0"/>
          <w:w w:val="100"/>
          <w:position w:val="0"/>
          <w:sz w:val="24"/>
          <w:szCs w:val="24"/>
          <w:lang w:eastAsia="zh-CN"/>
        </w:rPr>
      </w:pPr>
    </w:p>
    <w:p w14:paraId="57CBBA44">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val="en-US" w:eastAsia="zh-CN"/>
        </w:rPr>
        <w:t>1</w:t>
      </w:r>
      <w:r>
        <w:rPr>
          <w:rFonts w:hint="eastAsia" w:ascii="宋体" w:hAnsi="宋体" w:eastAsia="宋体" w:cs="宋体"/>
          <w:b/>
          <w:bCs/>
          <w:color w:val="auto"/>
          <w:sz w:val="24"/>
          <w:szCs w:val="24"/>
          <w:highlight w:val="none"/>
        </w:rPr>
        <w:t>）交付时间：</w:t>
      </w:r>
      <w:r>
        <w:rPr>
          <w:rFonts w:hint="eastAsia" w:ascii="宋体" w:hAnsi="宋体" w:eastAsia="宋体" w:cs="宋体"/>
          <w:color w:val="auto"/>
          <w:sz w:val="24"/>
          <w:szCs w:val="24"/>
          <w:highlight w:val="none"/>
        </w:rPr>
        <w:t>合同签订后</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0个日历日内安装、调试完毕并交付使用，</w:t>
      </w:r>
      <w:r>
        <w:rPr>
          <w:rFonts w:hint="eastAsia" w:ascii="宋体" w:hAnsi="宋体" w:eastAsia="宋体" w:cs="宋体"/>
          <w:color w:val="auto"/>
          <w:sz w:val="24"/>
          <w:szCs w:val="24"/>
          <w:highlight w:val="none"/>
          <w:lang w:val="en-US" w:eastAsia="zh-CN"/>
        </w:rPr>
        <w:t>中标人</w:t>
      </w:r>
      <w:r>
        <w:rPr>
          <w:rFonts w:hint="eastAsia" w:ascii="宋体" w:hAnsi="宋体" w:eastAsia="宋体" w:cs="宋体"/>
          <w:color w:val="auto"/>
          <w:sz w:val="24"/>
          <w:szCs w:val="24"/>
          <w:highlight w:val="none"/>
        </w:rPr>
        <w:t>应保证在要求时间内完成全部货物的供货、安装、调试和培训工作</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符合国家标准、行业规范和合同等相关文件的要求。</w:t>
      </w:r>
    </w:p>
    <w:p w14:paraId="5F346F2F">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2）交付地点：</w:t>
      </w:r>
      <w:r>
        <w:rPr>
          <w:rFonts w:hint="eastAsia" w:ascii="宋体" w:hAnsi="宋体" w:eastAsia="宋体" w:cs="宋体"/>
          <w:b w:val="0"/>
          <w:bCs w:val="0"/>
          <w:color w:val="auto"/>
          <w:sz w:val="24"/>
          <w:szCs w:val="24"/>
          <w:highlight w:val="none"/>
          <w:lang w:eastAsia="zh-CN"/>
        </w:rPr>
        <w:t>江</w:t>
      </w:r>
      <w:r>
        <w:rPr>
          <w:rFonts w:hint="eastAsia" w:ascii="宋体" w:hAnsi="宋体" w:eastAsia="宋体" w:cs="宋体"/>
          <w:color w:val="auto"/>
          <w:sz w:val="24"/>
          <w:szCs w:val="24"/>
          <w:highlight w:val="none"/>
          <w:lang w:eastAsia="zh-CN"/>
        </w:rPr>
        <w:t>西省内</w:t>
      </w:r>
      <w:r>
        <w:rPr>
          <w:rFonts w:hint="eastAsia" w:ascii="宋体" w:hAnsi="宋体" w:eastAsia="宋体" w:cs="宋体"/>
          <w:color w:val="auto"/>
          <w:sz w:val="24"/>
          <w:szCs w:val="24"/>
          <w:highlight w:val="none"/>
          <w:lang w:val="en-US" w:eastAsia="zh-CN"/>
        </w:rPr>
        <w:t>县指定地点，</w:t>
      </w:r>
      <w:r>
        <w:rPr>
          <w:rFonts w:hint="eastAsia" w:ascii="宋体" w:hAnsi="宋体" w:eastAsia="宋体" w:cs="宋体"/>
          <w:color w:val="auto"/>
          <w:sz w:val="24"/>
          <w:szCs w:val="24"/>
          <w:highlight w:val="none"/>
        </w:rPr>
        <w:t>寻乌县、龙南市、章贡区、上犹县。</w:t>
      </w:r>
    </w:p>
    <w:p w14:paraId="21520A5D">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3）付款进度和方式：</w:t>
      </w:r>
    </w:p>
    <w:p w14:paraId="0BBCE2DB">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履约保证金要求：</w:t>
      </w:r>
    </w:p>
    <w:p w14:paraId="518A104F">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履约保证金提交时间：合同签订后7个工作日内</w:t>
      </w:r>
      <w:r>
        <w:rPr>
          <w:rFonts w:hint="eastAsia" w:ascii="宋体" w:hAnsi="宋体" w:eastAsia="宋体" w:cs="宋体"/>
          <w:color w:val="auto"/>
          <w:sz w:val="24"/>
          <w:szCs w:val="24"/>
          <w:highlight w:val="none"/>
          <w:lang w:eastAsia="zh-CN"/>
        </w:rPr>
        <w:t>。</w:t>
      </w:r>
    </w:p>
    <w:p w14:paraId="5ADC1AE3">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履约保证金为合同金额的</w:t>
      </w:r>
      <w:r>
        <w:rPr>
          <w:rFonts w:hint="eastAsia" w:ascii="宋体" w:hAnsi="宋体" w:eastAsia="宋体" w:cs="宋体"/>
          <w:color w:val="auto"/>
          <w:sz w:val="24"/>
          <w:szCs w:val="24"/>
          <w:highlight w:val="none"/>
          <w:lang w:val="en-US" w:eastAsia="zh-CN"/>
        </w:rPr>
        <w:t>10</w:t>
      </w:r>
      <w:r>
        <w:rPr>
          <w:rFonts w:hint="eastAsia" w:ascii="宋体" w:hAnsi="宋体" w:eastAsia="宋体" w:cs="宋体"/>
          <w:color w:val="auto"/>
          <w:sz w:val="24"/>
          <w:szCs w:val="24"/>
          <w:highlight w:val="none"/>
        </w:rPr>
        <w:t>%，中标</w:t>
      </w:r>
      <w:r>
        <w:rPr>
          <w:rFonts w:hint="eastAsia" w:ascii="宋体" w:hAnsi="宋体" w:eastAsia="宋体" w:cs="宋体"/>
          <w:color w:val="auto"/>
          <w:sz w:val="24"/>
          <w:szCs w:val="24"/>
          <w:highlight w:val="none"/>
          <w:lang w:val="en-US" w:eastAsia="zh-CN"/>
        </w:rPr>
        <w:t>人</w:t>
      </w:r>
      <w:r>
        <w:rPr>
          <w:rFonts w:hint="eastAsia" w:ascii="宋体" w:hAnsi="宋体" w:eastAsia="宋体" w:cs="宋体"/>
          <w:color w:val="auto"/>
          <w:sz w:val="24"/>
          <w:szCs w:val="24"/>
          <w:highlight w:val="none"/>
        </w:rPr>
        <w:t>以银行转账形式（</w:t>
      </w:r>
      <w:r>
        <w:rPr>
          <w:rFonts w:hint="eastAsia" w:ascii="宋体" w:hAnsi="宋体" w:eastAsia="宋体" w:cs="宋体"/>
          <w:color w:val="auto"/>
          <w:sz w:val="24"/>
          <w:szCs w:val="24"/>
          <w:highlight w:val="none"/>
          <w:lang w:val="en-US" w:eastAsia="zh-CN"/>
        </w:rPr>
        <w:t>江西省植保植检站</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中国工商银行股份有限公司南昌高新支行</w:t>
      </w:r>
      <w:r>
        <w:rPr>
          <w:rFonts w:hint="eastAsia" w:ascii="宋体" w:hAnsi="宋体" w:eastAsia="宋体" w:cs="宋体"/>
          <w:color w:val="auto"/>
          <w:sz w:val="24"/>
          <w:szCs w:val="24"/>
          <w:highlight w:val="none"/>
        </w:rPr>
        <w:t>，账号：</w:t>
      </w:r>
      <w:r>
        <w:rPr>
          <w:rFonts w:hint="eastAsia" w:ascii="宋体" w:hAnsi="宋体" w:eastAsia="宋体" w:cs="宋体"/>
          <w:color w:val="auto"/>
          <w:sz w:val="24"/>
          <w:szCs w:val="24"/>
          <w:highlight w:val="none"/>
          <w:lang w:val="en-US" w:eastAsia="zh-CN"/>
        </w:rPr>
        <w:t>1502209529300166658</w:t>
      </w:r>
      <w:r>
        <w:rPr>
          <w:rFonts w:hint="eastAsia" w:ascii="宋体" w:hAnsi="宋体" w:eastAsia="宋体" w:cs="宋体"/>
          <w:color w:val="auto"/>
          <w:sz w:val="24"/>
          <w:szCs w:val="24"/>
          <w:highlight w:val="none"/>
        </w:rPr>
        <w:t>），或保险、支票、汇票、本票或者金融机构、担保机构出具的保函</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含电子保函</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等非现金形式向采购人提交履约保证金;逾期未交视为放弃</w:t>
      </w:r>
      <w:r>
        <w:rPr>
          <w:rFonts w:hint="eastAsia" w:ascii="宋体" w:hAnsi="宋体" w:eastAsia="宋体" w:cs="宋体"/>
          <w:color w:val="auto"/>
          <w:sz w:val="24"/>
          <w:szCs w:val="24"/>
          <w:highlight w:val="none"/>
          <w:lang w:val="en-US" w:eastAsia="zh-CN"/>
        </w:rPr>
        <w:t>中标</w:t>
      </w:r>
      <w:r>
        <w:rPr>
          <w:rFonts w:hint="eastAsia" w:ascii="宋体" w:hAnsi="宋体" w:eastAsia="宋体" w:cs="宋体"/>
          <w:color w:val="auto"/>
          <w:sz w:val="24"/>
          <w:szCs w:val="24"/>
          <w:highlight w:val="none"/>
        </w:rPr>
        <w:t>。</w:t>
      </w:r>
    </w:p>
    <w:p w14:paraId="3B4FFB8E">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履约保证金退还方式、时间、条件：履约保证金在合同履行完毕并经采购人验收合格</w:t>
      </w:r>
      <w:r>
        <w:rPr>
          <w:rFonts w:hint="eastAsia" w:ascii="宋体" w:hAnsi="宋体" w:eastAsia="宋体" w:cs="宋体"/>
          <w:color w:val="auto"/>
          <w:sz w:val="24"/>
          <w:szCs w:val="24"/>
          <w:highlight w:val="none"/>
          <w:lang w:val="en-US" w:eastAsia="zh-CN"/>
        </w:rPr>
        <w:t>后依据合同条款要求</w:t>
      </w:r>
      <w:r>
        <w:rPr>
          <w:rFonts w:hint="eastAsia" w:ascii="宋体" w:hAnsi="宋体" w:eastAsia="宋体" w:cs="宋体"/>
          <w:color w:val="auto"/>
          <w:sz w:val="24"/>
          <w:szCs w:val="24"/>
          <w:highlight w:val="none"/>
        </w:rPr>
        <w:t>，由中标人向采购人提出退还履约保证金申请，采购人收到中标人申请后10个工作日内一次性退还（不计利息）。</w:t>
      </w:r>
    </w:p>
    <w:p w14:paraId="3EECEE98">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履约保证金不予退还情形：签订合同后，如中标人不按双方签订的合同规定履约，则没收其全部履约保证金，履约保证金不足以赔偿损失的，按实际损失赔偿。</w:t>
      </w:r>
    </w:p>
    <w:p w14:paraId="725CE9E3">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逾期退还履约保证金违约责任：采购人逾期退还履约保证金的，应按银行同期存款利率支付逾期利息，但因中标人原因造成除外。</w:t>
      </w:r>
    </w:p>
    <w:p w14:paraId="0A2B804A">
      <w:pPr>
        <w:keepNext w:val="0"/>
        <w:keepLines w:val="0"/>
        <w:pageBreakBefore w:val="0"/>
        <w:widowControl w:val="0"/>
        <w:numPr>
          <w:ilvl w:val="0"/>
          <w:numId w:val="2"/>
        </w:numPr>
        <w:kinsoku/>
        <w:wordWrap/>
        <w:overflowPunct/>
        <w:topLinePunct w:val="0"/>
        <w:autoSpaceDE/>
        <w:autoSpaceDN/>
        <w:bidi w:val="0"/>
        <w:adjustRightInd/>
        <w:snapToGrid/>
        <w:spacing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付款方式：设备抵达各县安装、调试并交付使用，各县全部出具初步验收报告后支付合同金额的</w:t>
      </w: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0%，所有货物自采购人最终验收、签署验收合格证书</w:t>
      </w:r>
      <w:r>
        <w:rPr>
          <w:rFonts w:hint="eastAsia" w:ascii="宋体" w:hAnsi="宋体" w:eastAsia="宋体" w:cs="宋体"/>
          <w:color w:val="auto"/>
          <w:sz w:val="24"/>
          <w:szCs w:val="24"/>
          <w:highlight w:val="none"/>
          <w:lang w:val="en-US" w:eastAsia="zh-CN"/>
        </w:rPr>
        <w:t>后</w:t>
      </w:r>
      <w:r>
        <w:rPr>
          <w:rFonts w:hint="eastAsia" w:ascii="宋体" w:hAnsi="宋体" w:eastAsia="宋体" w:cs="宋体"/>
          <w:color w:val="auto"/>
          <w:sz w:val="24"/>
          <w:szCs w:val="24"/>
          <w:highlight w:val="none"/>
        </w:rPr>
        <w:t>支付合同金额的10%（以上所有货款均在</w:t>
      </w:r>
      <w:r>
        <w:rPr>
          <w:rFonts w:hint="eastAsia" w:ascii="宋体" w:hAnsi="宋体" w:eastAsia="宋体" w:cs="宋体"/>
          <w:color w:val="auto"/>
          <w:sz w:val="24"/>
          <w:szCs w:val="24"/>
          <w:highlight w:val="none"/>
          <w:lang w:val="en-US" w:eastAsia="zh-CN"/>
        </w:rPr>
        <w:t>达到付款条件且采购人收到中标人</w:t>
      </w:r>
      <w:r>
        <w:rPr>
          <w:rFonts w:hint="eastAsia" w:ascii="宋体" w:hAnsi="宋体" w:eastAsia="宋体" w:cs="宋体"/>
          <w:color w:val="auto"/>
          <w:sz w:val="24"/>
          <w:szCs w:val="24"/>
          <w:highlight w:val="none"/>
        </w:rPr>
        <w:t>开具</w:t>
      </w:r>
      <w:r>
        <w:rPr>
          <w:rFonts w:hint="eastAsia" w:ascii="宋体" w:hAnsi="宋体" w:eastAsia="宋体" w:cs="宋体"/>
          <w:color w:val="auto"/>
          <w:sz w:val="24"/>
          <w:szCs w:val="24"/>
          <w:highlight w:val="none"/>
          <w:lang w:val="en-US" w:eastAsia="zh-CN"/>
        </w:rPr>
        <w:t>的等额合法有效的增值税</w:t>
      </w:r>
      <w:r>
        <w:rPr>
          <w:rFonts w:hint="eastAsia" w:ascii="宋体" w:hAnsi="宋体" w:eastAsia="宋体" w:cs="宋体"/>
          <w:color w:val="auto"/>
          <w:sz w:val="24"/>
          <w:szCs w:val="24"/>
          <w:highlight w:val="none"/>
        </w:rPr>
        <w:t>发票后10个工作日内支付）。</w:t>
      </w:r>
    </w:p>
    <w:p w14:paraId="0F1B30D7">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4）包装运输：</w:t>
      </w:r>
    </w:p>
    <w:p w14:paraId="4C5BC118">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（1）供应商应在货物发运前对其进行满足于运输距离、防潮和防破损装卸要求的包装，以保证货物安全运输到达采购人指定地点。</w:t>
      </w:r>
    </w:p>
    <w:p w14:paraId="6C2D5213">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（2）质量检验证明书以及清单等一并附于货物内。</w:t>
      </w:r>
    </w:p>
    <w:p w14:paraId="152C1287">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（3）供应商负责将货物安全运送到采购人指定地点，不另收任何费用。</w:t>
      </w:r>
    </w:p>
    <w:p w14:paraId="41776D45">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（4）货物在交货前发生的不可预见的风险均由供应商负责。</w:t>
      </w:r>
    </w:p>
    <w:p w14:paraId="4BDA9217">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（5）货物在发运手续办理完毕后24小时内或货到前48小时通知采购人指定的收货人，以准备接货。</w:t>
      </w:r>
    </w:p>
    <w:p w14:paraId="2D562420">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（6）采用本行业通用的方式或国家标准进行包装，且该包装应符合国家有关法律、法规的规定。</w:t>
      </w:r>
    </w:p>
    <w:p w14:paraId="72D24943">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5）验收：</w:t>
      </w:r>
      <w:r>
        <w:rPr>
          <w:rFonts w:hint="eastAsia" w:ascii="宋体" w:hAnsi="宋体" w:eastAsia="宋体" w:cs="宋体"/>
          <w:color w:val="auto"/>
          <w:sz w:val="24"/>
          <w:szCs w:val="24"/>
          <w:highlight w:val="none"/>
          <w:lang w:val="en-US" w:eastAsia="zh-CN"/>
        </w:rPr>
        <w:t>货物到货安装调试完成后由中标人向招标人提出初步验收(外观、质量及数量验收)申请，采购人组织项目县农业农村部门开展初步验收。货物安装完成正常运行30天后，由中标人提出终验申请，项目采购人同意后，相关部门及人员形成验收小组，验收小组根据采购文件、投标文件、合同等项目文件约宝内容对项目进行最终验收。如验收达不到规定要求，采购人有权要求更换货物或拒绝付款，中标人若违约，采购人将依法追究相应法律责任。</w:t>
      </w:r>
    </w:p>
    <w:p w14:paraId="51E900CF">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6</w:t>
      </w:r>
      <w:r>
        <w:rPr>
          <w:rFonts w:hint="eastAsia" w:ascii="宋体" w:hAnsi="宋体" w:eastAsia="宋体" w:cs="宋体"/>
          <w:b/>
          <w:bCs/>
          <w:color w:val="auto"/>
          <w:sz w:val="24"/>
          <w:szCs w:val="24"/>
          <w:highlight w:val="none"/>
        </w:rPr>
        <w:t>）售后服务：</w:t>
      </w:r>
    </w:p>
    <w:p w14:paraId="7E64AAF5">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1）本项目质量保证期要求不低于5年。质量保证期从货物供货、安装、调试正常且经采购人验收合格后开始计算。质量保证期内，非人为因素的质量问题，一切无条件</w:t>
      </w:r>
      <w:r>
        <w:rPr>
          <w:rFonts w:hint="eastAsia" w:ascii="宋体" w:hAnsi="宋体" w:eastAsia="宋体" w:cs="宋体"/>
          <w:color w:val="auto"/>
          <w:sz w:val="24"/>
          <w:szCs w:val="24"/>
          <w:highlight w:val="none"/>
          <w:lang w:val="en-US" w:eastAsia="zh-CN"/>
        </w:rPr>
        <w:t>免费</w:t>
      </w:r>
      <w:r>
        <w:rPr>
          <w:rFonts w:hint="eastAsia" w:ascii="宋体" w:hAnsi="宋体" w:eastAsia="宋体" w:cs="宋体"/>
          <w:color w:val="auto"/>
          <w:sz w:val="24"/>
          <w:szCs w:val="24"/>
          <w:highlight w:val="none"/>
        </w:rPr>
        <w:t>调换、维修；</w:t>
      </w:r>
      <w:r>
        <w:rPr>
          <w:rFonts w:hint="eastAsia" w:ascii="宋体" w:hAnsi="宋体" w:eastAsia="宋体" w:cs="宋体"/>
          <w:color w:val="auto"/>
          <w:sz w:val="24"/>
          <w:szCs w:val="24"/>
          <w:highlight w:val="none"/>
          <w:lang w:val="en-US" w:eastAsia="zh-CN"/>
        </w:rPr>
        <w:t>因采购人或使用部门人员操作不当等</w:t>
      </w:r>
      <w:r>
        <w:rPr>
          <w:rFonts w:hint="eastAsia" w:ascii="宋体" w:hAnsi="宋体" w:eastAsia="宋体" w:cs="宋体"/>
          <w:color w:val="auto"/>
          <w:sz w:val="24"/>
          <w:szCs w:val="24"/>
          <w:highlight w:val="none"/>
        </w:rPr>
        <w:t>人为因素</w:t>
      </w:r>
      <w:r>
        <w:rPr>
          <w:rFonts w:hint="eastAsia" w:ascii="宋体" w:hAnsi="宋体" w:eastAsia="宋体" w:cs="宋体"/>
          <w:color w:val="auto"/>
          <w:sz w:val="24"/>
          <w:szCs w:val="24"/>
          <w:highlight w:val="none"/>
          <w:lang w:val="en-US" w:eastAsia="zh-CN"/>
        </w:rPr>
        <w:t>的质量问题</w:t>
      </w:r>
      <w:r>
        <w:rPr>
          <w:rFonts w:hint="eastAsia" w:ascii="宋体" w:hAnsi="宋体" w:eastAsia="宋体" w:cs="宋体"/>
          <w:color w:val="auto"/>
          <w:sz w:val="24"/>
          <w:szCs w:val="24"/>
          <w:highlight w:val="none"/>
        </w:rPr>
        <w:t>则予以免费维修</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免费及时升级设备软件；免费每年组织1次不少于20人的技术培训和总结提升会；负责支付监测点运行维护的电费和网络费用</w:t>
      </w:r>
      <w:r>
        <w:rPr>
          <w:rFonts w:hint="eastAsia" w:ascii="宋体" w:hAnsi="宋体" w:eastAsia="宋体" w:cs="宋体"/>
          <w:color w:val="auto"/>
          <w:sz w:val="24"/>
          <w:szCs w:val="24"/>
          <w:highlight w:val="none"/>
          <w:lang w:eastAsia="zh-CN"/>
        </w:rPr>
        <w:t>。</w:t>
      </w:r>
    </w:p>
    <w:p w14:paraId="79082424">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质量保证期外，中标人</w:t>
      </w:r>
      <w:r>
        <w:rPr>
          <w:rFonts w:hint="eastAsia" w:ascii="宋体" w:hAnsi="宋体" w:eastAsia="宋体" w:cs="宋体"/>
          <w:b/>
          <w:bCs/>
          <w:color w:val="auto"/>
          <w:sz w:val="24"/>
          <w:szCs w:val="24"/>
          <w:highlight w:val="none"/>
          <w:lang w:val="en-US" w:eastAsia="zh-CN"/>
        </w:rPr>
        <w:t>仅</w:t>
      </w:r>
      <w:r>
        <w:rPr>
          <w:rFonts w:hint="eastAsia" w:ascii="宋体" w:hAnsi="宋体" w:eastAsia="宋体" w:cs="宋体"/>
          <w:b/>
          <w:bCs/>
          <w:color w:val="auto"/>
          <w:sz w:val="24"/>
          <w:szCs w:val="24"/>
          <w:highlight w:val="none"/>
          <w:lang w:eastAsia="zh-CN"/>
        </w:rPr>
        <w:t>按成本价收取材料费</w:t>
      </w:r>
      <w:r>
        <w:rPr>
          <w:rFonts w:hint="eastAsia" w:ascii="宋体" w:hAnsi="宋体" w:eastAsia="宋体" w:cs="宋体"/>
          <w:b/>
          <w:bCs/>
          <w:color w:val="auto"/>
          <w:sz w:val="24"/>
          <w:szCs w:val="24"/>
          <w:highlight w:val="none"/>
          <w:lang w:val="en-US" w:eastAsia="zh-CN"/>
        </w:rPr>
        <w:t>进行维修</w:t>
      </w:r>
      <w:r>
        <w:rPr>
          <w:rFonts w:hint="eastAsia" w:ascii="宋体" w:hAnsi="宋体" w:eastAsia="宋体" w:cs="宋体"/>
          <w:b/>
          <w:bCs/>
          <w:color w:val="auto"/>
          <w:sz w:val="24"/>
          <w:szCs w:val="24"/>
          <w:highlight w:val="none"/>
          <w:lang w:eastAsia="zh-CN"/>
        </w:rPr>
        <w:t>。</w:t>
      </w:r>
    </w:p>
    <w:p w14:paraId="6053A781">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rPr>
        <w:t>2）</w:t>
      </w:r>
      <w:r>
        <w:rPr>
          <w:rFonts w:hint="eastAsia" w:ascii="宋体" w:hAnsi="宋体" w:eastAsia="宋体" w:cs="宋体"/>
          <w:b/>
          <w:bCs/>
          <w:color w:val="auto"/>
          <w:sz w:val="24"/>
          <w:szCs w:val="24"/>
          <w:highlight w:val="none"/>
          <w:lang w:val="en-US" w:eastAsia="zh-CN"/>
        </w:rPr>
        <w:t>投标文件中</w:t>
      </w:r>
      <w:r>
        <w:rPr>
          <w:rFonts w:hint="eastAsia" w:ascii="宋体" w:hAnsi="宋体" w:eastAsia="宋体" w:cs="宋体"/>
          <w:b/>
          <w:bCs/>
          <w:color w:val="auto"/>
          <w:sz w:val="24"/>
          <w:szCs w:val="24"/>
          <w:highlight w:val="none"/>
        </w:rPr>
        <w:t>详细列出售后服务中心地址、电话、负责人和服务组织机构</w:t>
      </w:r>
      <w:r>
        <w:rPr>
          <w:rFonts w:hint="eastAsia" w:ascii="宋体" w:hAnsi="宋体" w:eastAsia="宋体" w:cs="宋体"/>
          <w:b/>
          <w:bCs/>
          <w:color w:val="auto"/>
          <w:sz w:val="24"/>
          <w:szCs w:val="24"/>
          <w:highlight w:val="none"/>
          <w:lang w:eastAsia="zh-CN"/>
        </w:rPr>
        <w:t>，售后</w:t>
      </w:r>
      <w:r>
        <w:rPr>
          <w:rFonts w:hint="eastAsia" w:ascii="宋体" w:hAnsi="宋体" w:eastAsia="宋体" w:cs="宋体"/>
          <w:b/>
          <w:bCs/>
          <w:color w:val="auto"/>
          <w:sz w:val="24"/>
          <w:szCs w:val="24"/>
          <w:highlight w:val="none"/>
          <w:lang w:val="en-US" w:eastAsia="zh-CN"/>
        </w:rPr>
        <w:t>服务人员不得少于6人，其中中级及以上职称（</w:t>
      </w:r>
      <w:r>
        <w:rPr>
          <w:rFonts w:hint="eastAsia" w:ascii="宋体" w:hAnsi="宋体" w:eastAsia="宋体" w:cs="宋体"/>
          <w:b/>
          <w:bCs w:val="0"/>
          <w:color w:val="auto"/>
          <w:sz w:val="24"/>
          <w:szCs w:val="24"/>
          <w:highlight w:val="none"/>
          <w:lang w:val="en-US" w:eastAsia="zh-CN" w:bidi="ar"/>
        </w:rPr>
        <w:t>专业：农业类或信息化类</w:t>
      </w:r>
      <w:r>
        <w:rPr>
          <w:rFonts w:hint="eastAsia" w:ascii="宋体" w:hAnsi="宋体" w:eastAsia="宋体" w:cs="宋体"/>
          <w:b/>
          <w:bCs/>
          <w:color w:val="auto"/>
          <w:sz w:val="24"/>
          <w:szCs w:val="24"/>
          <w:highlight w:val="none"/>
          <w:lang w:val="en-US" w:eastAsia="zh-CN"/>
        </w:rPr>
        <w:t>）人员不少于3人。</w:t>
      </w:r>
    </w:p>
    <w:p w14:paraId="557063BD">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中标人</w:t>
      </w:r>
      <w:r>
        <w:rPr>
          <w:rFonts w:hint="eastAsia" w:ascii="宋体" w:hAnsi="宋体" w:eastAsia="宋体" w:cs="宋体"/>
          <w:color w:val="auto"/>
          <w:sz w:val="24"/>
          <w:szCs w:val="24"/>
          <w:highlight w:val="none"/>
        </w:rPr>
        <w:t>必须保证针对本项目有单独建立的服务档案，使用、维护情况必须得到完整的记录，以保证提供的售后服务准确、周到、及时。</w:t>
      </w:r>
    </w:p>
    <w:p w14:paraId="3C2D02DC">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3）售后服务响应时间：质量保证期内中标人必须提供7*24小时即时响应服务并具有应急处理能力，一般故障4小时解决，重大故障8小时解决，所有维护服务方式均为中标人上门服务，即由中标人派人员到采购人及用户使用现场处理；由此产生的一切费用均由中标人承担，不再向采购人和用户收取费用。若问题、故障在检修后仍无法解决，中标人应在48小时内提供不低于故障货物规格型号档次的备用货物供采购人使用，直至故障货物修复（费用包含在投标报价中）。</w:t>
      </w:r>
    </w:p>
    <w:p w14:paraId="69094988">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宋体" w:hAnsi="宋体" w:eastAsia="宋体" w:cs="宋体"/>
          <w:b/>
          <w:bCs/>
          <w:color w:val="auto"/>
          <w:kern w:val="2"/>
          <w:sz w:val="24"/>
          <w:szCs w:val="24"/>
          <w:highlight w:val="none"/>
          <w:lang w:val="en-US" w:eastAsia="zh-CN" w:bidi="ar"/>
        </w:rPr>
      </w:pP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4</w:t>
      </w:r>
      <w:r>
        <w:rPr>
          <w:rFonts w:hint="eastAsia" w:ascii="宋体" w:hAnsi="宋体" w:eastAsia="宋体" w:cs="宋体"/>
          <w:b/>
          <w:bCs/>
          <w:color w:val="auto"/>
          <w:sz w:val="24"/>
          <w:szCs w:val="24"/>
          <w:highlight w:val="none"/>
        </w:rPr>
        <w:t>）</w:t>
      </w:r>
      <w:r>
        <w:rPr>
          <w:rFonts w:hint="eastAsia" w:ascii="宋体" w:hAnsi="宋体" w:eastAsia="宋体" w:cs="宋体"/>
          <w:b/>
          <w:bCs/>
          <w:color w:val="auto"/>
          <w:sz w:val="24"/>
          <w:szCs w:val="24"/>
          <w:highlight w:val="none"/>
          <w:lang w:val="en-US" w:eastAsia="zh-CN"/>
        </w:rPr>
        <w:t>投标人</w:t>
      </w:r>
      <w:r>
        <w:rPr>
          <w:rFonts w:hint="eastAsia" w:ascii="宋体" w:hAnsi="宋体" w:eastAsia="宋体" w:cs="宋体"/>
          <w:b/>
          <w:bCs/>
          <w:color w:val="auto"/>
          <w:kern w:val="2"/>
          <w:sz w:val="24"/>
          <w:szCs w:val="24"/>
          <w:highlight w:val="none"/>
          <w:lang w:val="en-US" w:eastAsia="zh-CN" w:bidi="ar"/>
        </w:rPr>
        <w:t>投标文件中提供针对本项目的售后服务方案，内容必须包括售后服务响应时间、专人专职服务方案、调换货计划、应急预案和使用人员培训。未提供或提供不符合要求投标无效。</w:t>
      </w:r>
    </w:p>
    <w:p w14:paraId="24689A4E">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val="en-US" w:eastAsia="zh-CN"/>
        </w:rPr>
        <w:t>7.</w:t>
      </w:r>
      <w:r>
        <w:rPr>
          <w:rFonts w:hint="eastAsia" w:ascii="宋体" w:hAnsi="宋体" w:eastAsia="宋体" w:cs="宋体"/>
          <w:b/>
          <w:bCs/>
          <w:color w:val="auto"/>
          <w:sz w:val="24"/>
          <w:szCs w:val="24"/>
          <w:highlight w:val="none"/>
        </w:rPr>
        <w:t>保险：</w:t>
      </w:r>
      <w:r>
        <w:rPr>
          <w:rFonts w:hint="eastAsia" w:ascii="宋体" w:hAnsi="宋体" w:eastAsia="宋体" w:cs="宋体"/>
          <w:color w:val="auto"/>
          <w:sz w:val="24"/>
          <w:szCs w:val="24"/>
          <w:highlight w:val="none"/>
          <w:lang w:val="en-US" w:eastAsia="zh-CN"/>
        </w:rPr>
        <w:t>中</w:t>
      </w:r>
      <w:r>
        <w:rPr>
          <w:rFonts w:hint="eastAsia" w:ascii="宋体" w:hAnsi="宋体" w:eastAsia="宋体" w:cs="宋体"/>
          <w:color w:val="auto"/>
          <w:sz w:val="24"/>
          <w:szCs w:val="24"/>
          <w:highlight w:val="none"/>
        </w:rPr>
        <w:t>标人负责货物运输过程中的所有保险费用。</w:t>
      </w:r>
    </w:p>
    <w:p w14:paraId="186ECDD5">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 xml:space="preserve">8.其他要求：  </w:t>
      </w:r>
    </w:p>
    <w:p w14:paraId="55C9C59B">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中标人应保证采购人在使用该货物或其任何一部分时不受第三方提出侵犯其专利权、商标权和设计权等知识产权或其他合法权益的起诉。如果任何第三方提出侵权指控或赔偿要求，中标人必须与第三方交涉，并承担发生和可能发生的一切损失、费用和法律责任。</w:t>
      </w:r>
    </w:p>
    <w:p w14:paraId="17026B4F">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（2）自提交验收申请之日起7个工</w:t>
      </w:r>
      <w:r>
        <w:rPr>
          <w:rFonts w:hint="eastAsia" w:ascii="宋体" w:hAnsi="宋体" w:eastAsia="宋体" w:cs="宋体"/>
          <w:color w:val="auto"/>
          <w:sz w:val="24"/>
          <w:szCs w:val="24"/>
          <w:highlight w:val="none"/>
          <w:u w:val="none"/>
          <w:lang w:val="en-US" w:eastAsia="zh-CN"/>
        </w:rPr>
        <w:t>作</w:t>
      </w:r>
      <w:r>
        <w:rPr>
          <w:rFonts w:hint="eastAsia" w:ascii="宋体" w:hAnsi="宋体" w:eastAsia="宋体" w:cs="宋体"/>
          <w:color w:val="auto"/>
          <w:sz w:val="24"/>
          <w:szCs w:val="24"/>
          <w:highlight w:val="none"/>
          <w:lang w:val="en-US" w:eastAsia="zh-CN"/>
        </w:rPr>
        <w:t>日内，中标人必须将所有相关技术资料（包含并不仅限于：所提供产品的使用说明书、合格证、服务手册等；如所供产品属于信息安全产品的，须获得信息安全认证，提供由中国信息安全认证中心按国家标准认证颁发的有效认证证书。如所供产品属于政府强制采购节能产品清单内规定的低功耗节能产品的，提供节能产品认证证书；如所供产品为国家强制认证产品的，提供相关3C认证证书复印件）交采购人留存备案，资料原件随机交由使用单位（用户）保管。</w:t>
      </w:r>
    </w:p>
    <w:p w14:paraId="4E463EA0">
      <w:pPr>
        <w:keepNext w:val="0"/>
        <w:keepLines w:val="0"/>
        <w:pageBreakBefore w:val="0"/>
        <w:widowControl w:val="0"/>
        <w:kinsoku/>
        <w:wordWrap/>
        <w:overflowPunct/>
        <w:topLinePunct w:val="0"/>
        <w:autoSpaceDE/>
        <w:autoSpaceDN/>
        <w:bidi w:val="0"/>
        <w:adjustRightInd/>
        <w:snapToGrid/>
        <w:spacing w:line="480" w:lineRule="exact"/>
        <w:ind w:firstLine="482"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9.争议处理：</w:t>
      </w:r>
    </w:p>
    <w:p w14:paraId="557810A5">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宋体" w:hAnsi="宋体" w:eastAsia="宋体" w:cs="宋体"/>
          <w:b/>
          <w:bCs/>
          <w:color w:val="auto"/>
          <w:spacing w:val="2"/>
          <w:sz w:val="24"/>
          <w:szCs w:val="24"/>
          <w:highlight w:val="none"/>
          <w:lang w:eastAsia="zh-CN"/>
        </w:rPr>
      </w:pPr>
      <w:r>
        <w:rPr>
          <w:rFonts w:hint="eastAsia" w:ascii="宋体" w:hAnsi="宋体" w:eastAsia="宋体" w:cs="宋体"/>
          <w:color w:val="auto"/>
          <w:sz w:val="24"/>
          <w:szCs w:val="24"/>
          <w:highlight w:val="none"/>
          <w:lang w:val="en-US" w:eastAsia="zh-CN"/>
        </w:rPr>
        <w:t>合同在履行过程中如发生纠纷，首先应由采购人</w:t>
      </w:r>
      <w:r>
        <w:rPr>
          <w:rFonts w:hint="eastAsia" w:ascii="宋体" w:hAnsi="宋体" w:cs="宋体"/>
          <w:color w:val="auto"/>
          <w:sz w:val="24"/>
          <w:szCs w:val="24"/>
          <w:highlight w:val="none"/>
          <w:lang w:val="en-US" w:eastAsia="zh-CN"/>
        </w:rPr>
        <w:t>和</w:t>
      </w:r>
      <w:r>
        <w:rPr>
          <w:rFonts w:hint="eastAsia" w:ascii="宋体" w:hAnsi="宋体" w:eastAsia="宋体" w:cs="宋体"/>
          <w:color w:val="auto"/>
          <w:sz w:val="24"/>
          <w:szCs w:val="24"/>
          <w:highlight w:val="none"/>
          <w:lang w:val="en-US" w:eastAsia="zh-CN"/>
        </w:rPr>
        <w:t>中标人双方协商解决；如协商不能解决，任何一方均可向采购人所在地人民法院提起诉讼，依法解决。</w:t>
      </w:r>
    </w:p>
    <w:p w14:paraId="1B88DB54">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宋体" w:hAnsi="宋体" w:eastAsia="宋体" w:cs="宋体"/>
          <w:color w:val="auto"/>
          <w:sz w:val="24"/>
          <w:szCs w:val="24"/>
          <w:highlight w:val="none"/>
          <w:lang w:val="en-US" w:eastAsia="zh-CN"/>
        </w:rPr>
      </w:pPr>
    </w:p>
    <w:p w14:paraId="5AA46A09">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lang w:val="en-US" w:eastAsia="zh-CN"/>
        </w:rPr>
        <w:t>注：以上“商务要求”为实质性条款须完全响应，否则投标无效。</w:t>
      </w:r>
    </w:p>
    <w:p w14:paraId="1B85A7CA">
      <w:pPr>
        <w:pStyle w:val="3"/>
        <w:jc w:val="center"/>
        <w:rPr>
          <w:rFonts w:hint="default"/>
          <w:sz w:val="24"/>
          <w:szCs w:val="24"/>
          <w:lang w:val="en-US" w:eastAsia="zh-CN"/>
        </w:rPr>
      </w:pPr>
    </w:p>
    <w:sectPr>
      <w:pgSz w:w="11906" w:h="16838"/>
      <w:pgMar w:top="1440" w:right="1800" w:bottom="1440" w:left="1463"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E8218C5"/>
    <w:multiLevelType w:val="singleLevel"/>
    <w:tmpl w:val="0E8218C5"/>
    <w:lvl w:ilvl="0" w:tentative="0">
      <w:start w:val="2"/>
      <w:numFmt w:val="chineseCounting"/>
      <w:suff w:val="space"/>
      <w:lvlText w:val="（%1）"/>
      <w:lvlJc w:val="left"/>
      <w:rPr>
        <w:rFonts w:hint="eastAsia"/>
      </w:rPr>
    </w:lvl>
  </w:abstractNum>
  <w:abstractNum w:abstractNumId="1">
    <w:nsid w:val="34EB37E0"/>
    <w:multiLevelType w:val="singleLevel"/>
    <w:tmpl w:val="34EB37E0"/>
    <w:lvl w:ilvl="0" w:tentative="0">
      <w:start w:val="2"/>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A974782"/>
    <w:rsid w:val="46334724"/>
    <w:rsid w:val="47EB1158"/>
    <w:rsid w:val="486A6E89"/>
    <w:rsid w:val="4AE42F23"/>
    <w:rsid w:val="509253A3"/>
    <w:rsid w:val="59D874E3"/>
    <w:rsid w:val="5B2A5E95"/>
    <w:rsid w:val="5EEA0D24"/>
    <w:rsid w:val="67A86CAF"/>
    <w:rsid w:val="6A130CD7"/>
    <w:rsid w:val="73195C93"/>
    <w:rsid w:val="756F57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9">
    <w:name w:val="Default Paragraph Font"/>
    <w:semiHidden/>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Body Text"/>
    <w:basedOn w:val="1"/>
    <w:next w:val="1"/>
    <w:unhideWhenUsed/>
    <w:qFormat/>
    <w:uiPriority w:val="0"/>
    <w:pPr>
      <w:spacing w:after="120"/>
    </w:pPr>
  </w:style>
  <w:style w:type="paragraph" w:styleId="4">
    <w:name w:val="footer"/>
    <w:basedOn w:val="1"/>
    <w:qFormat/>
    <w:uiPriority w:val="0"/>
    <w:pPr>
      <w:tabs>
        <w:tab w:val="center" w:pos="4153"/>
        <w:tab w:val="right" w:pos="8306"/>
      </w:tabs>
    </w:pPr>
    <w:rPr>
      <w:sz w:val="18"/>
    </w:rPr>
  </w:style>
  <w:style w:type="paragraph" w:styleId="5">
    <w:name w:val="Body Text 2"/>
    <w:basedOn w:val="1"/>
    <w:qFormat/>
    <w:uiPriority w:val="0"/>
    <w:pPr>
      <w:spacing w:line="300" w:lineRule="auto"/>
    </w:pPr>
    <w:rPr>
      <w:rFonts w:ascii="宋体" w:hAnsi="宋体"/>
      <w:color w:val="0000FF"/>
      <w:sz w:val="24"/>
      <w:szCs w:val="24"/>
    </w:rPr>
  </w:style>
  <w:style w:type="paragraph" w:styleId="6">
    <w:name w:val="Body Text First Indent"/>
    <w:basedOn w:val="3"/>
    <w:next w:val="1"/>
    <w:qFormat/>
    <w:uiPriority w:val="0"/>
    <w:pPr>
      <w:ind w:firstLine="420" w:firstLineChars="100"/>
    </w:p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Strong"/>
    <w:basedOn w:val="9"/>
    <w:qFormat/>
    <w:uiPriority w:val="0"/>
    <w:rPr>
      <w:b/>
    </w:rPr>
  </w:style>
  <w:style w:type="character" w:customStyle="1" w:styleId="11">
    <w:name w:val="NormalCharacter"/>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21</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2025-08-11T01:27:00Z</dcterms:created>
  <dc:creator>Administrator</dc:creator>
  <cp:lastModifiedBy>Administrator</cp:lastModifiedBy>
  <dcterms:modified xsi:type="dcterms:W3CDTF">2026-06-16T08:23:23Z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eyJoZGlkIjoiOGVhZTNlMDI4ZTY5ODVkMWVhNTc3ZjFhZjNlZDdkMTEiLCJ1c2VySWQiOiI1NzEyNjk3NjUifQ==</vt:lpwstr>
  </property>
  <property fmtid="{D5CDD505-2E9C-101B-9397-08002B2CF9AE}" pid="4" name="ICV">
    <vt:lpwstr>EFCA7A7288214952ACC83393368A0215_12</vt:lpwstr>
  </property>
</Properties>
</file>