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8AC3F3">
      <w:pPr>
        <w:keepNext w:val="0"/>
        <w:keepLines w:val="0"/>
        <w:pageBreakBefore w:val="0"/>
        <w:widowControl/>
        <w:suppressLineNumbers w:val="0"/>
        <w:kinsoku/>
        <w:overflowPunct/>
        <w:topLinePunct w:val="0"/>
        <w:bidi w:val="0"/>
        <w:spacing w:line="360" w:lineRule="auto"/>
        <w:jc w:val="left"/>
        <w:outlineLvl w:val="2"/>
        <w:rPr>
          <w:sz w:val="20"/>
          <w:szCs w:val="20"/>
        </w:rPr>
      </w:pPr>
      <w:r>
        <w:rPr>
          <w:rFonts w:hint="eastAsia" w:ascii="宋体" w:hAnsi="宋体" w:eastAsia="宋体" w:cs="宋体"/>
          <w:b/>
          <w:bCs/>
          <w:color w:val="000000"/>
          <w:kern w:val="0"/>
          <w:sz w:val="24"/>
          <w:szCs w:val="24"/>
          <w:lang w:val="en-US" w:eastAsia="zh-CN" w:bidi="ar"/>
        </w:rPr>
        <w:t>（一）项目概要</w:t>
      </w:r>
    </w:p>
    <w:p w14:paraId="63AB3302">
      <w:pPr>
        <w:keepNext w:val="0"/>
        <w:keepLines w:val="0"/>
        <w:pageBreakBefore w:val="0"/>
        <w:widowControl/>
        <w:suppressLineNumbers w:val="0"/>
        <w:kinsoku/>
        <w:overflowPunct/>
        <w:topLinePunct w:val="0"/>
        <w:bidi w:val="0"/>
        <w:spacing w:line="360" w:lineRule="auto"/>
        <w:ind w:firstLine="480" w:firstLineChars="200"/>
        <w:jc w:val="left"/>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对产品质量实行以抽查为主要方式的监督检查制度，对可能危及人体健康和人身、财产安全的产品，影响国计民生的重要工业产品以及用户、消费者、有关组织反映的有质量问题的产品进行抽查。产品质量监督抽查是政府对产品通过抽样检验的方式进行质量监督的一种制度性安排。通过实施监督抽查，扶优治劣、引导消费，督促企业提升产品质量保障能力，促进产品质量整体水平提高。</w:t>
      </w:r>
    </w:p>
    <w:p w14:paraId="1D4EDC16">
      <w:pPr>
        <w:keepNext w:val="0"/>
        <w:keepLines w:val="0"/>
        <w:pageBreakBefore w:val="0"/>
        <w:widowControl/>
        <w:suppressLineNumbers w:val="0"/>
        <w:kinsoku/>
        <w:overflowPunct/>
        <w:topLinePunct w:val="0"/>
        <w:bidi w:val="0"/>
        <w:spacing w:line="360" w:lineRule="auto"/>
        <w:ind w:firstLine="480" w:firstLineChars="200"/>
        <w:jc w:val="left"/>
        <w:rPr>
          <w:rFonts w:hint="eastAsia" w:ascii="宋体" w:hAnsi="宋体" w:eastAsia="宋体" w:cs="宋体"/>
          <w:color w:val="000000"/>
          <w:kern w:val="0"/>
          <w:sz w:val="24"/>
          <w:szCs w:val="24"/>
          <w:lang w:val="en-US" w:eastAsia="zh-CN" w:bidi="ar"/>
        </w:rPr>
      </w:pPr>
    </w:p>
    <w:p w14:paraId="3CD7384E">
      <w:pPr>
        <w:keepNext w:val="0"/>
        <w:keepLines w:val="0"/>
        <w:pageBreakBefore w:val="0"/>
        <w:widowControl/>
        <w:suppressLineNumbers w:val="0"/>
        <w:kinsoku/>
        <w:overflowPunct/>
        <w:topLinePunct w:val="0"/>
        <w:bidi w:val="0"/>
        <w:spacing w:line="360" w:lineRule="auto"/>
        <w:jc w:val="left"/>
        <w:outlineLvl w:val="2"/>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（二）</w:t>
      </w:r>
      <w:r>
        <w:rPr>
          <w:rFonts w:hint="eastAsia" w:ascii="宋体" w:hAnsi="宋体" w:cs="宋体"/>
          <w:b/>
          <w:bCs/>
          <w:color w:val="000000"/>
          <w:kern w:val="0"/>
          <w:sz w:val="24"/>
          <w:szCs w:val="24"/>
          <w:lang w:val="en-US" w:eastAsia="zh-CN" w:bidi="ar"/>
        </w:rPr>
        <w:t>技术</w:t>
      </w:r>
      <w:r>
        <w:rPr>
          <w:rFonts w:hint="eastAsia" w:ascii="宋体" w:hAnsi="宋体" w:eastAsia="宋体" w:cs="宋体"/>
          <w:b/>
          <w:bCs/>
          <w:color w:val="000000"/>
          <w:kern w:val="0"/>
          <w:sz w:val="24"/>
          <w:szCs w:val="24"/>
          <w:lang w:val="en-US" w:eastAsia="zh-CN" w:bidi="ar"/>
        </w:rPr>
        <w:t>要求</w:t>
      </w:r>
    </w:p>
    <w:p w14:paraId="01402EE8">
      <w:pPr>
        <w:keepNext w:val="0"/>
        <w:keepLines w:val="0"/>
        <w:pageBreakBefore w:val="0"/>
        <w:widowControl/>
        <w:suppressLineNumbers w:val="0"/>
        <w:kinsoku/>
        <w:overflowPunct/>
        <w:topLinePunct w:val="0"/>
        <w:bidi w:val="0"/>
        <w:spacing w:line="360" w:lineRule="auto"/>
        <w:jc w:val="left"/>
      </w:pPr>
      <w:r>
        <w:rPr>
          <w:rFonts w:hint="eastAsia" w:ascii="宋体" w:hAnsi="宋体" w:eastAsia="宋体" w:cs="宋体"/>
          <w:color w:val="000000"/>
          <w:kern w:val="0"/>
          <w:sz w:val="24"/>
          <w:szCs w:val="24"/>
          <w:lang w:val="en-US" w:eastAsia="zh-CN" w:bidi="ar"/>
        </w:rPr>
        <w:t>（1）严格遵守</w:t>
      </w:r>
      <w:r>
        <w:rPr>
          <w:rFonts w:hint="eastAsia" w:ascii="宋体" w:hAnsi="宋体" w:cs="宋体"/>
          <w:color w:val="000000"/>
          <w:kern w:val="0"/>
          <w:sz w:val="24"/>
          <w:szCs w:val="24"/>
          <w:lang w:val="en-US" w:eastAsia="zh-CN" w:bidi="ar"/>
        </w:rPr>
        <w:t>法律法规</w:t>
      </w:r>
      <w:r>
        <w:rPr>
          <w:rFonts w:hint="eastAsia" w:ascii="宋体" w:hAnsi="宋体" w:eastAsia="宋体" w:cs="宋体"/>
          <w:color w:val="000000"/>
          <w:kern w:val="0"/>
          <w:sz w:val="24"/>
          <w:szCs w:val="24"/>
          <w:lang w:val="en-US" w:eastAsia="zh-CN" w:bidi="ar"/>
        </w:rPr>
        <w:t>的规定和检验工作有关纪律要求，确保检验结果真实有效</w:t>
      </w:r>
      <w:r>
        <w:rPr>
          <w:rFonts w:hint="eastAsia" w:ascii="宋体" w:hAnsi="宋体" w:cs="宋体"/>
          <w:color w:val="000000"/>
          <w:kern w:val="0"/>
          <w:sz w:val="24"/>
          <w:szCs w:val="24"/>
          <w:lang w:val="en-US" w:eastAsia="zh-CN" w:bidi="ar"/>
        </w:rPr>
        <w:t>；在</w:t>
      </w:r>
      <w:r>
        <w:rPr>
          <w:rFonts w:hint="eastAsia" w:ascii="宋体" w:hAnsi="宋体" w:eastAsia="宋体" w:cs="宋体"/>
          <w:color w:val="000000"/>
          <w:kern w:val="0"/>
          <w:sz w:val="24"/>
          <w:szCs w:val="24"/>
          <w:lang w:val="en-US" w:eastAsia="zh-CN" w:bidi="ar"/>
        </w:rPr>
        <w:t xml:space="preserve">检验活动中无重大差错，能够保证检验结果质量；具有资质认定范围涵盖承担的产品监督抽查任务中相应的产品品种和检验项目； </w:t>
      </w:r>
    </w:p>
    <w:p w14:paraId="6C296483">
      <w:pPr>
        <w:keepNext w:val="0"/>
        <w:keepLines w:val="0"/>
        <w:pageBreakBefore w:val="0"/>
        <w:widowControl/>
        <w:suppressLineNumbers w:val="0"/>
        <w:kinsoku/>
        <w:overflowPunct/>
        <w:topLinePunct w:val="0"/>
        <w:bidi w:val="0"/>
        <w:spacing w:line="360" w:lineRule="auto"/>
        <w:jc w:val="left"/>
      </w:pPr>
      <w:r>
        <w:rPr>
          <w:rFonts w:hint="eastAsia" w:ascii="宋体" w:hAnsi="宋体" w:eastAsia="宋体" w:cs="宋体"/>
          <w:color w:val="000000"/>
          <w:kern w:val="0"/>
          <w:sz w:val="24"/>
          <w:szCs w:val="24"/>
          <w:lang w:val="en-US" w:eastAsia="zh-CN" w:bidi="ar"/>
        </w:rPr>
        <w:t xml:space="preserve">（2）负责样品的抽样、检验、检验报告的寄送、结果分析、异议复检和检验过程中技术问题的处理工作； </w:t>
      </w:r>
    </w:p>
    <w:p w14:paraId="43B14221">
      <w:pPr>
        <w:keepNext w:val="0"/>
        <w:keepLines w:val="0"/>
        <w:pageBreakBefore w:val="0"/>
        <w:widowControl/>
        <w:suppressLineNumbers w:val="0"/>
        <w:kinsoku/>
        <w:overflowPunct/>
        <w:topLinePunct w:val="0"/>
        <w:bidi w:val="0"/>
        <w:spacing w:line="360" w:lineRule="auto"/>
        <w:jc w:val="left"/>
      </w:pPr>
      <w:r>
        <w:rPr>
          <w:rFonts w:hint="eastAsia" w:ascii="宋体" w:hAnsi="宋体" w:eastAsia="宋体" w:cs="宋体"/>
          <w:color w:val="000000"/>
          <w:kern w:val="0"/>
          <w:sz w:val="24"/>
          <w:szCs w:val="24"/>
          <w:lang w:val="en-US" w:eastAsia="zh-CN" w:bidi="ar"/>
        </w:rPr>
        <w:t xml:space="preserve">（3）必须接受采购人对承担检验任务工作质量情况的监督检查和考核； </w:t>
      </w:r>
    </w:p>
    <w:p w14:paraId="0847F521">
      <w:pPr>
        <w:keepNext w:val="0"/>
        <w:keepLines w:val="0"/>
        <w:pageBreakBefore w:val="0"/>
        <w:widowControl/>
        <w:suppressLineNumbers w:val="0"/>
        <w:kinsoku/>
        <w:overflowPunct/>
        <w:topLinePunct w:val="0"/>
        <w:bidi w:val="0"/>
        <w:spacing w:line="360" w:lineRule="auto"/>
        <w:jc w:val="left"/>
      </w:pPr>
      <w:r>
        <w:rPr>
          <w:rFonts w:hint="eastAsia" w:ascii="宋体" w:hAnsi="宋体" w:eastAsia="宋体" w:cs="宋体"/>
          <w:color w:val="000000"/>
          <w:kern w:val="0"/>
          <w:sz w:val="24"/>
          <w:szCs w:val="24"/>
          <w:lang w:val="en-US" w:eastAsia="zh-CN" w:bidi="ar"/>
        </w:rPr>
        <w:t xml:space="preserve">（4）能按时完成采购人安排的临时性和应急性任务。 </w:t>
      </w:r>
    </w:p>
    <w:p w14:paraId="502FEB42">
      <w:pPr>
        <w:keepNext w:val="0"/>
        <w:keepLines w:val="0"/>
        <w:pageBreakBefore w:val="0"/>
        <w:widowControl/>
        <w:suppressLineNumbers w:val="0"/>
        <w:kinsoku/>
        <w:overflowPunct/>
        <w:topLinePunct w:val="0"/>
        <w:bidi w:val="0"/>
        <w:spacing w:line="360" w:lineRule="auto"/>
        <w:jc w:val="left"/>
      </w:pPr>
      <w:r>
        <w:rPr>
          <w:rFonts w:hint="eastAsia" w:ascii="宋体" w:hAnsi="宋体" w:eastAsia="宋体" w:cs="宋体"/>
          <w:color w:val="000000"/>
          <w:kern w:val="0"/>
          <w:sz w:val="24"/>
          <w:szCs w:val="24"/>
          <w:lang w:val="en-US" w:eastAsia="zh-CN" w:bidi="ar"/>
        </w:rPr>
        <w:t xml:space="preserve">（5）按照《中华人民共和国产品质量法》、《产品质量监督抽查管理暂行办法》抽样检验工作任务布置要求等开展此项工作。 </w:t>
      </w:r>
    </w:p>
    <w:p w14:paraId="75478C2E">
      <w:pPr>
        <w:keepNext w:val="0"/>
        <w:keepLines w:val="0"/>
        <w:pageBreakBefore w:val="0"/>
        <w:widowControl/>
        <w:suppressLineNumbers w:val="0"/>
        <w:kinsoku/>
        <w:overflowPunct/>
        <w:topLinePunct w:val="0"/>
        <w:bidi w:val="0"/>
        <w:spacing w:line="360" w:lineRule="auto"/>
        <w:jc w:val="left"/>
      </w:pPr>
      <w:r>
        <w:rPr>
          <w:rFonts w:hint="eastAsia" w:ascii="宋体" w:hAnsi="宋体" w:eastAsia="宋体" w:cs="宋体"/>
          <w:color w:val="000000"/>
          <w:kern w:val="0"/>
          <w:sz w:val="24"/>
          <w:szCs w:val="24"/>
          <w:lang w:val="en-US" w:eastAsia="zh-CN" w:bidi="ar"/>
        </w:rPr>
        <w:t xml:space="preserve">（6）投标人在承担任务时必须保证抽检分离。 </w:t>
      </w:r>
    </w:p>
    <w:p w14:paraId="6CB87A17">
      <w:pPr>
        <w:keepNext w:val="0"/>
        <w:keepLines w:val="0"/>
        <w:pageBreakBefore w:val="0"/>
        <w:widowControl/>
        <w:suppressLineNumbers w:val="0"/>
        <w:kinsoku/>
        <w:overflowPunct/>
        <w:topLinePunct w:val="0"/>
        <w:bidi w:val="0"/>
        <w:spacing w:line="360" w:lineRule="auto"/>
        <w:jc w:val="left"/>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（7）采购标的需满足的服务标准、期限、效率等要求：按采购人印发的抽查通知要求完成。</w:t>
      </w:r>
    </w:p>
    <w:p w14:paraId="0E5BEEE4">
      <w:pPr>
        <w:pageBreakBefore w:val="0"/>
        <w:widowControl w:val="0"/>
        <w:kinsoku/>
        <w:wordWrap/>
        <w:overflowPunct/>
        <w:topLinePunct w:val="0"/>
        <w:bidi w:val="0"/>
        <w:rPr>
          <w:color w:val="auto"/>
          <w:spacing w:val="0"/>
          <w:position w:val="0"/>
        </w:rPr>
        <w:sectPr>
          <w:footerReference r:id="rId3" w:type="default"/>
          <w:pgSz w:w="11911" w:h="16838"/>
          <w:pgMar w:top="1417" w:right="1417" w:bottom="1417" w:left="1417" w:header="0" w:footer="992" w:gutter="0"/>
          <w:pgNumType w:fmt="decimal"/>
          <w:cols w:space="0" w:num="1"/>
          <w:rtlGutter w:val="0"/>
          <w:docGrid w:linePitch="0" w:charSpace="0"/>
        </w:sectPr>
      </w:pPr>
    </w:p>
    <w:p w14:paraId="6EE8436B">
      <w:pPr>
        <w:pageBreakBefore w:val="0"/>
        <w:widowControl w:val="0"/>
        <w:kinsoku/>
        <w:wordWrap/>
        <w:overflowPunct/>
        <w:topLinePunct w:val="0"/>
        <w:bidi w:val="0"/>
        <w:spacing w:line="257" w:lineRule="auto"/>
        <w:rPr>
          <w:color w:val="auto"/>
          <w:spacing w:val="0"/>
          <w:position w:val="0"/>
        </w:rPr>
      </w:pPr>
      <w:bookmarkStart w:id="0" w:name="bookmark81"/>
      <w:bookmarkEnd w:id="0"/>
    </w:p>
    <w:p w14:paraId="532F9E55">
      <w:pPr>
        <w:pageBreakBefore w:val="0"/>
        <w:widowControl w:val="0"/>
        <w:kinsoku/>
        <w:wordWrap/>
        <w:overflowPunct/>
        <w:topLinePunct w:val="0"/>
        <w:bidi w:val="0"/>
        <w:spacing w:before="1" w:afterAutospacing="0" w:line="360" w:lineRule="auto"/>
        <w:jc w:val="both"/>
        <w:outlineLvl w:val="2"/>
        <w:rPr>
          <w:rFonts w:ascii="宋体" w:hAnsi="宋体" w:eastAsia="宋体" w:cs="宋体"/>
          <w:color w:val="auto"/>
          <w:spacing w:val="0"/>
          <w:position w:val="0"/>
          <w:sz w:val="24"/>
          <w:szCs w:val="24"/>
          <w:lang w:eastAsia="zh-CN"/>
        </w:rPr>
      </w:pPr>
      <w:r>
        <w:rPr>
          <w:rFonts w:ascii="宋体" w:hAnsi="宋体" w:eastAsia="宋体" w:cs="宋体"/>
          <w:b/>
          <w:bCs/>
          <w:color w:val="auto"/>
          <w:spacing w:val="0"/>
          <w:position w:val="0"/>
          <w:sz w:val="24"/>
          <w:szCs w:val="24"/>
          <w:lang w:eastAsia="zh-CN"/>
        </w:rPr>
        <w:t>（</w:t>
      </w:r>
      <w:r>
        <w:rPr>
          <w:rFonts w:hint="eastAsia" w:ascii="宋体" w:hAnsi="宋体" w:eastAsia="宋体" w:cs="宋体"/>
          <w:b/>
          <w:bCs/>
          <w:color w:val="auto"/>
          <w:spacing w:val="0"/>
          <w:position w:val="0"/>
          <w:sz w:val="24"/>
          <w:szCs w:val="24"/>
          <w:lang w:val="en-US" w:eastAsia="zh-CN"/>
        </w:rPr>
        <w:t>三</w:t>
      </w:r>
      <w:r>
        <w:rPr>
          <w:rFonts w:ascii="宋体" w:hAnsi="宋体" w:eastAsia="宋体" w:cs="宋体"/>
          <w:b/>
          <w:bCs/>
          <w:color w:val="auto"/>
          <w:spacing w:val="0"/>
          <w:position w:val="0"/>
          <w:sz w:val="24"/>
          <w:szCs w:val="24"/>
          <w:lang w:eastAsia="zh-CN"/>
        </w:rPr>
        <w:t>）</w:t>
      </w:r>
      <w:r>
        <w:rPr>
          <w:rFonts w:hint="eastAsia" w:ascii="宋体" w:hAnsi="宋体" w:eastAsia="宋体" w:cs="宋体"/>
          <w:b/>
          <w:bCs/>
          <w:color w:val="auto"/>
          <w:spacing w:val="0"/>
          <w:position w:val="0"/>
          <w:sz w:val="24"/>
          <w:szCs w:val="24"/>
          <w:lang w:val="en-US" w:eastAsia="zh-CN"/>
        </w:rPr>
        <w:t>采购需求</w:t>
      </w:r>
      <w:r>
        <w:rPr>
          <w:rFonts w:hint="eastAsia" w:ascii="宋体" w:hAnsi="宋体" w:eastAsia="宋体" w:cs="宋体"/>
          <w:b/>
          <w:bCs/>
          <w:i w:val="0"/>
          <w:iCs w:val="0"/>
          <w:snapToGrid w:val="0"/>
          <w:color w:val="000000"/>
          <w:kern w:val="0"/>
          <w:sz w:val="24"/>
          <w:szCs w:val="24"/>
          <w:u w:val="none"/>
          <w:lang w:val="en-US" w:eastAsia="zh-CN" w:bidi="ar"/>
        </w:rPr>
        <w:t>计划</w:t>
      </w:r>
      <w:r>
        <w:rPr>
          <w:rFonts w:hint="eastAsia" w:ascii="宋体" w:hAnsi="宋体" w:eastAsia="宋体" w:cs="宋体"/>
          <w:b/>
          <w:bCs/>
          <w:color w:val="auto"/>
          <w:spacing w:val="0"/>
          <w:position w:val="0"/>
          <w:sz w:val="24"/>
          <w:szCs w:val="24"/>
          <w:lang w:val="en-US" w:eastAsia="zh-CN"/>
        </w:rPr>
        <w:t>表</w:t>
      </w:r>
    </w:p>
    <w:tbl>
      <w:tblPr>
        <w:tblStyle w:val="3"/>
        <w:tblpPr w:leftFromText="180" w:rightFromText="180" w:vertAnchor="text" w:horzAnchor="page" w:tblpX="902" w:tblpY="469"/>
        <w:tblOverlap w:val="never"/>
        <w:tblW w:w="108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31"/>
        <w:gridCol w:w="844"/>
        <w:gridCol w:w="1031"/>
        <w:gridCol w:w="2115"/>
        <w:gridCol w:w="2942"/>
        <w:gridCol w:w="873"/>
        <w:gridCol w:w="696"/>
        <w:gridCol w:w="900"/>
        <w:gridCol w:w="988"/>
      </w:tblGrid>
      <w:tr w14:paraId="6671B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8" w:hRule="atLeast"/>
        </w:trPr>
        <w:tc>
          <w:tcPr>
            <w:tcW w:w="1082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54C83">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b/>
                <w:bCs/>
                <w:i w:val="0"/>
                <w:iCs w:val="0"/>
                <w:snapToGrid w:val="0"/>
                <w:color w:val="000000"/>
                <w:kern w:val="0"/>
                <w:sz w:val="21"/>
                <w:szCs w:val="21"/>
                <w:u w:val="none"/>
                <w:lang w:val="en-US" w:eastAsia="zh-CN" w:bidi="ar"/>
              </w:rPr>
              <w:t>南昌市2026年产品质量安全监督抽查计划表（金银珠宝）</w:t>
            </w:r>
          </w:p>
        </w:tc>
      </w:tr>
      <w:tr w14:paraId="07E75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6"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7C0B4">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序号</w:t>
            </w: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D48FB">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产品名称</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82EC0">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抽样领域</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96337">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检验项目</w:t>
            </w:r>
          </w:p>
        </w:tc>
        <w:tc>
          <w:tcPr>
            <w:tcW w:w="2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89815">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检测标准</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46C7C">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产品类别</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5569B">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拟抽批次数</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16DD8">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检验费单价（元/批）</w:t>
            </w:r>
          </w:p>
        </w:tc>
        <w:tc>
          <w:tcPr>
            <w:tcW w:w="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9C396">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合计  （元）</w:t>
            </w:r>
          </w:p>
        </w:tc>
      </w:tr>
      <w:tr w14:paraId="0E3B3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87"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35330">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0FB6A">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贵金属首饰</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（金、银、铂及其合金）</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236BA">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流通领域</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B5254">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质量、纯度、标签印记</w:t>
            </w:r>
          </w:p>
        </w:tc>
        <w:tc>
          <w:tcPr>
            <w:tcW w:w="2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CE801">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GB 11887-2012、GB/T 18043-2013、GB/T 31912-2015GB/T 33541-2017、QB/T 1690-2021，等等</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5D9FF">
            <w:pPr>
              <w:keepNext w:val="0"/>
              <w:keepLines w:val="0"/>
              <w:pageBreakBefore w:val="0"/>
              <w:widowControl/>
              <w:suppressLineNumbers w:val="0"/>
              <w:kinsoku/>
              <w:overflowPunct/>
              <w:topLinePunct w:val="0"/>
              <w:bidi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金银珠宝</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4E1E3">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40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329E0">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300</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C9170">
            <w:pPr>
              <w:keepNext w:val="0"/>
              <w:keepLines w:val="0"/>
              <w:pageBreakBefore w:val="0"/>
              <w:widowControl/>
              <w:suppressLineNumbers w:val="0"/>
              <w:kinsoku/>
              <w:overflowPunct/>
              <w:topLinePunct w:val="0"/>
              <w:bidi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12000</w:t>
            </w:r>
          </w:p>
        </w:tc>
      </w:tr>
      <w:tr w14:paraId="7E200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37"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E6F28">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w:t>
            </w: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AF346">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珠宝玉石</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0FDAF">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流通领域</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362D5">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质量、外观描述、折射率 双折射率、多色性、光性特征、放大检查、密度、荧光观察、红外光谱、紫外可见光谱、标签印记</w:t>
            </w:r>
          </w:p>
        </w:tc>
        <w:tc>
          <w:tcPr>
            <w:tcW w:w="2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58C9E">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GB/T 36128-2018，GB/T 30712-2014，GB/T 16552-2017，GB/T 16553-2017，GB/T 31912-2015，GB/T 33541-2017，等等</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E637F">
            <w:pPr>
              <w:keepNext w:val="0"/>
              <w:keepLines w:val="0"/>
              <w:pageBreakBefore w:val="0"/>
              <w:widowControl/>
              <w:suppressLineNumbers w:val="0"/>
              <w:kinsoku/>
              <w:overflowPunct/>
              <w:topLinePunct w:val="0"/>
              <w:bidi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金银珠宝</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0E9DD">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40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14797">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300</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ADC99">
            <w:pPr>
              <w:keepNext w:val="0"/>
              <w:keepLines w:val="0"/>
              <w:pageBreakBefore w:val="0"/>
              <w:widowControl/>
              <w:suppressLineNumbers w:val="0"/>
              <w:kinsoku/>
              <w:overflowPunct/>
              <w:topLinePunct w:val="0"/>
              <w:bidi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12000</w:t>
            </w:r>
          </w:p>
        </w:tc>
      </w:tr>
      <w:tr w14:paraId="368A7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9" w:hRule="atLeast"/>
        </w:trPr>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D6E3A">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3</w:t>
            </w: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DA297">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钻石分级</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2EAB8">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流通领域</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BBB88">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质量、净度、颜色、切工、标签印记</w:t>
            </w:r>
          </w:p>
        </w:tc>
        <w:tc>
          <w:tcPr>
            <w:tcW w:w="2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750AA">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GB/T 36128-2018，GB/T 30712-2014，GB/T 16552-2017，GB/T 16553-2017，GB/T 16554-2017，GB/T 31912-2015，GB/T 33541-2017，等等</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3DE88">
            <w:pPr>
              <w:keepNext w:val="0"/>
              <w:keepLines w:val="0"/>
              <w:pageBreakBefore w:val="0"/>
              <w:widowControl/>
              <w:suppressLineNumbers w:val="0"/>
              <w:kinsoku/>
              <w:overflowPunct/>
              <w:topLinePunct w:val="0"/>
              <w:bidi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金银珠宝</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4C697">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E4595">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300</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834D6">
            <w:pPr>
              <w:keepNext w:val="0"/>
              <w:keepLines w:val="0"/>
              <w:pageBreakBefore w:val="0"/>
              <w:widowControl/>
              <w:suppressLineNumbers w:val="0"/>
              <w:kinsoku/>
              <w:overflowPunct/>
              <w:topLinePunct w:val="0"/>
              <w:bidi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6000</w:t>
            </w:r>
          </w:p>
        </w:tc>
      </w:tr>
      <w:tr w14:paraId="308DC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3" w:hRule="atLeast"/>
        </w:trPr>
        <w:tc>
          <w:tcPr>
            <w:tcW w:w="8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7EDD6F8">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sz w:val="21"/>
                <w:szCs w:val="21"/>
                <w:u w:val="none"/>
                <w:lang w:val="en-US" w:eastAsia="zh-CN"/>
              </w:rPr>
              <w:t>合计</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BBDE1">
            <w:pPr>
              <w:keepNext w:val="0"/>
              <w:keepLines w:val="0"/>
              <w:pageBreakBefore w:val="0"/>
              <w:widowControl/>
              <w:suppressLineNumbers w:val="0"/>
              <w:kinsoku/>
              <w:overflowPunct/>
              <w:topLinePunct w:val="0"/>
              <w:bidi w:val="0"/>
              <w:jc w:val="center"/>
              <w:textAlignment w:val="center"/>
              <w:rPr>
                <w:rFonts w:hint="default"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5E935">
            <w:pPr>
              <w:keepNext w:val="0"/>
              <w:keepLines w:val="0"/>
              <w:pageBreakBefore w:val="0"/>
              <w:widowControl/>
              <w:suppressLineNumbers w:val="0"/>
              <w:kinsoku/>
              <w:overflowPunct/>
              <w:topLinePunct w:val="0"/>
              <w:bidi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49CFA">
            <w:pPr>
              <w:keepNext w:val="0"/>
              <w:keepLines w:val="0"/>
              <w:pageBreakBefore w:val="0"/>
              <w:widowControl/>
              <w:suppressLineNumbers w:val="0"/>
              <w:kinsoku/>
              <w:overflowPunct/>
              <w:topLinePunct w:val="0"/>
              <w:bidi w:val="0"/>
              <w:jc w:val="right"/>
              <w:textAlignment w:val="center"/>
              <w:rPr>
                <w:rFonts w:hint="default"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30000</w:t>
            </w:r>
          </w:p>
        </w:tc>
      </w:tr>
    </w:tbl>
    <w:p w14:paraId="5D6EEC84">
      <w:pPr>
        <w:keepNext w:val="0"/>
        <w:keepLines w:val="0"/>
        <w:pageBreakBefore w:val="0"/>
        <w:widowControl/>
        <w:suppressLineNumbers w:val="0"/>
        <w:kinsoku/>
        <w:overflowPunct/>
        <w:topLinePunct w:val="0"/>
        <w:bidi w:val="0"/>
        <w:spacing w:line="360" w:lineRule="auto"/>
        <w:jc w:val="left"/>
        <w:rPr>
          <w:rFonts w:hint="eastAsia" w:ascii="宋体" w:hAnsi="宋体" w:cs="宋体"/>
          <w:b/>
          <w:bCs/>
          <w:color w:val="000000"/>
          <w:kern w:val="0"/>
          <w:sz w:val="24"/>
          <w:szCs w:val="24"/>
          <w:lang w:val="en-US" w:eastAsia="zh-CN" w:bidi="ar"/>
        </w:rPr>
      </w:pPr>
      <w:r>
        <w:rPr>
          <w:rFonts w:hint="eastAsia" w:ascii="宋体" w:hAnsi="宋体" w:cs="宋体"/>
          <w:b/>
          <w:bCs/>
          <w:color w:val="000000"/>
          <w:kern w:val="0"/>
          <w:sz w:val="24"/>
          <w:szCs w:val="24"/>
          <w:lang w:val="en-US" w:eastAsia="zh-CN" w:bidi="ar"/>
        </w:rPr>
        <w:t>备注：</w:t>
      </w:r>
    </w:p>
    <w:p w14:paraId="166CA083">
      <w:pPr>
        <w:keepNext w:val="0"/>
        <w:keepLines w:val="0"/>
        <w:pageBreakBefore w:val="0"/>
        <w:widowControl/>
        <w:suppressLineNumbers w:val="0"/>
        <w:kinsoku/>
        <w:overflowPunct/>
        <w:topLinePunct w:val="0"/>
        <w:bidi w:val="0"/>
        <w:spacing w:line="360" w:lineRule="auto"/>
        <w:jc w:val="left"/>
        <w:rPr>
          <w:rFonts w:hint="eastAsia" w:ascii="宋体" w:hAnsi="宋体" w:cs="宋体"/>
          <w:b/>
          <w:bCs/>
          <w:color w:val="000000"/>
          <w:kern w:val="0"/>
          <w:sz w:val="24"/>
          <w:szCs w:val="24"/>
          <w:lang w:val="en-US" w:eastAsia="zh-CN" w:bidi="ar"/>
        </w:rPr>
      </w:pPr>
    </w:p>
    <w:p w14:paraId="0B48402F">
      <w:pPr>
        <w:keepNext w:val="0"/>
        <w:keepLines w:val="0"/>
        <w:pageBreakBefore w:val="0"/>
        <w:widowControl/>
        <w:suppressLineNumbers w:val="0"/>
        <w:kinsoku/>
        <w:overflowPunct/>
        <w:topLinePunct w:val="0"/>
        <w:bidi w:val="0"/>
        <w:spacing w:line="360" w:lineRule="auto"/>
        <w:jc w:val="left"/>
        <w:rPr>
          <w:rFonts w:hint="eastAsia" w:ascii="宋体" w:hAnsi="宋体" w:cs="宋体"/>
          <w:b/>
          <w:bCs/>
          <w:color w:val="000000"/>
          <w:kern w:val="0"/>
          <w:sz w:val="24"/>
          <w:szCs w:val="24"/>
          <w:lang w:val="en-US" w:eastAsia="zh-CN" w:bidi="ar"/>
        </w:rPr>
      </w:pPr>
    </w:p>
    <w:p w14:paraId="2AD689D1">
      <w:pPr>
        <w:keepNext w:val="0"/>
        <w:keepLines w:val="0"/>
        <w:pageBreakBefore w:val="0"/>
        <w:widowControl/>
        <w:suppressLineNumbers w:val="0"/>
        <w:kinsoku/>
        <w:overflowPunct/>
        <w:topLinePunct w:val="0"/>
        <w:bidi w:val="0"/>
        <w:spacing w:line="360" w:lineRule="auto"/>
        <w:jc w:val="left"/>
        <w:rPr>
          <w:rFonts w:hint="eastAsia" w:ascii="宋体" w:hAnsi="宋体" w:cs="宋体"/>
          <w:b/>
          <w:bCs/>
          <w:color w:val="000000"/>
          <w:kern w:val="0"/>
          <w:sz w:val="24"/>
          <w:szCs w:val="24"/>
          <w:lang w:val="en-US" w:eastAsia="zh-CN" w:bidi="ar"/>
        </w:rPr>
      </w:pPr>
      <w:r>
        <w:rPr>
          <w:rFonts w:hint="eastAsia" w:ascii="宋体" w:hAnsi="宋体" w:cs="宋体"/>
          <w:b/>
          <w:bCs/>
          <w:color w:val="000000"/>
          <w:kern w:val="0"/>
          <w:sz w:val="24"/>
          <w:szCs w:val="24"/>
          <w:lang w:val="en-US" w:eastAsia="zh-CN" w:bidi="ar"/>
        </w:rPr>
        <w:t>备注：</w:t>
      </w:r>
    </w:p>
    <w:p w14:paraId="7983DA24">
      <w:pPr>
        <w:keepNext w:val="0"/>
        <w:keepLines w:val="0"/>
        <w:pageBreakBefore w:val="0"/>
        <w:widowControl/>
        <w:numPr>
          <w:ilvl w:val="0"/>
          <w:numId w:val="0"/>
        </w:numPr>
        <w:suppressLineNumbers w:val="0"/>
        <w:kinsoku/>
        <w:overflowPunct/>
        <w:topLinePunct w:val="0"/>
        <w:bidi w:val="0"/>
        <w:spacing w:line="360" w:lineRule="auto"/>
        <w:jc w:val="left"/>
        <w:rPr>
          <w:rFonts w:hint="eastAsia" w:ascii="宋体" w:hAnsi="宋体" w:cs="宋体"/>
          <w:b/>
          <w:bCs/>
          <w:color w:val="000000"/>
          <w:kern w:val="0"/>
          <w:sz w:val="24"/>
          <w:szCs w:val="24"/>
          <w:lang w:val="en-US" w:eastAsia="zh-CN" w:bidi="ar"/>
        </w:rPr>
      </w:pPr>
      <w:r>
        <w:rPr>
          <w:rFonts w:hint="eastAsia" w:ascii="宋体" w:hAnsi="宋体" w:cs="宋体"/>
          <w:b w:val="0"/>
          <w:bCs w:val="0"/>
          <w:color w:val="000000"/>
          <w:kern w:val="0"/>
          <w:sz w:val="24"/>
          <w:szCs w:val="24"/>
          <w:lang w:val="en-US" w:eastAsia="zh-CN" w:bidi="ar"/>
        </w:rPr>
        <w:t>1.由于</w:t>
      </w:r>
      <w:r>
        <w:rPr>
          <w:rFonts w:hint="eastAsia" w:ascii="宋体" w:hAnsi="宋体" w:eastAsia="宋体" w:cs="宋体"/>
          <w:b w:val="0"/>
          <w:bCs w:val="0"/>
          <w:color w:val="000000"/>
          <w:kern w:val="0"/>
          <w:sz w:val="24"/>
          <w:szCs w:val="24"/>
          <w:lang w:val="en-US" w:eastAsia="zh-CN" w:bidi="ar"/>
        </w:rPr>
        <w:t>产品任务批次数不固定，各</w:t>
      </w:r>
      <w:r>
        <w:rPr>
          <w:rFonts w:hint="eastAsia" w:ascii="宋体" w:hAnsi="宋体" w:cs="宋体"/>
          <w:b w:val="0"/>
          <w:bCs w:val="0"/>
          <w:color w:val="000000"/>
          <w:kern w:val="0"/>
          <w:sz w:val="24"/>
          <w:szCs w:val="24"/>
          <w:lang w:val="en-US" w:eastAsia="zh-CN" w:bidi="ar"/>
        </w:rPr>
        <w:t>产品</w:t>
      </w:r>
      <w:r>
        <w:rPr>
          <w:rFonts w:hint="eastAsia" w:ascii="宋体" w:hAnsi="宋体" w:eastAsia="宋体" w:cs="宋体"/>
          <w:b w:val="0"/>
          <w:bCs w:val="0"/>
          <w:color w:val="000000"/>
          <w:kern w:val="0"/>
          <w:sz w:val="24"/>
          <w:szCs w:val="24"/>
          <w:lang w:val="en-US" w:eastAsia="zh-CN" w:bidi="ar"/>
        </w:rPr>
        <w:t>采用统一</w:t>
      </w:r>
      <w:r>
        <w:rPr>
          <w:rFonts w:hint="eastAsia" w:ascii="宋体" w:hAnsi="宋体" w:cs="宋体"/>
          <w:b w:val="0"/>
          <w:bCs w:val="0"/>
          <w:color w:val="000000"/>
          <w:kern w:val="0"/>
          <w:sz w:val="24"/>
          <w:szCs w:val="24"/>
          <w:lang w:val="en-US" w:eastAsia="zh-CN" w:bidi="ar"/>
        </w:rPr>
        <w:t>单价</w:t>
      </w:r>
      <w:r>
        <w:rPr>
          <w:rFonts w:hint="eastAsia" w:ascii="宋体" w:hAnsi="宋体" w:eastAsia="宋体" w:cs="宋体"/>
          <w:b w:val="0"/>
          <w:bCs w:val="0"/>
          <w:color w:val="000000"/>
          <w:kern w:val="0"/>
          <w:sz w:val="24"/>
          <w:szCs w:val="24"/>
          <w:lang w:val="en-US" w:eastAsia="zh-CN" w:bidi="ar"/>
        </w:rPr>
        <w:t>折扣率</w:t>
      </w:r>
      <w:bookmarkStart w:id="1" w:name="_GoBack"/>
      <w:bookmarkEnd w:id="1"/>
      <w:r>
        <w:rPr>
          <w:rFonts w:hint="eastAsia" w:ascii="宋体" w:hAnsi="宋体" w:eastAsia="宋体" w:cs="宋体"/>
          <w:b w:val="0"/>
          <w:bCs w:val="0"/>
          <w:color w:val="000000"/>
          <w:kern w:val="0"/>
          <w:sz w:val="24"/>
          <w:szCs w:val="24"/>
          <w:lang w:val="en-US" w:eastAsia="zh-CN" w:bidi="ar"/>
        </w:rPr>
        <w:t>进行报价，</w:t>
      </w:r>
      <w:r>
        <w:rPr>
          <w:rFonts w:hint="eastAsia" w:ascii="宋体" w:hAnsi="宋体" w:cs="宋体"/>
          <w:b w:val="0"/>
          <w:bCs w:val="0"/>
          <w:color w:val="000000"/>
          <w:kern w:val="0"/>
          <w:sz w:val="24"/>
          <w:szCs w:val="24"/>
          <w:lang w:val="en-US" w:eastAsia="zh-CN" w:bidi="ar"/>
        </w:rPr>
        <w:t>投标人应对所有抽检产品统一填报一个折扣率，不接受不同产品设置不同的折扣率。</w:t>
      </w:r>
    </w:p>
    <w:p w14:paraId="599940DB">
      <w:pPr>
        <w:keepNext w:val="0"/>
        <w:keepLines w:val="0"/>
        <w:pageBreakBefore w:val="0"/>
        <w:widowControl/>
        <w:numPr>
          <w:ilvl w:val="0"/>
          <w:numId w:val="0"/>
        </w:numPr>
        <w:suppressLineNumbers w:val="0"/>
        <w:kinsoku/>
        <w:overflowPunct/>
        <w:topLinePunct w:val="0"/>
        <w:bidi w:val="0"/>
        <w:spacing w:line="360" w:lineRule="auto"/>
        <w:jc w:val="left"/>
        <w:rPr>
          <w:rFonts w:hint="eastAsia" w:ascii="宋体" w:hAnsi="宋体" w:cs="宋体"/>
          <w:b/>
          <w:bCs/>
          <w:color w:val="FF0000"/>
          <w:kern w:val="0"/>
          <w:sz w:val="24"/>
          <w:szCs w:val="24"/>
          <w:lang w:val="en-US" w:eastAsia="zh-CN" w:bidi="ar"/>
        </w:rPr>
      </w:pPr>
      <w:r>
        <w:rPr>
          <w:rFonts w:hint="eastAsia" w:ascii="宋体" w:hAnsi="宋体" w:cs="宋体"/>
          <w:b w:val="0"/>
          <w:bCs w:val="0"/>
          <w:color w:val="000000"/>
          <w:kern w:val="0"/>
          <w:sz w:val="24"/>
          <w:szCs w:val="24"/>
          <w:lang w:val="en-US" w:eastAsia="zh-CN" w:bidi="ar"/>
        </w:rPr>
        <w:t>2.各产品的</w:t>
      </w:r>
      <w:r>
        <w:rPr>
          <w:rFonts w:hint="eastAsia" w:ascii="宋体" w:hAnsi="宋体" w:eastAsia="宋体" w:cs="宋体"/>
          <w:b w:val="0"/>
          <w:bCs w:val="0"/>
          <w:color w:val="000000"/>
          <w:kern w:val="0"/>
          <w:sz w:val="24"/>
          <w:szCs w:val="24"/>
          <w:lang w:val="en-US" w:eastAsia="zh-CN" w:bidi="ar"/>
        </w:rPr>
        <w:t>最高折扣率为100%，超过其折扣率将视为无效投标。</w:t>
      </w:r>
      <w:r>
        <w:rPr>
          <w:rFonts w:hint="eastAsia" w:ascii="宋体" w:hAnsi="宋体" w:cs="宋体"/>
          <w:b w:val="0"/>
          <w:bCs w:val="0"/>
          <w:color w:val="000000"/>
          <w:kern w:val="0"/>
          <w:sz w:val="24"/>
          <w:szCs w:val="24"/>
          <w:lang w:val="en-US" w:eastAsia="zh-CN" w:bidi="ar"/>
        </w:rPr>
        <w:t xml:space="preserve">  </w:t>
      </w:r>
      <w:r>
        <w:rPr>
          <w:rFonts w:hint="eastAsia" w:ascii="宋体" w:hAnsi="宋体" w:cs="宋体"/>
          <w:b w:val="0"/>
          <w:bCs w:val="0"/>
          <w:color w:val="FF0000"/>
          <w:kern w:val="0"/>
          <w:sz w:val="24"/>
          <w:szCs w:val="24"/>
          <w:lang w:val="en-US" w:eastAsia="zh-CN" w:bidi="ar"/>
        </w:rPr>
        <w:t xml:space="preserve">                </w:t>
      </w:r>
    </w:p>
    <w:p w14:paraId="358CEA4E">
      <w:pPr>
        <w:keepNext w:val="0"/>
        <w:keepLines w:val="0"/>
        <w:pageBreakBefore w:val="0"/>
        <w:widowControl/>
        <w:numPr>
          <w:ilvl w:val="0"/>
          <w:numId w:val="0"/>
        </w:numPr>
        <w:suppressLineNumbers w:val="0"/>
        <w:kinsoku/>
        <w:overflowPunct/>
        <w:topLinePunct w:val="0"/>
        <w:bidi w:val="0"/>
        <w:spacing w:line="360" w:lineRule="auto"/>
        <w:ind w:firstLine="240" w:firstLineChars="100"/>
        <w:jc w:val="left"/>
        <w:rPr>
          <w:rFonts w:hint="eastAsia" w:ascii="宋体" w:hAnsi="宋体" w:cs="宋体"/>
          <w:b w:val="0"/>
          <w:bCs w:val="0"/>
          <w:color w:val="auto"/>
          <w:kern w:val="0"/>
          <w:sz w:val="24"/>
          <w:szCs w:val="24"/>
          <w:highlight w:val="none"/>
          <w:lang w:val="en-US" w:eastAsia="zh-CN" w:bidi="ar"/>
        </w:rPr>
      </w:pPr>
      <w:r>
        <w:rPr>
          <w:rFonts w:hint="eastAsia" w:ascii="宋体" w:hAnsi="宋体" w:cs="宋体"/>
          <w:b w:val="0"/>
          <w:bCs w:val="0"/>
          <w:color w:val="auto"/>
          <w:kern w:val="0"/>
          <w:sz w:val="24"/>
          <w:szCs w:val="24"/>
          <w:highlight w:val="none"/>
          <w:lang w:val="en-US" w:eastAsia="zh-CN" w:bidi="ar"/>
        </w:rPr>
        <w:t xml:space="preserve">单个产品结算单价=抽查计划表中检验费单价×中标折扣率； </w:t>
      </w:r>
    </w:p>
    <w:p w14:paraId="17EBD6BF">
      <w:pPr>
        <w:keepNext w:val="0"/>
        <w:keepLines w:val="0"/>
        <w:pageBreakBefore w:val="0"/>
        <w:widowControl/>
        <w:numPr>
          <w:ilvl w:val="0"/>
          <w:numId w:val="0"/>
        </w:numPr>
        <w:suppressLineNumbers w:val="0"/>
        <w:kinsoku/>
        <w:overflowPunct/>
        <w:topLinePunct w:val="0"/>
        <w:bidi w:val="0"/>
        <w:spacing w:line="360" w:lineRule="auto"/>
        <w:ind w:firstLine="240" w:firstLineChars="100"/>
        <w:jc w:val="left"/>
        <w:rPr>
          <w:rFonts w:hint="eastAsia" w:ascii="宋体" w:hAnsi="宋体" w:cs="宋体"/>
          <w:b w:val="0"/>
          <w:bCs w:val="0"/>
          <w:color w:val="auto"/>
          <w:kern w:val="0"/>
          <w:sz w:val="24"/>
          <w:szCs w:val="24"/>
          <w:highlight w:val="none"/>
          <w:lang w:val="en-US" w:eastAsia="zh-CN" w:bidi="ar"/>
        </w:rPr>
      </w:pPr>
      <w:r>
        <w:rPr>
          <w:rFonts w:hint="eastAsia" w:ascii="宋体" w:hAnsi="宋体" w:cs="宋体"/>
          <w:b w:val="0"/>
          <w:bCs w:val="0"/>
          <w:color w:val="auto"/>
          <w:kern w:val="0"/>
          <w:sz w:val="24"/>
          <w:szCs w:val="24"/>
          <w:highlight w:val="none"/>
          <w:lang w:val="en-US" w:eastAsia="zh-CN" w:bidi="ar"/>
        </w:rPr>
        <w:t xml:space="preserve">单个产品结算金额=单个产品结算单价×实际完成抽检批次（实际抽检批次是拟抽批次数+实际增加的抽检批次）；      </w:t>
      </w:r>
    </w:p>
    <w:p w14:paraId="2A9D5AC4">
      <w:pPr>
        <w:keepNext w:val="0"/>
        <w:keepLines w:val="0"/>
        <w:pageBreakBefore w:val="0"/>
        <w:widowControl/>
        <w:numPr>
          <w:ilvl w:val="0"/>
          <w:numId w:val="0"/>
        </w:numPr>
        <w:suppressLineNumbers w:val="0"/>
        <w:kinsoku/>
        <w:overflowPunct/>
        <w:topLinePunct w:val="0"/>
        <w:bidi w:val="0"/>
        <w:spacing w:line="360" w:lineRule="auto"/>
        <w:ind w:firstLine="480" w:firstLineChars="200"/>
        <w:jc w:val="left"/>
        <w:outlineLvl w:val="9"/>
        <w:rPr>
          <w:rFonts w:hint="default" w:ascii="宋体" w:hAnsi="宋体" w:cs="宋体"/>
          <w:b w:val="0"/>
          <w:bCs w:val="0"/>
          <w:color w:val="auto"/>
          <w:kern w:val="0"/>
          <w:sz w:val="24"/>
          <w:szCs w:val="24"/>
          <w:highlight w:val="none"/>
          <w:lang w:val="en-US" w:eastAsia="zh-CN" w:bidi="ar"/>
        </w:rPr>
      </w:pPr>
      <w:r>
        <w:rPr>
          <w:rFonts w:hint="eastAsia" w:ascii="宋体" w:hAnsi="宋体" w:cs="宋体"/>
          <w:b w:val="0"/>
          <w:bCs w:val="0"/>
          <w:color w:val="auto"/>
          <w:kern w:val="0"/>
          <w:sz w:val="24"/>
          <w:szCs w:val="24"/>
          <w:highlight w:val="none"/>
          <w:lang w:val="en-US" w:eastAsia="zh-CN" w:bidi="ar"/>
        </w:rPr>
        <w:t>本项目预算金额为控制上限，按中标折扣率计价后形成的预算节余资金，全部用于增加抽检批次，最大限度扩充抽检任务量；通过调增抽检批次，力争结算金额足额贴近并用尽项目预算[投标人须提供统一单价折扣后最终执行的单个产品结算单价和拟增加后的批次等，</w:t>
      </w:r>
      <w:r>
        <w:rPr>
          <w:rFonts w:hint="eastAsia" w:ascii="宋体" w:hAnsi="宋体" w:eastAsia="宋体" w:cs="宋体"/>
          <w:b w:val="0"/>
          <w:bCs w:val="0"/>
          <w:color w:val="auto"/>
          <w:spacing w:val="0"/>
          <w:position w:val="0"/>
          <w:sz w:val="24"/>
          <w:szCs w:val="24"/>
          <w:highlight w:val="none"/>
          <w:lang w:val="en-US" w:eastAsia="zh-CN"/>
        </w:rPr>
        <w:t>格式详见“第四章 格式4-1开标一览明细表附件”，未按要求填报或内容缺失的按无效响应处理。]</w:t>
      </w:r>
      <w:r>
        <w:rPr>
          <w:rFonts w:hint="eastAsia" w:ascii="宋体" w:hAnsi="宋体" w:cs="宋体"/>
          <w:b w:val="0"/>
          <w:bCs w:val="0"/>
          <w:color w:val="auto"/>
          <w:kern w:val="0"/>
          <w:sz w:val="24"/>
          <w:szCs w:val="24"/>
          <w:highlight w:val="none"/>
          <w:lang w:val="en-US" w:eastAsia="zh-CN" w:bidi="ar"/>
        </w:rPr>
        <w:t>若因计价规则、批次取整等客观因素导致最终结算金额略低于预算总额的，按实际完成抽检工作量据实结算。</w:t>
      </w:r>
    </w:p>
    <w:p w14:paraId="214651E2">
      <w:pPr>
        <w:keepNext w:val="0"/>
        <w:keepLines w:val="0"/>
        <w:pageBreakBefore w:val="0"/>
        <w:widowControl/>
        <w:numPr>
          <w:ilvl w:val="0"/>
          <w:numId w:val="0"/>
        </w:numPr>
        <w:suppressLineNumbers w:val="0"/>
        <w:kinsoku/>
        <w:overflowPunct/>
        <w:topLinePunct w:val="0"/>
        <w:bidi w:val="0"/>
        <w:spacing w:line="360" w:lineRule="auto"/>
        <w:jc w:val="left"/>
        <w:rPr>
          <w:rFonts w:hint="default" w:ascii="宋体" w:hAnsi="宋体" w:cs="宋体"/>
          <w:b w:val="0"/>
          <w:bCs w:val="0"/>
          <w:color w:val="auto"/>
          <w:kern w:val="0"/>
          <w:sz w:val="24"/>
          <w:szCs w:val="24"/>
          <w:highlight w:val="none"/>
          <w:lang w:val="en-US" w:eastAsia="zh-CN" w:bidi="ar"/>
        </w:rPr>
      </w:pPr>
      <w:r>
        <w:rPr>
          <w:rFonts w:hint="eastAsia" w:ascii="宋体" w:hAnsi="宋体" w:cs="宋体"/>
          <w:b w:val="0"/>
          <w:bCs w:val="0"/>
          <w:color w:val="auto"/>
          <w:kern w:val="0"/>
          <w:sz w:val="24"/>
          <w:szCs w:val="24"/>
          <w:highlight w:val="none"/>
          <w:lang w:val="en-US" w:eastAsia="zh-CN" w:bidi="ar"/>
        </w:rPr>
        <w:t>3.</w:t>
      </w:r>
      <w:r>
        <w:rPr>
          <w:rFonts w:hint="eastAsia" w:ascii="宋体" w:hAnsi="宋体" w:eastAsia="宋体" w:cs="宋体"/>
          <w:b w:val="0"/>
          <w:bCs w:val="0"/>
          <w:color w:val="auto"/>
          <w:kern w:val="0"/>
          <w:sz w:val="24"/>
          <w:szCs w:val="24"/>
          <w:highlight w:val="none"/>
          <w:lang w:val="en-US" w:eastAsia="zh-CN" w:bidi="ar"/>
        </w:rPr>
        <w:t>投标人所报折扣率在合同执行期间应保持固定</w:t>
      </w:r>
      <w:r>
        <w:rPr>
          <w:rFonts w:hint="eastAsia" w:ascii="宋体" w:hAnsi="宋体" w:cs="宋体"/>
          <w:b w:val="0"/>
          <w:bCs w:val="0"/>
          <w:color w:val="auto"/>
          <w:kern w:val="0"/>
          <w:sz w:val="24"/>
          <w:szCs w:val="24"/>
          <w:highlight w:val="none"/>
          <w:lang w:val="en-US" w:eastAsia="zh-CN" w:bidi="ar"/>
        </w:rPr>
        <w:t>。</w:t>
      </w:r>
      <w:r>
        <w:rPr>
          <w:rFonts w:hint="eastAsia" w:ascii="宋体" w:hAnsi="宋体" w:eastAsia="宋体" w:cs="宋体"/>
          <w:b w:val="0"/>
          <w:bCs w:val="0"/>
          <w:color w:val="auto"/>
          <w:kern w:val="0"/>
          <w:sz w:val="24"/>
          <w:szCs w:val="24"/>
          <w:highlight w:val="none"/>
          <w:lang w:val="en-US" w:eastAsia="zh-CN" w:bidi="ar"/>
        </w:rPr>
        <w:t>投标人应在报价中充分考虑因产品任务批次数</w:t>
      </w:r>
      <w:r>
        <w:rPr>
          <w:rFonts w:hint="eastAsia" w:ascii="宋体" w:hAnsi="宋体" w:cs="宋体"/>
          <w:b w:val="0"/>
          <w:bCs w:val="0"/>
          <w:color w:val="auto"/>
          <w:kern w:val="0"/>
          <w:sz w:val="24"/>
          <w:szCs w:val="24"/>
          <w:highlight w:val="none"/>
          <w:lang w:val="en-US" w:eastAsia="zh-CN" w:bidi="ar"/>
        </w:rPr>
        <w:t>量</w:t>
      </w:r>
      <w:r>
        <w:rPr>
          <w:rFonts w:hint="eastAsia" w:ascii="宋体" w:hAnsi="宋体" w:eastAsia="宋体" w:cs="宋体"/>
          <w:b w:val="0"/>
          <w:bCs w:val="0"/>
          <w:color w:val="auto"/>
          <w:kern w:val="0"/>
          <w:sz w:val="24"/>
          <w:szCs w:val="24"/>
          <w:highlight w:val="none"/>
          <w:lang w:val="en-US" w:eastAsia="zh-CN" w:bidi="ar"/>
        </w:rPr>
        <w:t>变化带来的潜在风险。</w:t>
      </w:r>
    </w:p>
    <w:p w14:paraId="346C68C9">
      <w:pPr>
        <w:keepNext w:val="0"/>
        <w:keepLines w:val="0"/>
        <w:pageBreakBefore w:val="0"/>
        <w:widowControl/>
        <w:suppressLineNumbers w:val="0"/>
        <w:kinsoku/>
        <w:overflowPunct/>
        <w:topLinePunct w:val="0"/>
        <w:bidi w:val="0"/>
        <w:spacing w:line="360" w:lineRule="auto"/>
        <w:jc w:val="left"/>
        <w:rPr>
          <w:sz w:val="24"/>
          <w:szCs w:val="24"/>
        </w:rPr>
      </w:pPr>
      <w:r>
        <w:rPr>
          <w:rFonts w:hint="eastAsia" w:ascii="宋体" w:hAnsi="宋体" w:cs="宋体"/>
          <w:b w:val="0"/>
          <w:bCs w:val="0"/>
          <w:color w:val="auto"/>
          <w:kern w:val="0"/>
          <w:sz w:val="24"/>
          <w:szCs w:val="24"/>
          <w:highlight w:val="none"/>
          <w:lang w:val="en-US" w:eastAsia="zh-CN" w:bidi="ar"/>
        </w:rPr>
        <w:t>4.</w:t>
      </w:r>
      <w:r>
        <w:rPr>
          <w:rFonts w:hint="eastAsia" w:ascii="宋体" w:hAnsi="宋体" w:eastAsia="宋体" w:cs="宋体"/>
          <w:b w:val="0"/>
          <w:bCs w:val="0"/>
          <w:color w:val="auto"/>
          <w:kern w:val="0"/>
          <w:sz w:val="24"/>
          <w:szCs w:val="24"/>
          <w:highlight w:val="none"/>
          <w:lang w:val="en-US" w:eastAsia="zh-CN" w:bidi="ar"/>
        </w:rPr>
        <w:t>实际抽样工作中，投标人应按投标材料内容安排相关人员抽样，对存在逾期完成抽检任务的，采购人将视情况</w:t>
      </w:r>
      <w:r>
        <w:rPr>
          <w:rFonts w:hint="eastAsia" w:ascii="宋体" w:hAnsi="宋体" w:eastAsia="宋体" w:cs="宋体"/>
          <w:color w:val="000000"/>
          <w:kern w:val="0"/>
          <w:sz w:val="24"/>
          <w:szCs w:val="24"/>
          <w:lang w:val="en-US" w:eastAsia="zh-CN" w:bidi="ar"/>
        </w:rPr>
        <w:t>解除合同关系。</w:t>
      </w:r>
    </w:p>
    <w:p w14:paraId="3CE87386">
      <w:pPr>
        <w:keepNext w:val="0"/>
        <w:keepLines w:val="0"/>
        <w:pageBreakBefore w:val="0"/>
        <w:widowControl/>
        <w:suppressLineNumbers w:val="0"/>
        <w:kinsoku/>
        <w:overflowPunct/>
        <w:topLinePunct w:val="0"/>
        <w:bidi w:val="0"/>
        <w:spacing w:line="360" w:lineRule="auto"/>
        <w:jc w:val="left"/>
        <w:rPr>
          <w:sz w:val="24"/>
          <w:szCs w:val="24"/>
        </w:rPr>
      </w:pPr>
      <w:r>
        <w:rPr>
          <w:rFonts w:hint="eastAsia" w:ascii="宋体" w:hAnsi="宋体" w:cs="宋体"/>
          <w:color w:val="000000"/>
          <w:kern w:val="0"/>
          <w:sz w:val="24"/>
          <w:szCs w:val="24"/>
          <w:lang w:val="en-US" w:eastAsia="zh-CN" w:bidi="ar"/>
        </w:rPr>
        <w:t>5.</w:t>
      </w:r>
      <w:r>
        <w:rPr>
          <w:rFonts w:hint="eastAsia" w:ascii="宋体" w:hAnsi="宋体" w:eastAsia="宋体" w:cs="宋体"/>
          <w:color w:val="000000"/>
          <w:kern w:val="0"/>
          <w:sz w:val="24"/>
          <w:szCs w:val="24"/>
          <w:lang w:val="en-US" w:eastAsia="zh-CN" w:bidi="ar"/>
        </w:rPr>
        <w:t>各产品抽查时间是指开展该产品抽样检验工作时间，投标人应按照相关时限要求完成抽样检验任务，避免因任务量过多影响抽样检验工作进程。</w:t>
      </w:r>
    </w:p>
    <w:p w14:paraId="256AEB5B">
      <w:pPr>
        <w:keepNext w:val="0"/>
        <w:keepLines w:val="0"/>
        <w:pageBreakBefore w:val="0"/>
        <w:widowControl/>
        <w:suppressLineNumbers w:val="0"/>
        <w:kinsoku/>
        <w:overflowPunct/>
        <w:topLinePunct w:val="0"/>
        <w:bidi w:val="0"/>
        <w:jc w:val="left"/>
      </w:pPr>
      <w:r>
        <w:rPr>
          <w:rFonts w:hint="eastAsia" w:ascii="宋体" w:hAnsi="宋体" w:eastAsia="宋体" w:cs="宋体"/>
          <w:b/>
          <w:bCs/>
          <w:color w:val="000000"/>
          <w:kern w:val="0"/>
          <w:sz w:val="24"/>
          <w:szCs w:val="24"/>
          <w:lang w:val="en-US" w:eastAsia="zh-CN" w:bidi="ar"/>
        </w:rPr>
        <w:t>注：以上服务要求为实质性条款须完全</w:t>
      </w:r>
      <w:r>
        <w:rPr>
          <w:rFonts w:hint="eastAsia" w:ascii="宋体" w:hAnsi="宋体" w:eastAsia="宋体" w:cs="宋体"/>
          <w:b/>
          <w:bCs/>
          <w:color w:val="auto"/>
          <w:spacing w:val="0"/>
          <w:position w:val="0"/>
          <w:sz w:val="24"/>
          <w:szCs w:val="24"/>
          <w:lang w:eastAsia="zh-CN"/>
        </w:rPr>
        <w:t>响应或优于以上；否则，视为无效</w:t>
      </w:r>
      <w:r>
        <w:rPr>
          <w:rFonts w:hint="eastAsia" w:ascii="宋体" w:hAnsi="宋体" w:eastAsia="宋体" w:cs="宋体"/>
          <w:b/>
          <w:bCs/>
          <w:color w:val="auto"/>
          <w:spacing w:val="0"/>
          <w:position w:val="0"/>
          <w:sz w:val="24"/>
          <w:szCs w:val="24"/>
          <w:lang w:val="en-US" w:eastAsia="zh-CN"/>
        </w:rPr>
        <w:t>投标</w:t>
      </w:r>
      <w:r>
        <w:rPr>
          <w:rFonts w:hint="eastAsia" w:ascii="宋体" w:hAnsi="宋体" w:eastAsia="宋体" w:cs="宋体"/>
          <w:b/>
          <w:bCs/>
          <w:color w:val="auto"/>
          <w:spacing w:val="0"/>
          <w:position w:val="0"/>
          <w:sz w:val="24"/>
          <w:szCs w:val="24"/>
          <w:lang w:eastAsia="zh-CN"/>
        </w:rPr>
        <w:t>。</w:t>
      </w:r>
    </w:p>
    <w:p w14:paraId="7207246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851FAB">
                          <w:pPr>
                            <w:pStyle w:val="2"/>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2C851FAB">
                    <w:pPr>
                      <w:pStyle w:val="2"/>
                    </w:pPr>
                    <w:r>
                      <w:fldChar w:fldCharType="begin"/>
                    </w:r>
                    <w:r>
                      <w:instrText xml:space="preserve"> PAGE  \* MERGEFORMAT </w:instrText>
                    </w:r>
                    <w:r>
                      <w:fldChar w:fldCharType="separate"/>
                    </w:r>
                    <w:r>
                      <w:t>54</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99F58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2026-06-16T07:05:49Z</dcterms:created>
  <dc:creator>admin</dc:creator>
  <cp:lastModifiedBy>admin</cp:lastModifiedBy>
  <dcterms:modified xsi:type="dcterms:W3CDTF">2026-06-16T07:06:31Z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KSOTemplateDocerSaveRecord">
    <vt:lpwstr>eyJoZGlkIjoiNjYzN2JlOTZhYjgyMjlkYTkyYzIyNDRlMDIwNTI0MjUiLCJ1c2VySWQiOiIxNzE1OTM3NTQ1In0=</vt:lpwstr>
  </property>
  <property fmtid="{D5CDD505-2E9C-101B-9397-08002B2CF9AE}" pid="4" name="ICV">
    <vt:lpwstr>E6362888E10A4C59AB8FE1F24B8D6AEB_12</vt:lpwstr>
  </property>
</Properties>
</file>