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09D096">
      <w:pPr>
        <w:pStyle w:val="3"/>
        <w:numPr>
          <w:ilvl w:val="0"/>
          <w:numId w:val="0"/>
        </w:numPr>
        <w:tabs>
          <w:tab w:val="left" w:pos="0"/>
        </w:tabs>
        <w:spacing w:before="500" w:after="140" w:line="500" w:lineRule="exact"/>
        <w:ind w:left="420" w:leftChars="0" w:hanging="420" w:firstLineChars="0"/>
        <w:rPr>
          <w:rFonts w:ascii="微软雅黑" w:hAnsi="微软雅黑" w:eastAsia="微软雅黑"/>
          <w:sz w:val="36"/>
          <w:szCs w:val="36"/>
        </w:rPr>
      </w:pPr>
      <w:bookmarkStart w:id="0" w:name="_Toc232429844"/>
      <w:bookmarkStart w:id="6" w:name="_GoBack"/>
      <w:bookmarkEnd w:id="6"/>
      <w:r>
        <w:rPr>
          <w:rFonts w:hint="eastAsia" w:ascii="微软雅黑" w:hAnsi="微软雅黑" w:eastAsia="微软雅黑"/>
          <w:sz w:val="36"/>
          <w:szCs w:val="36"/>
        </w:rPr>
        <w:t>技术标准和要求</w:t>
      </w:r>
      <w:bookmarkEnd w:id="0"/>
    </w:p>
    <w:tbl>
      <w:tblPr>
        <w:tblStyle w:val="5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1"/>
        <w:gridCol w:w="7179"/>
      </w:tblGrid>
      <w:tr w14:paraId="23A8F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787" w:type="pct"/>
            <w:noWrap w:val="0"/>
            <w:vAlign w:val="center"/>
          </w:tcPr>
          <w:p w14:paraId="570BBDED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货物名称</w:t>
            </w:r>
          </w:p>
        </w:tc>
        <w:tc>
          <w:tcPr>
            <w:tcW w:w="4212" w:type="pct"/>
            <w:noWrap w:val="0"/>
            <w:vAlign w:val="center"/>
          </w:tcPr>
          <w:p w14:paraId="3CB0C7F7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项目技术要求</w:t>
            </w:r>
          </w:p>
        </w:tc>
      </w:tr>
      <w:tr w14:paraId="13F847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pct"/>
            <w:noWrap w:val="0"/>
            <w:vAlign w:val="center"/>
          </w:tcPr>
          <w:p w14:paraId="7074CD83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智能采茶设备</w:t>
            </w:r>
          </w:p>
        </w:tc>
        <w:tc>
          <w:tcPr>
            <w:tcW w:w="4212" w:type="pct"/>
            <w:noWrap w:val="0"/>
            <w:vAlign w:val="top"/>
          </w:tcPr>
          <w:p w14:paraId="4708B7A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1、</w:t>
            </w:r>
            <w:bookmarkStart w:id="1" w:name="OLE_LINK5"/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机器人基本参数</w:t>
            </w:r>
            <w:bookmarkEnd w:id="1"/>
          </w:p>
          <w:p w14:paraId="67E5D107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轴向轮距：≤1400mm；</w:t>
            </w:r>
          </w:p>
          <w:p w14:paraId="54CD0870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驱动方式：履带差速驱动；</w:t>
            </w:r>
          </w:p>
          <w:p w14:paraId="6583D6D2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(3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转弯半径：原地转弯；</w:t>
            </w:r>
          </w:p>
          <w:p w14:paraId="682690D7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bookmarkStart w:id="2" w:name="OLE_LINK1"/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设备重量：≤300Kg；</w:t>
            </w:r>
          </w:p>
          <w:bookmarkEnd w:id="2"/>
          <w:p w14:paraId="759B7824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负载：≥60Kg；</w:t>
            </w:r>
          </w:p>
          <w:p w14:paraId="0FF0B6CC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电源方式：磷酸铁锂48V电池；</w:t>
            </w:r>
          </w:p>
          <w:p w14:paraId="2A72F57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7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额定电流：不小于80A；</w:t>
            </w:r>
          </w:p>
          <w:p w14:paraId="314003F7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8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额定功率：不小于3.8KW；</w:t>
            </w:r>
          </w:p>
          <w:p w14:paraId="701A096D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9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履带电机：伺服电机；</w:t>
            </w:r>
          </w:p>
          <w:p w14:paraId="732A64DF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锂电池容量：不小于400AH；</w:t>
            </w:r>
          </w:p>
          <w:p w14:paraId="3AFA529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连续运行时间：≥8H；</w:t>
            </w:r>
          </w:p>
          <w:p w14:paraId="68B9830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充电时间：≤4H；</w:t>
            </w:r>
          </w:p>
          <w:p w14:paraId="6FC8DDED">
            <w:pPr>
              <w:pStyle w:val="4"/>
              <w:spacing w:after="0" w:line="480" w:lineRule="exact"/>
              <w:rPr>
                <w:rStyle w:val="7"/>
                <w:rFonts w:hint="default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运行速度：0-6km/h可调，包含前进挡位和倒挡；</w:t>
            </w:r>
          </w:p>
          <w:p w14:paraId="2D49B665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爬坡角度：≥35°；</w:t>
            </w:r>
          </w:p>
          <w:p w14:paraId="295F27F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侧倾角度：≥25°；</w:t>
            </w:r>
          </w:p>
          <w:p w14:paraId="7116F0C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底盘离地高度：≥100mm；</w:t>
            </w:r>
          </w:p>
          <w:p w14:paraId="5271854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7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越障高度：≥120mm；</w:t>
            </w:r>
          </w:p>
          <w:p w14:paraId="35246AC4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8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工作温度：温度-10℃～+50℃；</w:t>
            </w:r>
          </w:p>
          <w:p w14:paraId="7EE8FB3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9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控制接口：CAN、RS485、TCPIP；</w:t>
            </w:r>
          </w:p>
          <w:p w14:paraId="55B9A92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20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电源接口：5V、12V、24V、48V等；</w:t>
            </w:r>
          </w:p>
          <w:p w14:paraId="336EE55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21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材质：铝合金、碳钢、尼龙塑料等；</w:t>
            </w:r>
          </w:p>
          <w:p w14:paraId="683F31B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防护等级：不低于IP66；</w:t>
            </w:r>
          </w:p>
          <w:p w14:paraId="7C7D2D0B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23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操控方法：遥控器控制和北斗导航；</w:t>
            </w:r>
          </w:p>
          <w:p w14:paraId="07F80D4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2、遥控装置</w:t>
            </w:r>
          </w:p>
          <w:p w14:paraId="58960391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通讯方式: 4G和5G；</w:t>
            </w:r>
          </w:p>
          <w:p w14:paraId="34FCDBA0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遥控距离：遥控器与接收设备距离不小于10千米；</w:t>
            </w:r>
          </w:p>
          <w:p w14:paraId="605B573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功能特点：视频传输延时≤300ms；</w:t>
            </w:r>
          </w:p>
          <w:p w14:paraId="1C1F011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3、RTK性能参数</w:t>
            </w:r>
          </w:p>
          <w:p w14:paraId="72C610FB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需要满足全系统全频点，需支持 BDS B1/B2/B3、GPS L1/L2/L5、GLONASS L1/L2、Galileo E1/ E5a/E5b、QZSS L1/L2/L5，满天星算法引擎。</w:t>
            </w:r>
          </w:p>
          <w:p w14:paraId="51AAB3B9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IMU满足 2.5 度零偏；</w:t>
            </w:r>
          </w:p>
          <w:p w14:paraId="7736333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需支持 BDS-3、Galileo、QZSS 等现代化信号体制；</w:t>
            </w:r>
          </w:p>
          <w:p w14:paraId="65890DF2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(4)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需要支持 WIFI 无线接入，支持网页访问；</w:t>
            </w:r>
          </w:p>
          <w:p w14:paraId="12D336EF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(5)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需要内置全网通 4G 通信模组；</w:t>
            </w:r>
          </w:p>
          <w:p w14:paraId="51F1879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(6)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最高需要支持 100HZ 数据更新率；</w:t>
            </w:r>
          </w:p>
          <w:p w14:paraId="3FF35A41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(7)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需要支持外接里程计；</w:t>
            </w:r>
          </w:p>
          <w:p w14:paraId="556493B2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(8)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 xml:space="preserve">必须不低于IP67 防护等级，适用于各种恶劣环境； </w:t>
            </w:r>
          </w:p>
          <w:p w14:paraId="26A035F6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(9)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姿态精度（RMS）：满足0.1/2米基线；</w:t>
            </w:r>
          </w:p>
          <w:p w14:paraId="5F2387E7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(10)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测速精度（RMS）：</w:t>
            </w:r>
            <w:r>
              <w:rPr>
                <w:rFonts w:hint="eastAsia"/>
              </w:rPr>
              <w:t>≤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0.03m/s；</w:t>
            </w:r>
          </w:p>
          <w:p w14:paraId="2330827C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4、采茶机械臂</w:t>
            </w:r>
          </w:p>
          <w:p w14:paraId="5228D46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额定负载：不小于5公斤；</w:t>
            </w:r>
          </w:p>
          <w:p w14:paraId="3FBE1387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最大工作半径：不小于1400mm；</w:t>
            </w:r>
          </w:p>
          <w:p w14:paraId="49F61099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定位精度：</w:t>
            </w:r>
            <w:bookmarkStart w:id="3" w:name="OLE_LINK2"/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不低于±0.02</w:t>
            </w:r>
            <w:bookmarkEnd w:id="3"/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mm；</w:t>
            </w:r>
          </w:p>
          <w:p w14:paraId="3B32956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(4)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关节数：6轴；</w:t>
            </w:r>
          </w:p>
          <w:p w14:paraId="0DE841C0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(5)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速度：0~3m/s；</w:t>
            </w:r>
          </w:p>
          <w:p w14:paraId="46EBBFFB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bookmarkStart w:id="4" w:name="OLE_LINK3"/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5、采茶末端装置</w:t>
            </w:r>
          </w:p>
          <w:bookmarkEnd w:id="4"/>
          <w:p w14:paraId="42F7FA5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满足负压真空收集；</w:t>
            </w:r>
          </w:p>
          <w:p w14:paraId="40BBE10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bookmarkStart w:id="5" w:name="OLE_LINK4"/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需要三维力传感器；</w:t>
            </w:r>
            <w:bookmarkEnd w:id="5"/>
          </w:p>
          <w:p w14:paraId="400D732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6、视觉传感器</w:t>
            </w:r>
          </w:p>
          <w:p w14:paraId="665DF2F6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感知距离：6cm-1m；</w:t>
            </w:r>
          </w:p>
          <w:p w14:paraId="7F4B4F5D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深度信息：最小误差不高于0.2毫米（6厘米处）；</w:t>
            </w:r>
          </w:p>
          <w:p w14:paraId="5CA5CFBC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分辨率≥5496*3672；；</w:t>
            </w:r>
          </w:p>
          <w:p w14:paraId="7BC8637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(4)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具备不低于2TOPs的AI运算能力和灵活配；</w:t>
            </w:r>
          </w:p>
          <w:p w14:paraId="2FB5B90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7、数据集指标</w:t>
            </w:r>
          </w:p>
          <w:p w14:paraId="5602A994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需要构建一个包含多种光照条件（晴天、阴天、雨天）和不同背景环境（密集茶树、稀疏茶树）的茶叶嫩芽目标检测数据集。数据集将包含至少10,000张标注图像，涵盖茶叶嫩芽的各种姿态和形态，如颜色相似度高、目标的微小尺寸、遮挡等复杂情况。</w:t>
            </w:r>
          </w:p>
          <w:p w14:paraId="1E976EF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8、算法及检测效果指标</w:t>
            </w:r>
          </w:p>
          <w:p w14:paraId="5EFFD05D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检测精度：预期在茶叶嫩芽检测任务中的平均精度（mAP）达到 95%以上，召回率达到 90%以上。</w:t>
            </w:r>
          </w:p>
          <w:p w14:paraId="20BBF175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实时性：能够在 30ms内完成单帧图像的茶叶嫩芽检测与定位，满足茶园实时采摘的需求，算法要求引入注意力机制。</w:t>
            </w:r>
          </w:p>
          <w:p w14:paraId="61C9258C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鲁棒性：能够在不同光照条件（晴天、阴天、雨天）和复杂背景环境下稳定运行，确保茶叶嫩芽的精准识别与定位。</w:t>
            </w:r>
          </w:p>
          <w:p w14:paraId="74CE66A8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(4)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可移植性：要求算法具备可移植性，能够嫁接到嵌入式系统上，并实现低功耗运行。</w:t>
            </w:r>
          </w:p>
          <w:p w14:paraId="07362C4F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9、模型推理平台和训练</w:t>
            </w:r>
          </w:p>
          <w:p w14:paraId="028AB6F9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支持YOLOv9训练和推理；</w:t>
            </w:r>
          </w:p>
          <w:p w14:paraId="1E3D19A4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训练平台代码开源；</w:t>
            </w:r>
          </w:p>
          <w:p w14:paraId="526B6E00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推理平台代码开源；</w:t>
            </w:r>
          </w:p>
          <w:p w14:paraId="5AB5986A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10、软件功能要求</w:t>
            </w:r>
          </w:p>
          <w:p w14:paraId="601B7C2D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机械臂控制代码开源；</w:t>
            </w:r>
          </w:p>
          <w:p w14:paraId="59D62363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具有高精度机器视觉算法实例；</w:t>
            </w:r>
          </w:p>
          <w:p w14:paraId="16501BF0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芽叶嫩度识别准确率≥95%，采收成功率≥90%，采收芽叶完整率≥95%。</w:t>
            </w:r>
          </w:p>
          <w:p w14:paraId="469815BD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11、其他辅助设备</w:t>
            </w:r>
          </w:p>
          <w:p w14:paraId="7326CB26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(1)高精度地图装备:打点器，可实现二维或三维高精度地图，为自动驾驶设备提供路径规划依据。</w:t>
            </w:r>
          </w:p>
          <w:p w14:paraId="3E93AEBF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)智慧监控装备(系统):可实现作业信息实时监控、汇总分析;作业质量回溯;农机调度;历年数据存储与对比分析;远程任务下发;遥控智慧农机;作业统计支持边界面积、行驶轨迹面积统计。</w:t>
            </w:r>
          </w:p>
          <w:p w14:paraId="5B3A9C21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(3)信息应用装备(系统):实现田块、农机、作业线路、作业统计管理及过程管理;导航线支持直线、耙地线、单点定圆、三点定圆、90度线、回字形线、路径线、A+线路径规划方式;农机实时信息查看。</w:t>
            </w:r>
          </w:p>
          <w:p w14:paraId="3AC1B93F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)遥控装备(系统):可实现遥控车辆;远程任务下发;状态实时监控。</w:t>
            </w:r>
          </w:p>
          <w:p w14:paraId="73292C3B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(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)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数据集训练设备：</w:t>
            </w:r>
          </w:p>
          <w:p w14:paraId="1D7096D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①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视觉处理芯片模块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：</w:t>
            </w:r>
          </w:p>
          <w:p w14:paraId="15499B84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1)算力:≥275 INT8 TOPS;</w:t>
            </w:r>
          </w:p>
          <w:p w14:paraId="6B8AE90D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2)Gpu:处理核心数量≥2048，张量核心数量≥64;</w:t>
            </w:r>
          </w:p>
          <w:p w14:paraId="17F1BAF1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3) Cpu: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不低于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12核，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不低于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64位;</w:t>
            </w:r>
          </w:p>
          <w:p w14:paraId="4070A4EF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4)DL加速器模块:≥2;</w:t>
            </w:r>
          </w:p>
          <w:p w14:paraId="34F53C6F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5)显存:64GB 256-biS;</w:t>
            </w:r>
          </w:p>
          <w:p w14:paraId="4911415D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6)内存:≥64GB;</w:t>
            </w:r>
          </w:p>
          <w:p w14:paraId="5A265E39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7)配置相应机箱与网络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IO、USB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及视频显示等各类接口。</w:t>
            </w:r>
          </w:p>
          <w:p w14:paraId="69736B06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②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工控机模块:</w:t>
            </w:r>
          </w:p>
          <w:p w14:paraId="26311E44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1)CPU:处理器主频不低于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4.9GHz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;</w:t>
            </w:r>
          </w:p>
          <w:p w14:paraId="7717B6C6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2)硬盘:≥硬盘1TSSD;</w:t>
            </w:r>
          </w:p>
          <w:p w14:paraId="2CD4A59C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3)操作系统:适配linux系统或Windows系统;</w:t>
            </w:r>
          </w:p>
          <w:p w14:paraId="4D939CE2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4)内存:≥32GB;</w:t>
            </w:r>
          </w:p>
          <w:p w14:paraId="3E1326F0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5)工作温度:-25-75°C;</w:t>
            </w:r>
          </w:p>
          <w:p w14:paraId="35B14115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</w:rPr>
              <w:t>6)显示器及其它接口配置要求:视频输出HDMI2.0X2;I/0接口USB3.0X4;USB2.0X2;3.5mm音频接口X2(耳机+麦克风);网络2.5GbE RJ45;扩展槽M.22230插槽X1;显示屏:显示比例16:9;分辨率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不低于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1920X1080;液晶屏类型IPS全视角;亮度300cd/m2;屏幕背光LED;配备键盘及鼠标。</w:t>
            </w: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注：显示器为政府采购强制采购节能产品，须提供有效期内的节能产品认证证书佐证，否则作为无效投标处理。</w:t>
            </w:r>
          </w:p>
          <w:p w14:paraId="18D519EE">
            <w:pPr>
              <w:pStyle w:val="4"/>
              <w:spacing w:after="0" w:line="480" w:lineRule="exact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12、其他要求</w:t>
            </w:r>
          </w:p>
          <w:p w14:paraId="0EADC280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(1)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投标人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须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提供设备完整的操作手册、维护手册及技术文档。</w:t>
            </w:r>
          </w:p>
          <w:p w14:paraId="27D42EEC">
            <w:pPr>
              <w:pStyle w:val="4"/>
              <w:spacing w:after="0" w:line="480" w:lineRule="exact"/>
              <w:rPr>
                <w:rFonts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(2)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投标人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须</w:t>
            </w:r>
            <w:r>
              <w:rPr>
                <w:rFonts w:ascii="微软雅黑" w:hAnsi="微软雅黑" w:eastAsia="微软雅黑" w:cs="微软雅黑"/>
                <w:sz w:val="24"/>
                <w:szCs w:val="24"/>
              </w:rPr>
              <w:t>提供嫩芽识别算法的完整操作手册、维护说明及故障排查指南，确保采购人可正常使用算法功能。</w:t>
            </w:r>
          </w:p>
        </w:tc>
      </w:tr>
    </w:tbl>
    <w:p w14:paraId="041D40F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5A636E"/>
    <w:rsid w:val="4A1E4BC9"/>
    <w:rsid w:val="575A6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ascii="Arial" w:hAnsi="Arial" w:eastAsia="微软雅黑" w:cs="Arial"/>
      <w:snapToGrid w:val="0"/>
      <w:color w:val="000000"/>
      <w:kern w:val="44"/>
      <w:sz w:val="32"/>
      <w:szCs w:val="21"/>
      <w:lang w:eastAsia="en-US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after="260" w:line="413" w:lineRule="auto"/>
      <w:jc w:val="center"/>
      <w:outlineLvl w:val="2"/>
    </w:pPr>
    <w:rPr>
      <w:rFonts w:ascii="宋体" w:hAnsi="Times New Roman" w:eastAsia="宋体" w:cs="宋体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uiPriority w:val="0"/>
    <w:pPr>
      <w:spacing w:after="120"/>
    </w:pPr>
    <w:rPr>
      <w:rFonts w:ascii="Times New Roman" w:hAnsi="Times New Roman" w:eastAsia="宋体" w:cs="Times New Roman"/>
    </w:rPr>
  </w:style>
  <w:style w:type="character" w:customStyle="1" w:styleId="7">
    <w:name w:val="font21"/>
    <w:uiPriority w:val="0"/>
    <w:rPr>
      <w:rFonts w:hint="eastAsia" w:ascii="方正仿宋_GB2312" w:hAnsi="方正仿宋_GB2312" w:eastAsia="方正仿宋_GB2312" w:cs="方正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2026-06-15T10:21:00Z</dcterms:created>
  <dc:creator>LUO</dc:creator>
  <cp:lastModifiedBy>LUO</cp:lastModifiedBy>
  <dcterms:modified xsi:type="dcterms:W3CDTF">2026-06-15T10:22:03Z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056D8C0464A9419DA7261211E9B207EF_11</vt:lpwstr>
  </property>
  <property fmtid="{D5CDD505-2E9C-101B-9397-08002B2CF9AE}" pid="4" name="KSOTemplateDocerSaveRecord">
    <vt:lpwstr>eyJoZGlkIjoiYWU4ZTBjMjE2M2YzYWU3ZDlhMGIxNDc3N2YzZjk2MjkiLCJ1c2VySWQiOiIxMTI0MDc3NzIxIn0=</vt:lpwstr>
  </property>
</Properties>
</file>