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10EC163E">
      <w:pPr>
        <w:pageBreakBefore w:val="0"/>
        <w:widowControl w:val="0"/>
        <w:wordWrap/>
        <w:overflowPunct/>
        <w:topLinePunct w:val="0"/>
        <w:bidi w:val="0"/>
        <w:spacing w:line="309" w:lineRule="auto"/>
        <w:jc w:val="center"/>
        <w:rPr>
          <w:color w:val="auto"/>
          <w:highlight w:val="none"/>
          <w:lang w:eastAsia="zh-CN"/>
        </w:rPr>
      </w:pPr>
    </w:p>
    <w:p w14:paraId="0F2A714C">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00D6E72B">
      <w:pPr>
        <w:pageBreakBefore w:val="0"/>
        <w:widowControl w:val="0"/>
        <w:wordWrap/>
        <w:overflowPunct/>
        <w:topLinePunct w:val="0"/>
        <w:bidi w:val="0"/>
        <w:spacing w:before="64"/>
        <w:rPr>
          <w:color w:val="auto"/>
          <w:highlight w:val="none"/>
        </w:rPr>
      </w:pPr>
    </w:p>
    <w:tbl>
      <w:tblPr>
        <w:tblStyle w:val="5"/>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6C82F925">
            <w:pPr>
              <w:pStyle w:val="6"/>
              <w:pageBreakBefore w:val="0"/>
              <w:widowControl w:val="0"/>
              <w:wordWrap/>
              <w:overflowPunct/>
              <w:topLinePunct w:val="0"/>
              <w:bidi w:val="0"/>
              <w:spacing w:line="245" w:lineRule="auto"/>
              <w:rPr>
                <w:color w:val="auto"/>
                <w:highlight w:val="none"/>
              </w:rPr>
            </w:pPr>
          </w:p>
          <w:p w14:paraId="40F7ED8D">
            <w:pPr>
              <w:pStyle w:val="6"/>
              <w:pageBreakBefore w:val="0"/>
              <w:widowControl w:val="0"/>
              <w:wordWrap/>
              <w:overflowPunct/>
              <w:topLinePunct w:val="0"/>
              <w:bidi w:val="0"/>
              <w:spacing w:line="246" w:lineRule="auto"/>
              <w:rPr>
                <w:color w:val="auto"/>
                <w:highlight w:val="none"/>
              </w:rPr>
            </w:pPr>
          </w:p>
          <w:p w14:paraId="22D0E8F0">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2CCD6524">
            <w:pPr>
              <w:pStyle w:val="6"/>
              <w:pageBreakBefore w:val="0"/>
              <w:widowControl w:val="0"/>
              <w:wordWrap/>
              <w:overflowPunct/>
              <w:topLinePunct w:val="0"/>
              <w:bidi w:val="0"/>
              <w:spacing w:line="338" w:lineRule="auto"/>
              <w:rPr>
                <w:color w:val="auto"/>
                <w:highlight w:val="none"/>
              </w:rPr>
            </w:pPr>
          </w:p>
          <w:p w14:paraId="56739E74">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12B26195">
            <w:pPr>
              <w:pStyle w:val="6"/>
              <w:pageBreakBefore w:val="0"/>
              <w:widowControl w:val="0"/>
              <w:wordWrap/>
              <w:overflowPunct/>
              <w:topLinePunct w:val="0"/>
              <w:bidi w:val="0"/>
              <w:spacing w:line="263" w:lineRule="auto"/>
              <w:rPr>
                <w:color w:val="auto"/>
                <w:highlight w:val="none"/>
              </w:rPr>
            </w:pPr>
          </w:p>
          <w:p w14:paraId="0743B18A">
            <w:pPr>
              <w:pStyle w:val="6"/>
              <w:pageBreakBefore w:val="0"/>
              <w:widowControl w:val="0"/>
              <w:wordWrap/>
              <w:overflowPunct/>
              <w:topLinePunct w:val="0"/>
              <w:bidi w:val="0"/>
              <w:spacing w:line="263" w:lineRule="auto"/>
              <w:rPr>
                <w:color w:val="auto"/>
                <w:highlight w:val="none"/>
              </w:rPr>
            </w:pPr>
          </w:p>
          <w:p w14:paraId="144BF3D0">
            <w:pPr>
              <w:pStyle w:val="6"/>
              <w:pageBreakBefore w:val="0"/>
              <w:widowControl w:val="0"/>
              <w:wordWrap/>
              <w:overflowPunct/>
              <w:topLinePunct w:val="0"/>
              <w:bidi w:val="0"/>
              <w:spacing w:line="264" w:lineRule="auto"/>
              <w:rPr>
                <w:color w:val="auto"/>
                <w:highlight w:val="none"/>
              </w:rPr>
            </w:pPr>
          </w:p>
          <w:p w14:paraId="537402C6">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tcPr>
          <w:p w14:paraId="08CE9823">
            <w:pPr>
              <w:pStyle w:val="6"/>
              <w:pageBreakBefore w:val="0"/>
              <w:widowControl w:val="0"/>
              <w:wordWrap/>
              <w:overflowPunct/>
              <w:topLinePunct w:val="0"/>
              <w:bidi w:val="0"/>
              <w:rPr>
                <w:color w:val="auto"/>
                <w:highlight w:val="none"/>
              </w:rPr>
            </w:pPr>
          </w:p>
          <w:p w14:paraId="11F72724">
            <w:pPr>
              <w:bidi w:val="0"/>
            </w:pPr>
          </w:p>
          <w:p w14:paraId="2423C644">
            <w:pPr>
              <w:bidi w:val="0"/>
            </w:pPr>
          </w:p>
          <w:p w14:paraId="07B0E776">
            <w:pPr>
              <w:bidi w:val="0"/>
            </w:pPr>
          </w:p>
          <w:p w14:paraId="74CC95B5">
            <w:pPr>
              <w:tabs>
                <w:tab w:val="left" w:pos="3692"/>
              </w:tabs>
              <w:bidi w:val="0"/>
              <w:jc w:val="left"/>
              <w:rPr>
                <w:rFonts w:hint="eastAsia" w:eastAsia="宋体"/>
                <w:lang w:eastAsia="zh-CN"/>
              </w:rPr>
            </w:pPr>
            <w:r>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2026年西湖区调蓄池、钢坝闸运行维护项目</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837650">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tcPr>
          <w:p w14:paraId="0E4CD573">
            <w:pPr>
              <w:pStyle w:val="6"/>
              <w:pageBreakBefore w:val="0"/>
              <w:widowControl w:val="0"/>
              <w:wordWrap/>
              <w:overflowPunct/>
              <w:topLinePunct w:val="0"/>
              <w:bidi w:val="0"/>
              <w:rPr>
                <w:color w:val="auto"/>
                <w:highlight w:val="none"/>
              </w:rPr>
            </w:pPr>
          </w:p>
          <w:p w14:paraId="6A3FA573">
            <w:pPr>
              <w:tabs>
                <w:tab w:val="left" w:pos="2359"/>
              </w:tabs>
              <w:bidi w:val="0"/>
              <w:jc w:val="left"/>
              <w:rPr>
                <w:rFonts w:hint="default" w:eastAsia="宋体"/>
                <w:lang w:val="en-US" w:eastAsia="zh-CN"/>
              </w:rPr>
            </w:pPr>
            <w:r>
              <w:rPr>
                <w:rFonts w:hint="eastAsia" w:eastAsia="宋体"/>
                <w:lang w:eastAsia="zh-CN"/>
              </w:rPr>
              <w:tab/>
            </w:r>
            <w:r>
              <w:rPr>
                <w:rFonts w:hint="eastAsia" w:eastAsia="宋体"/>
                <w:lang w:val="en-US" w:eastAsia="zh-CN"/>
              </w:rPr>
              <w:t>1项</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4E77148">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shd w:val="clear" w:color="auto" w:fill="auto"/>
            <w:vAlign w:val="center"/>
          </w:tcPr>
          <w:p w14:paraId="6EA23D1E">
            <w:pPr>
              <w:pStyle w:val="6"/>
              <w:pageBreakBefore w:val="0"/>
              <w:widowControl w:val="0"/>
              <w:wordWrap/>
              <w:overflowPunct/>
              <w:topLinePunct w:val="0"/>
              <w:bidi w:val="0"/>
              <w:jc w:val="center"/>
              <w:rPr>
                <w:rFonts w:hint="default" w:ascii="Arial" w:hAnsi="Arial" w:eastAsia="宋体" w:cs="Arial"/>
                <w:snapToGrid w:val="0"/>
                <w:color w:val="auto"/>
                <w:spacing w:val="0"/>
                <w:position w:val="0"/>
                <w:sz w:val="21"/>
                <w:szCs w:val="21"/>
                <w:lang w:val="en-US" w:eastAsia="zh-CN" w:bidi="ar-SA"/>
              </w:rPr>
            </w:pPr>
            <w:r>
              <w:rPr>
                <w:rFonts w:hint="eastAsia" w:eastAsia="宋体"/>
                <w:color w:val="auto"/>
                <w:spacing w:val="0"/>
                <w:position w:val="0"/>
                <w:lang w:val="en-US" w:eastAsia="zh-CN"/>
              </w:rPr>
              <w:t>自合同签订起12个月</w:t>
            </w: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9591CCF">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shd w:val="clear" w:color="auto" w:fill="auto"/>
            <w:vAlign w:val="center"/>
          </w:tcPr>
          <w:p w14:paraId="4BB6DCE7">
            <w:pPr>
              <w:pStyle w:val="6"/>
              <w:pageBreakBefore w:val="0"/>
              <w:widowControl w:val="0"/>
              <w:wordWrap/>
              <w:overflowPunct/>
              <w:topLinePunct w:val="0"/>
              <w:bidi w:val="0"/>
              <w:jc w:val="center"/>
              <w:rPr>
                <w:rFonts w:hint="default" w:ascii="Arial" w:hAnsi="Arial" w:eastAsia="宋体" w:cs="Arial"/>
                <w:snapToGrid w:val="0"/>
                <w:color w:val="auto"/>
                <w:spacing w:val="0"/>
                <w:position w:val="0"/>
                <w:sz w:val="21"/>
                <w:szCs w:val="21"/>
                <w:lang w:val="en-US" w:eastAsia="zh-CN" w:bidi="ar-SA"/>
              </w:rPr>
            </w:pPr>
            <w:r>
              <w:rPr>
                <w:rFonts w:hint="eastAsia" w:eastAsia="宋体"/>
                <w:color w:val="auto"/>
                <w:spacing w:val="0"/>
                <w:position w:val="0"/>
                <w:lang w:val="en-US" w:eastAsia="zh-CN"/>
              </w:rPr>
              <w:t>采购人指定地点</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62C91BD2">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shd w:val="clear" w:color="auto" w:fill="auto"/>
            <w:vAlign w:val="center"/>
          </w:tcPr>
          <w:p w14:paraId="350793D5">
            <w:pPr>
              <w:pStyle w:val="6"/>
              <w:pageBreakBefore w:val="0"/>
              <w:widowControl w:val="0"/>
              <w:wordWrap/>
              <w:overflowPunct/>
              <w:topLinePunct w:val="0"/>
              <w:bidi w:val="0"/>
              <w:jc w:val="center"/>
              <w:rPr>
                <w:rFonts w:hint="eastAsia" w:ascii="Arial" w:hAnsi="Arial" w:eastAsia="宋体" w:cs="Arial"/>
                <w:snapToGrid w:val="0"/>
                <w:color w:val="auto"/>
                <w:spacing w:val="0"/>
                <w:position w:val="0"/>
                <w:sz w:val="21"/>
                <w:szCs w:val="21"/>
                <w:lang w:val="en-US" w:eastAsia="zh-CN" w:bidi="ar-SA"/>
              </w:rPr>
            </w:pPr>
            <w:r>
              <w:rPr>
                <w:rFonts w:hint="eastAsia" w:ascii="宋体" w:hAnsi="宋体"/>
                <w:sz w:val="24"/>
              </w:rPr>
              <w:t>报价应是本</w:t>
            </w:r>
            <w:r>
              <w:rPr>
                <w:rFonts w:hint="eastAsia" w:ascii="宋体" w:hAnsi="宋体" w:eastAsia="宋体"/>
                <w:sz w:val="24"/>
                <w:lang w:val="en-US" w:eastAsia="zh-CN"/>
              </w:rPr>
              <w:t>采购</w:t>
            </w:r>
            <w:r>
              <w:rPr>
                <w:rFonts w:hint="eastAsia" w:ascii="宋体" w:hAnsi="宋体"/>
                <w:sz w:val="24"/>
              </w:rPr>
              <w:t>文件所确定的全部工作内容的价格体现。包括但不限于</w:t>
            </w:r>
            <w:r>
              <w:rPr>
                <w:rFonts w:hint="eastAsia" w:ascii="宋体" w:hAnsi="宋体" w:eastAsia="宋体"/>
                <w:sz w:val="24"/>
                <w:lang w:val="en-US" w:eastAsia="zh-CN"/>
              </w:rPr>
              <w:t>采购</w:t>
            </w:r>
            <w:r>
              <w:rPr>
                <w:rFonts w:hint="eastAsia" w:ascii="宋体" w:hAnsi="宋体"/>
                <w:sz w:val="24"/>
              </w:rPr>
              <w:t>文件规定的完成本项目相关服务所需的设备、人员、培训、技术支持、税费等一切相关费用。</w:t>
            </w:r>
          </w:p>
        </w:tc>
      </w:tr>
    </w:tbl>
    <w:p w14:paraId="59BD0489">
      <w:pPr>
        <w:pageBreakBefore w:val="0"/>
        <w:widowControl w:val="0"/>
        <w:wordWrap/>
        <w:overflowPunct/>
        <w:topLinePunct w:val="0"/>
        <w:bidi w:val="0"/>
        <w:rPr>
          <w:color w:val="auto"/>
          <w:highlight w:val="none"/>
        </w:rPr>
      </w:pPr>
    </w:p>
    <w:p w14:paraId="0C0723DB">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5D258939">
      <w:pPr>
        <w:pageBreakBefore w:val="0"/>
        <w:widowControl w:val="0"/>
        <w:wordWrap/>
        <w:overflowPunct/>
        <w:topLinePunct w:val="0"/>
        <w:bidi w:val="0"/>
        <w:spacing w:line="257" w:lineRule="auto"/>
        <w:rPr>
          <w:color w:val="auto"/>
          <w:highlight w:val="none"/>
        </w:rPr>
      </w:pPr>
    </w:p>
    <w:p w14:paraId="6EF4E5D2">
      <w:pPr>
        <w:pageBreakBefore w:val="0"/>
        <w:widowControl w:val="0"/>
        <w:wordWrap/>
        <w:overflowPunct/>
        <w:topLinePunct w:val="0"/>
        <w:bidi w:val="0"/>
        <w:spacing w:line="258" w:lineRule="auto"/>
        <w:rPr>
          <w:color w:val="auto"/>
          <w:highlight w:val="none"/>
        </w:rPr>
      </w:pPr>
    </w:p>
    <w:p w14:paraId="0D9C0787">
      <w:pPr>
        <w:pageBreakBefore w:val="0"/>
        <w:widowControl w:val="0"/>
        <w:wordWrap/>
        <w:overflowPunct/>
        <w:topLinePunct w:val="0"/>
        <w:bidi w:val="0"/>
        <w:spacing w:line="258" w:lineRule="auto"/>
        <w:rPr>
          <w:color w:val="auto"/>
          <w:highlight w:val="none"/>
        </w:rPr>
      </w:pPr>
    </w:p>
    <w:p w14:paraId="213747F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1E5D115B">
      <w:pPr>
        <w:snapToGrid w:val="0"/>
        <w:spacing w:line="360" w:lineRule="auto"/>
        <w:ind w:firstLine="480" w:firstLineChars="200"/>
        <w:rPr>
          <w:rFonts w:hint="eastAsia" w:ascii="宋体" w:hAnsi="宋体"/>
          <w:sz w:val="24"/>
        </w:rPr>
      </w:pPr>
      <w:bookmarkStart w:id="1" w:name="_Toc507685245"/>
      <w:r>
        <w:rPr>
          <w:rFonts w:hint="eastAsia" w:ascii="宋体" w:hAnsi="宋体"/>
          <w:sz w:val="24"/>
        </w:rPr>
        <w:t>为做好南昌市西湖</w:t>
      </w:r>
      <w:r>
        <w:rPr>
          <w:rFonts w:hint="eastAsia" w:ascii="宋体" w:hAnsi="宋体"/>
          <w:sz w:val="24"/>
          <w:highlight w:val="none"/>
        </w:rPr>
        <w:t>区范围内，1-5号钢坝闸、1-5号调蓄池、老2号电排站、西桃花河临时污水泵站、叠梁闸、抚生南路推流闸、云飞路引流渠闸门的</w:t>
      </w:r>
      <w:r>
        <w:rPr>
          <w:rFonts w:hint="eastAsia" w:ascii="宋体" w:hAnsi="宋体"/>
          <w:sz w:val="24"/>
        </w:rPr>
        <w:t>日常运行管理工作(包括不限于日常巡视、配置操作看护人员、配合</w:t>
      </w:r>
      <w:r>
        <w:rPr>
          <w:rFonts w:hint="eastAsia" w:ascii="宋体" w:hAnsi="宋体" w:eastAsia="宋体"/>
          <w:sz w:val="24"/>
          <w:lang w:val="en-US" w:eastAsia="zh-CN"/>
        </w:rPr>
        <w:t>采购人</w:t>
      </w:r>
      <w:r>
        <w:rPr>
          <w:rFonts w:hint="eastAsia" w:ascii="宋体" w:hAnsi="宋体"/>
          <w:sz w:val="24"/>
        </w:rPr>
        <w:t>做好汛期防汛工作，并做好相应台账，保证电排站、调蓄池、钢坝闸等正常运行、安全及环境卫生清洁。)</w:t>
      </w:r>
      <w:bookmarkEnd w:id="1"/>
    </w:p>
    <w:p w14:paraId="098FDAB8">
      <w:pPr>
        <w:snapToGrid w:val="0"/>
        <w:spacing w:line="360" w:lineRule="auto"/>
        <w:ind w:firstLine="480" w:firstLineChars="200"/>
        <w:rPr>
          <w:rFonts w:hint="eastAsia" w:ascii="宋体" w:hAnsi="宋体"/>
          <w:sz w:val="24"/>
        </w:rPr>
      </w:pPr>
      <w:r>
        <w:rPr>
          <w:rFonts w:hint="eastAsia" w:ascii="宋体" w:hAnsi="宋体" w:eastAsia="宋体"/>
          <w:sz w:val="24"/>
          <w:lang w:val="en-US" w:eastAsia="zh-CN"/>
        </w:rPr>
        <w:t>维修保养内容</w:t>
      </w:r>
      <w:r>
        <w:rPr>
          <w:rFonts w:hint="eastAsia" w:ascii="宋体" w:hAnsi="宋体"/>
          <w:sz w:val="24"/>
        </w:rPr>
        <w:t>：</w:t>
      </w:r>
    </w:p>
    <w:p w14:paraId="12038740">
      <w:pPr>
        <w:snapToGrid w:val="0"/>
        <w:spacing w:line="360" w:lineRule="auto"/>
        <w:ind w:firstLine="480" w:firstLineChars="200"/>
        <w:rPr>
          <w:rFonts w:hint="eastAsia" w:ascii="宋体" w:hAnsi="宋体"/>
          <w:sz w:val="24"/>
        </w:rPr>
      </w:pPr>
      <w:r>
        <w:rPr>
          <w:rFonts w:hint="eastAsia" w:ascii="宋体" w:hAnsi="宋体"/>
          <w:sz w:val="24"/>
        </w:rPr>
        <w:t>(1)机械类设备保养:常用水泵、流量计、格栅、启闭机(闸门)、压榨机、行车(含电动葫芦)、泵站内进出水管等。</w:t>
      </w:r>
    </w:p>
    <w:p w14:paraId="021C47AA">
      <w:pPr>
        <w:snapToGrid w:val="0"/>
        <w:spacing w:line="360" w:lineRule="auto"/>
        <w:ind w:firstLine="480" w:firstLineChars="200"/>
        <w:rPr>
          <w:rFonts w:hint="eastAsia" w:ascii="宋体" w:hAnsi="宋体"/>
          <w:sz w:val="24"/>
        </w:rPr>
      </w:pPr>
      <w:r>
        <w:rPr>
          <w:rFonts w:hint="eastAsia" w:ascii="宋体" w:hAnsi="宋体"/>
          <w:sz w:val="24"/>
        </w:rPr>
        <w:t>(2)除臭设施日常保养(清洗、除尘):(1)生物除臭设施:生物反应器、风机、填料、水泵、气液分离器、控制系统等;(2)等离子除臭装置:等离子发生器、高压电源、处理室(通风装置)、冷却系统等。</w:t>
      </w:r>
    </w:p>
    <w:p w14:paraId="659D8040">
      <w:pPr>
        <w:snapToGrid w:val="0"/>
        <w:spacing w:line="360" w:lineRule="auto"/>
        <w:ind w:firstLine="480" w:firstLineChars="200"/>
        <w:rPr>
          <w:rFonts w:hint="eastAsia" w:ascii="宋体" w:hAnsi="宋体"/>
          <w:sz w:val="24"/>
        </w:rPr>
      </w:pPr>
      <w:r>
        <w:rPr>
          <w:rFonts w:hint="eastAsia" w:ascii="宋体" w:hAnsi="宋体"/>
          <w:sz w:val="24"/>
        </w:rPr>
        <w:t>(3)电气设备保养:控制柜及软件启动、高(低)压控制板及软件启动、变压器及专变线路、电缆(含泵机电缆)、电线等;定期对控制柜内进行除尘、清除线接头氧化层。</w:t>
      </w:r>
    </w:p>
    <w:p w14:paraId="5F46B17B">
      <w:pPr>
        <w:snapToGrid w:val="0"/>
        <w:spacing w:line="360" w:lineRule="auto"/>
        <w:ind w:firstLine="480" w:firstLineChars="200"/>
        <w:rPr>
          <w:rFonts w:hint="eastAsia" w:ascii="宋体" w:hAnsi="宋体"/>
          <w:sz w:val="24"/>
        </w:rPr>
      </w:pPr>
      <w:r>
        <w:rPr>
          <w:rFonts w:hint="eastAsia" w:ascii="宋体" w:hAnsi="宋体"/>
          <w:sz w:val="24"/>
        </w:rPr>
        <w:t>(4)雨水泵站发电机组的日常保养、润滑油</w:t>
      </w:r>
      <w:r>
        <w:rPr>
          <w:rFonts w:hint="eastAsia" w:ascii="宋体" w:hAnsi="宋体" w:eastAsia="宋体"/>
          <w:sz w:val="24"/>
          <w:lang w:val="en-US" w:eastAsia="zh-CN"/>
        </w:rPr>
        <w:t>保养</w:t>
      </w:r>
      <w:r>
        <w:rPr>
          <w:rFonts w:hint="eastAsia" w:ascii="宋体" w:hAnsi="宋体"/>
          <w:sz w:val="24"/>
        </w:rPr>
        <w:t>等。</w:t>
      </w:r>
    </w:p>
    <w:p w14:paraId="74EF6FB6">
      <w:pPr>
        <w:snapToGrid w:val="0"/>
        <w:spacing w:line="360" w:lineRule="auto"/>
        <w:ind w:firstLine="480" w:firstLineChars="200"/>
        <w:rPr>
          <w:rFonts w:hint="eastAsia" w:ascii="宋体" w:hAnsi="宋体"/>
          <w:sz w:val="24"/>
        </w:rPr>
      </w:pPr>
      <w:r>
        <w:rPr>
          <w:rFonts w:hint="eastAsia" w:ascii="宋体" w:hAnsi="宋体"/>
          <w:sz w:val="24"/>
        </w:rPr>
        <w:t>(5)安全及应急防汛设施</w:t>
      </w:r>
      <w:r>
        <w:rPr>
          <w:rFonts w:hint="eastAsia" w:ascii="宋体" w:hAnsi="宋体" w:eastAsia="宋体"/>
          <w:sz w:val="24"/>
          <w:lang w:val="en-US" w:eastAsia="zh-CN"/>
        </w:rPr>
        <w:t>日常保养</w:t>
      </w:r>
      <w:r>
        <w:rPr>
          <w:rFonts w:hint="eastAsia" w:ascii="宋体" w:hAnsi="宋体"/>
          <w:sz w:val="24"/>
        </w:rPr>
        <w:t>、用具配备:灭火器到期更换、绝缘垫破损或老化更换;配备绝缘手套、绝缘鞋、防毒面具、置物架等安全用具;防撞桶、防撞锥、防护栏、反光灯等应急防汛安全设施破损或老旧更换。</w:t>
      </w:r>
    </w:p>
    <w:p w14:paraId="0A48388F">
      <w:pPr>
        <w:snapToGrid w:val="0"/>
        <w:spacing w:line="360" w:lineRule="auto"/>
        <w:ind w:firstLine="480" w:firstLineChars="200"/>
        <w:rPr>
          <w:rFonts w:hint="eastAsia" w:ascii="宋体" w:hAnsi="宋体"/>
          <w:sz w:val="24"/>
        </w:rPr>
      </w:pPr>
      <w:r>
        <w:rPr>
          <w:rFonts w:hint="eastAsia" w:ascii="宋体" w:hAnsi="宋体"/>
          <w:sz w:val="24"/>
        </w:rPr>
        <w:t>(</w:t>
      </w:r>
      <w:r>
        <w:rPr>
          <w:rFonts w:hint="eastAsia" w:ascii="宋体" w:hAnsi="宋体" w:eastAsia="宋体"/>
          <w:sz w:val="24"/>
          <w:lang w:val="en-US" w:eastAsia="zh-CN"/>
        </w:rPr>
        <w:t>6</w:t>
      </w:r>
      <w:r>
        <w:rPr>
          <w:rFonts w:hint="eastAsia" w:ascii="宋体" w:hAnsi="宋体"/>
          <w:sz w:val="24"/>
        </w:rPr>
        <w:t>)泵站内标识牌、宣传牌、制度牌等老旧更换。</w:t>
      </w:r>
    </w:p>
    <w:p w14:paraId="4BDEACB1">
      <w:pPr>
        <w:snapToGrid w:val="0"/>
        <w:spacing w:line="360" w:lineRule="auto"/>
        <w:ind w:firstLine="480" w:firstLineChars="200"/>
        <w:rPr>
          <w:rFonts w:hint="eastAsia" w:ascii="宋体" w:hAnsi="宋体"/>
          <w:sz w:val="24"/>
        </w:rPr>
      </w:pPr>
      <w:r>
        <w:rPr>
          <w:rFonts w:hint="eastAsia" w:ascii="宋体" w:hAnsi="宋体"/>
          <w:sz w:val="24"/>
        </w:rPr>
        <w:t>(</w:t>
      </w:r>
      <w:r>
        <w:rPr>
          <w:rFonts w:hint="eastAsia" w:ascii="宋体" w:hAnsi="宋体"/>
          <w:sz w:val="24"/>
          <w:lang w:val="en-US" w:eastAsia="zh-CN"/>
        </w:rPr>
        <w:t>7</w:t>
      </w:r>
      <w:r>
        <w:rPr>
          <w:rFonts w:hint="eastAsia" w:ascii="宋体" w:hAnsi="宋体"/>
          <w:sz w:val="24"/>
        </w:rPr>
        <w:t>)环境卫生:泵站院内杂物、垃圾、栅渣清理，泵站内树枝、草皮、杂草修剪、清理，泵站所办公场所绿植更换及日常保养等。</w:t>
      </w:r>
    </w:p>
    <w:p w14:paraId="59E95BBD">
      <w:pPr>
        <w:snapToGrid w:val="0"/>
        <w:spacing w:line="360" w:lineRule="auto"/>
        <w:ind w:firstLine="480" w:firstLineChars="200"/>
        <w:rPr>
          <w:rFonts w:hint="eastAsia" w:ascii="宋体" w:hAnsi="宋体"/>
          <w:sz w:val="24"/>
        </w:rPr>
      </w:pPr>
      <w:r>
        <w:rPr>
          <w:rFonts w:hint="eastAsia" w:ascii="宋体" w:hAnsi="宋体"/>
          <w:sz w:val="24"/>
        </w:rPr>
        <w:t>(</w:t>
      </w:r>
      <w:r>
        <w:rPr>
          <w:rFonts w:hint="eastAsia" w:ascii="宋体" w:hAnsi="宋体"/>
          <w:sz w:val="24"/>
          <w:lang w:val="en-US" w:eastAsia="zh-CN"/>
        </w:rPr>
        <w:t>8</w:t>
      </w:r>
      <w:r>
        <w:rPr>
          <w:rFonts w:hint="eastAsia" w:ascii="宋体" w:hAnsi="宋体"/>
          <w:sz w:val="24"/>
        </w:rPr>
        <w:t>)清掏:对所辖雨、污泵站进行冬季清掏，汛前对雨水泵站集水池、过桥管道及桥下明沟进行清掏以便安全度汛，确保各泵站集水池无淤泥，管道通畅。</w:t>
      </w:r>
    </w:p>
    <w:p w14:paraId="2879027C">
      <w:pPr>
        <w:snapToGrid w:val="0"/>
        <w:spacing w:line="360" w:lineRule="auto"/>
        <w:ind w:firstLine="482" w:firstLineChars="200"/>
        <w:rPr>
          <w:rFonts w:hint="eastAsia" w:ascii="宋体" w:hAnsi="宋体" w:eastAsia="宋体" w:cs="Times New Roman"/>
          <w:b/>
          <w:bCs/>
          <w:color w:val="auto"/>
          <w:sz w:val="24"/>
          <w:lang w:val="en-US" w:eastAsia="zh-CN"/>
        </w:rPr>
      </w:pPr>
      <w:r>
        <w:rPr>
          <w:rFonts w:hint="eastAsia" w:ascii="宋体" w:hAnsi="宋体" w:eastAsia="宋体" w:cs="Times New Roman"/>
          <w:b/>
          <w:bCs/>
          <w:color w:val="auto"/>
          <w:sz w:val="24"/>
          <w:lang w:val="en-US" w:eastAsia="zh-CN"/>
        </w:rPr>
        <w:t>注:以上技术要求投标人必须完全响应，否则响应无效。</w:t>
      </w:r>
    </w:p>
    <w:p w14:paraId="7047C8EB">
      <w:pPr>
        <w:pageBreakBefore w:val="0"/>
        <w:widowControl w:val="0"/>
        <w:wordWrap/>
        <w:overflowPunct/>
        <w:topLinePunct w:val="0"/>
        <w:bidi w:val="0"/>
        <w:spacing w:line="242" w:lineRule="auto"/>
        <w:rPr>
          <w:color w:val="auto"/>
          <w:highlight w:val="none"/>
        </w:rPr>
      </w:pPr>
    </w:p>
    <w:p w14:paraId="0ED68AAC">
      <w:pPr>
        <w:pageBreakBefore w:val="0"/>
        <w:widowControl w:val="0"/>
        <w:wordWrap/>
        <w:overflowPunct/>
        <w:topLinePunct w:val="0"/>
        <w:bidi w:val="0"/>
        <w:spacing w:line="242" w:lineRule="auto"/>
        <w:rPr>
          <w:color w:val="auto"/>
          <w:highlight w:val="none"/>
        </w:rPr>
      </w:pPr>
    </w:p>
    <w:p w14:paraId="76B3E312">
      <w:pPr>
        <w:pageBreakBefore w:val="0"/>
        <w:widowControl w:val="0"/>
        <w:wordWrap/>
        <w:overflowPunct/>
        <w:topLinePunct w:val="0"/>
        <w:bidi w:val="0"/>
        <w:spacing w:line="242" w:lineRule="auto"/>
        <w:rPr>
          <w:color w:val="auto"/>
          <w:highlight w:val="none"/>
        </w:rPr>
      </w:pPr>
    </w:p>
    <w:p w14:paraId="50A204EC">
      <w:pPr>
        <w:pageBreakBefore w:val="0"/>
        <w:widowControl w:val="0"/>
        <w:wordWrap/>
        <w:overflowPunct/>
        <w:topLinePunct w:val="0"/>
        <w:bidi w:val="0"/>
        <w:spacing w:line="242" w:lineRule="auto"/>
        <w:rPr>
          <w:color w:val="auto"/>
          <w:highlight w:val="none"/>
        </w:rPr>
      </w:pPr>
    </w:p>
    <w:p w14:paraId="6D351342">
      <w:pPr>
        <w:pageBreakBefore w:val="0"/>
        <w:widowControl w:val="0"/>
        <w:wordWrap/>
        <w:overflowPunct/>
        <w:topLinePunct w:val="0"/>
        <w:bidi w:val="0"/>
        <w:spacing w:line="242" w:lineRule="auto"/>
        <w:rPr>
          <w:color w:val="auto"/>
          <w:highlight w:val="none"/>
        </w:rPr>
      </w:pPr>
    </w:p>
    <w:p w14:paraId="6CD0063E">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48D7B8A7">
      <w:pPr>
        <w:pageBreakBefore w:val="0"/>
        <w:widowControl w:val="0"/>
        <w:wordWrap/>
        <w:overflowPunct/>
        <w:topLinePunct w:val="0"/>
        <w:bidi w:val="0"/>
        <w:spacing w:line="249" w:lineRule="auto"/>
        <w:rPr>
          <w:color w:val="auto"/>
          <w:highlight w:val="none"/>
          <w:lang w:eastAsia="zh-CN"/>
        </w:rPr>
      </w:pPr>
    </w:p>
    <w:p w14:paraId="09A5B4EE">
      <w:pPr>
        <w:snapToGrid w:val="0"/>
        <w:spacing w:line="360" w:lineRule="auto"/>
        <w:ind w:firstLine="480" w:firstLineChars="200"/>
        <w:rPr>
          <w:rFonts w:hint="eastAsia" w:ascii="宋体" w:hAnsi="宋体"/>
          <w:sz w:val="24"/>
        </w:rPr>
      </w:pPr>
      <w:r>
        <w:rPr>
          <w:rFonts w:hint="eastAsia" w:ascii="宋体" w:hAnsi="宋体" w:eastAsia="宋体"/>
          <w:sz w:val="24"/>
          <w:lang w:val="en-US" w:eastAsia="zh-CN"/>
        </w:rPr>
        <w:t>1、</w:t>
      </w:r>
      <w:r>
        <w:rPr>
          <w:rFonts w:hint="eastAsia" w:ascii="宋体" w:hAnsi="宋体"/>
          <w:sz w:val="24"/>
        </w:rPr>
        <w:t>服务期限：</w:t>
      </w:r>
      <w:r>
        <w:rPr>
          <w:rFonts w:hint="eastAsia" w:ascii="宋体" w:hAnsi="宋体" w:eastAsia="宋体" w:cs="宋体"/>
          <w:color w:val="auto"/>
          <w:spacing w:val="0"/>
          <w:position w:val="0"/>
          <w:sz w:val="24"/>
          <w:szCs w:val="24"/>
          <w:highlight w:val="none"/>
          <w:u w:val="single"/>
          <w:lang w:val="en-US" w:eastAsia="zh-CN"/>
        </w:rPr>
        <w:t>自合同签订之日起12个月</w:t>
      </w:r>
      <w:r>
        <w:rPr>
          <w:rFonts w:hint="eastAsia" w:ascii="宋体" w:hAnsi="宋体"/>
          <w:sz w:val="24"/>
        </w:rPr>
        <w:t>。</w:t>
      </w:r>
    </w:p>
    <w:p w14:paraId="28A7B76E">
      <w:pPr>
        <w:snapToGrid w:val="0"/>
        <w:spacing w:line="360" w:lineRule="auto"/>
        <w:ind w:firstLine="480" w:firstLineChars="200"/>
        <w:rPr>
          <w:rFonts w:hint="eastAsia" w:ascii="宋体" w:hAnsi="宋体" w:eastAsia="宋体" w:cs="Times New Roman"/>
          <w:sz w:val="24"/>
          <w:lang w:val="en-US" w:eastAsia="zh-CN"/>
        </w:rPr>
      </w:pPr>
      <w:r>
        <w:rPr>
          <w:rFonts w:hint="eastAsia" w:ascii="宋体" w:hAnsi="宋体" w:eastAsia="宋体"/>
          <w:sz w:val="24"/>
          <w:lang w:val="en-US" w:eastAsia="zh-CN"/>
        </w:rPr>
        <w:t>2、服务</w:t>
      </w:r>
      <w:r>
        <w:rPr>
          <w:rFonts w:hint="eastAsia" w:ascii="宋体" w:hAnsi="宋体"/>
          <w:sz w:val="24"/>
        </w:rPr>
        <w:t>地点：</w:t>
      </w:r>
      <w:r>
        <w:rPr>
          <w:rFonts w:hint="eastAsia" w:ascii="宋体" w:hAnsi="宋体" w:eastAsia="宋体" w:cs="Times New Roman"/>
          <w:sz w:val="24"/>
          <w:lang w:val="en-US" w:eastAsia="zh-CN"/>
        </w:rPr>
        <w:t>采购人指定的项目地点。</w:t>
      </w:r>
    </w:p>
    <w:p w14:paraId="4FC6421D">
      <w:pPr>
        <w:numPr>
          <w:ilvl w:val="0"/>
          <w:numId w:val="1"/>
        </w:numPr>
        <w:snapToGrid w:val="0"/>
        <w:spacing w:line="360" w:lineRule="auto"/>
        <w:ind w:firstLine="480" w:firstLineChars="200"/>
        <w:rPr>
          <w:rFonts w:hint="eastAsia" w:ascii="宋体" w:hAnsi="宋体"/>
          <w:sz w:val="24"/>
        </w:rPr>
      </w:pPr>
      <w:r>
        <w:rPr>
          <w:rFonts w:hint="eastAsia" w:ascii="宋体" w:hAnsi="宋体"/>
          <w:sz w:val="24"/>
        </w:rPr>
        <w:t>付款方式：具体根据实际运维期限，按月考核，按月计算运维经费，按月支付。运维经费采用先作业后拨付的方式逐期支付。次月15日前根据</w:t>
      </w:r>
      <w:r>
        <w:rPr>
          <w:rFonts w:hint="eastAsia" w:ascii="宋体" w:hAnsi="宋体" w:eastAsia="宋体"/>
          <w:sz w:val="24"/>
          <w:lang w:val="en-US" w:eastAsia="zh-CN"/>
        </w:rPr>
        <w:t>供应商</w:t>
      </w:r>
      <w:r>
        <w:rPr>
          <w:rFonts w:hint="eastAsia" w:ascii="宋体" w:hAnsi="宋体"/>
          <w:sz w:val="24"/>
        </w:rPr>
        <w:t>提供的发票结合考核情况计算每月运维经费。</w:t>
      </w:r>
    </w:p>
    <w:p w14:paraId="7C5E16D9">
      <w:pPr>
        <w:numPr>
          <w:ilvl w:val="0"/>
          <w:numId w:val="0"/>
        </w:numPr>
        <w:snapToGrid w:val="0"/>
        <w:spacing w:line="360" w:lineRule="auto"/>
        <w:ind w:firstLine="480" w:firstLineChars="200"/>
        <w:rPr>
          <w:rFonts w:hint="eastAsia" w:ascii="宋体" w:hAnsi="宋体"/>
          <w:sz w:val="24"/>
        </w:rPr>
      </w:pPr>
      <w:r>
        <w:rPr>
          <w:rFonts w:hint="eastAsia" w:ascii="宋体" w:hAnsi="宋体" w:eastAsia="宋体"/>
          <w:sz w:val="24"/>
          <w:lang w:val="en-US" w:eastAsia="zh-CN"/>
        </w:rPr>
        <w:t>4、</w:t>
      </w:r>
      <w:r>
        <w:rPr>
          <w:rFonts w:hint="eastAsia" w:ascii="宋体" w:hAnsi="宋体"/>
          <w:sz w:val="24"/>
        </w:rPr>
        <w:t>报价说明:</w:t>
      </w:r>
    </w:p>
    <w:p w14:paraId="10CF6025">
      <w:pPr>
        <w:numPr>
          <w:ilvl w:val="0"/>
          <w:numId w:val="0"/>
        </w:numPr>
        <w:snapToGrid w:val="0"/>
        <w:spacing w:line="360" w:lineRule="auto"/>
        <w:ind w:firstLine="480" w:firstLineChars="200"/>
        <w:rPr>
          <w:rFonts w:hint="eastAsia" w:ascii="宋体" w:hAnsi="宋体"/>
          <w:sz w:val="24"/>
        </w:rPr>
      </w:pPr>
      <w:r>
        <w:rPr>
          <w:rFonts w:hint="eastAsia" w:ascii="宋体" w:hAnsi="宋体" w:eastAsia="宋体"/>
          <w:sz w:val="24"/>
          <w:lang w:val="en-US" w:eastAsia="zh-CN"/>
        </w:rPr>
        <w:t>4.1</w:t>
      </w:r>
      <w:r>
        <w:rPr>
          <w:rFonts w:hint="eastAsia" w:ascii="宋体" w:hAnsi="宋体"/>
          <w:sz w:val="24"/>
        </w:rPr>
        <w:t>报价包含完成本服务项目全部内容的所有费用及合同履行过程中的不可预见费用</w:t>
      </w:r>
    </w:p>
    <w:p w14:paraId="19F508FC">
      <w:pPr>
        <w:numPr>
          <w:ilvl w:val="0"/>
          <w:numId w:val="0"/>
        </w:numPr>
        <w:snapToGrid w:val="0"/>
        <w:spacing w:line="360" w:lineRule="auto"/>
        <w:ind w:firstLine="480" w:firstLineChars="200"/>
        <w:rPr>
          <w:rFonts w:hint="eastAsia" w:ascii="宋体" w:hAnsi="宋体"/>
          <w:sz w:val="24"/>
        </w:rPr>
      </w:pPr>
      <w:r>
        <w:rPr>
          <w:rFonts w:hint="eastAsia" w:ascii="宋体" w:hAnsi="宋体" w:eastAsia="宋体"/>
          <w:sz w:val="24"/>
          <w:lang w:val="en-US" w:eastAsia="zh-CN"/>
        </w:rPr>
        <w:t>4.</w:t>
      </w:r>
      <w:r>
        <w:rPr>
          <w:rFonts w:hint="eastAsia" w:ascii="宋体" w:hAnsi="宋体"/>
          <w:sz w:val="24"/>
        </w:rPr>
        <w:t>2为避免超低不合理报价恶意竞争，请各投标人合理、慎重报价。必要时评标专家将要求超低不合理报价单位提供相关证明材料，否则其报价无效。</w:t>
      </w:r>
    </w:p>
    <w:p w14:paraId="0F1E8E72">
      <w:pPr>
        <w:numPr>
          <w:ilvl w:val="0"/>
          <w:numId w:val="0"/>
        </w:numPr>
        <w:snapToGrid w:val="0"/>
        <w:spacing w:line="360" w:lineRule="auto"/>
        <w:ind w:leftChars="200"/>
        <w:rPr>
          <w:rFonts w:hint="eastAsia" w:ascii="宋体" w:hAnsi="宋体" w:eastAsia="宋体" w:cs="Times New Roman"/>
          <w:b w:val="0"/>
          <w:bCs w:val="0"/>
          <w:sz w:val="24"/>
          <w:lang w:val="en-US" w:eastAsia="zh-CN"/>
        </w:rPr>
      </w:pPr>
      <w:r>
        <w:rPr>
          <w:rFonts w:hint="eastAsia" w:ascii="宋体" w:hAnsi="宋体" w:eastAsia="宋体" w:cs="Times New Roman"/>
          <w:b w:val="0"/>
          <w:bCs w:val="0"/>
          <w:sz w:val="24"/>
          <w:lang w:val="en-US" w:eastAsia="zh-CN"/>
        </w:rPr>
        <w:t>5、人员安排</w:t>
      </w:r>
    </w:p>
    <w:p w14:paraId="178EF8DA">
      <w:pPr>
        <w:numPr>
          <w:ilvl w:val="0"/>
          <w:numId w:val="0"/>
        </w:numPr>
        <w:snapToGrid w:val="0"/>
        <w:spacing w:line="360" w:lineRule="auto"/>
        <w:ind w:leftChars="200"/>
        <w:rPr>
          <w:rFonts w:hint="eastAsia" w:ascii="宋体" w:hAnsi="宋体" w:eastAsia="宋体" w:cs="Times New Roman"/>
          <w:b w:val="0"/>
          <w:bCs w:val="0"/>
          <w:sz w:val="24"/>
          <w:lang w:val="en-US" w:eastAsia="zh-CN"/>
        </w:rPr>
      </w:pPr>
      <w:r>
        <w:rPr>
          <w:rFonts w:hint="eastAsia" w:ascii="宋体" w:hAnsi="宋体" w:eastAsia="宋体" w:cs="Times New Roman"/>
          <w:b w:val="0"/>
          <w:bCs w:val="0"/>
          <w:sz w:val="24"/>
          <w:lang w:val="en-US" w:eastAsia="zh-CN"/>
        </w:rPr>
        <w:t>5.1服务期内，老二号电排站实行24小时驻守值班制:驻守值班人员需满足法定规定年龄，必需持有电工证、操作证等证书。</w:t>
      </w:r>
    </w:p>
    <w:p w14:paraId="6F910B95">
      <w:pPr>
        <w:numPr>
          <w:ilvl w:val="0"/>
          <w:numId w:val="0"/>
        </w:numPr>
        <w:snapToGrid w:val="0"/>
        <w:spacing w:line="360" w:lineRule="auto"/>
        <w:ind w:leftChars="200"/>
        <w:rPr>
          <w:rFonts w:hint="eastAsia" w:ascii="宋体" w:hAnsi="宋体" w:eastAsia="宋体" w:cs="Times New Roman"/>
          <w:b w:val="0"/>
          <w:bCs w:val="0"/>
          <w:sz w:val="24"/>
          <w:lang w:val="en-US" w:eastAsia="zh-CN"/>
        </w:rPr>
      </w:pPr>
      <w:r>
        <w:rPr>
          <w:rFonts w:hint="eastAsia" w:ascii="宋体" w:hAnsi="宋体" w:eastAsia="宋体" w:cs="Times New Roman"/>
          <w:b w:val="0"/>
          <w:bCs w:val="0"/>
          <w:sz w:val="24"/>
          <w:lang w:val="en-US" w:eastAsia="zh-CN"/>
        </w:rPr>
        <w:t>5.2服务期内，供应商应配备不少于9名维养人员。以上人员均不得存有挂靠等违规情形且无犯罪记录，服务期内需提供两辆车配合汛期抢险及月度考核。</w:t>
      </w:r>
    </w:p>
    <w:p w14:paraId="6365AC1F">
      <w:pPr>
        <w:snapToGrid w:val="0"/>
        <w:spacing w:line="360" w:lineRule="auto"/>
        <w:ind w:firstLine="480" w:firstLineChars="200"/>
        <w:rPr>
          <w:rFonts w:hint="eastAsia" w:ascii="宋体" w:hAnsi="宋体" w:eastAsia="宋体" w:cs="Times New Roman"/>
          <w:b w:val="0"/>
          <w:bCs w:val="0"/>
          <w:sz w:val="24"/>
          <w:lang w:val="en-US" w:eastAsia="zh-CN"/>
        </w:rPr>
      </w:pPr>
      <w:r>
        <w:rPr>
          <w:rFonts w:hint="eastAsia" w:ascii="宋体" w:hAnsi="宋体"/>
          <w:sz w:val="24"/>
          <w:lang w:val="en-US" w:eastAsia="zh-CN"/>
        </w:rPr>
        <w:t>5.3服务期内，须为驻守值班人</w:t>
      </w:r>
      <w:r>
        <w:rPr>
          <w:rFonts w:hint="eastAsia" w:ascii="宋体" w:hAnsi="宋体" w:eastAsia="宋体" w:cs="Times New Roman"/>
          <w:b w:val="0"/>
          <w:bCs w:val="0"/>
          <w:sz w:val="24"/>
          <w:lang w:val="en-US" w:eastAsia="zh-CN"/>
        </w:rPr>
        <w:t>员及维修人员购买意外险等保险，以确保人员安全。</w:t>
      </w:r>
    </w:p>
    <w:p w14:paraId="28F9CF52">
      <w:pPr>
        <w:numPr>
          <w:ilvl w:val="0"/>
          <w:numId w:val="2"/>
        </w:numPr>
        <w:snapToGrid w:val="0"/>
        <w:spacing w:line="360" w:lineRule="auto"/>
        <w:ind w:leftChars="200"/>
        <w:rPr>
          <w:rFonts w:hint="eastAsia" w:ascii="宋体" w:hAnsi="宋体" w:eastAsia="宋体" w:cs="Times New Roman"/>
          <w:b w:val="0"/>
          <w:bCs w:val="0"/>
          <w:sz w:val="24"/>
          <w:lang w:val="en-US" w:eastAsia="zh-CN"/>
        </w:rPr>
      </w:pPr>
      <w:r>
        <w:rPr>
          <w:rFonts w:hint="eastAsia" w:ascii="宋体" w:hAnsi="宋体" w:eastAsia="宋体" w:cs="Times New Roman"/>
          <w:b w:val="0"/>
          <w:bCs w:val="0"/>
          <w:sz w:val="24"/>
          <w:lang w:val="en-US" w:eastAsia="zh-CN"/>
        </w:rPr>
        <w:t>其他要求</w:t>
      </w:r>
    </w:p>
    <w:p w14:paraId="0EB03858">
      <w:pPr>
        <w:numPr>
          <w:ilvl w:val="0"/>
          <w:numId w:val="0"/>
        </w:numPr>
        <w:snapToGrid w:val="0"/>
        <w:spacing w:line="360" w:lineRule="auto"/>
        <w:ind w:firstLine="480" w:firstLineChars="200"/>
        <w:rPr>
          <w:rFonts w:hint="eastAsia" w:ascii="宋体" w:hAnsi="宋体"/>
          <w:sz w:val="24"/>
          <w:lang w:val="en-US" w:eastAsia="zh-CN"/>
        </w:rPr>
      </w:pPr>
      <w:r>
        <w:rPr>
          <w:rFonts w:hint="eastAsia" w:ascii="宋体" w:hAnsi="宋体"/>
          <w:sz w:val="24"/>
          <w:lang w:val="en-US" w:eastAsia="zh-CN"/>
        </w:rPr>
        <w:t>如因设施设备保养不及时、不规范等供应商原因造成泵站污水溢流、雨水泵站立交桥底、路面积水，而被上级部门通报批评，则发生第一次时，扣除供应商当月度应拨付维养费用壹万元人民币;发生第二次时，扣除供应商当月度应拨付维养费用贰万元人民币;发生第三次及以上，采购人有权提前解除合同并进行处罚。</w:t>
      </w:r>
    </w:p>
    <w:p w14:paraId="74972416">
      <w:pPr>
        <w:snapToGrid w:val="0"/>
        <w:spacing w:line="360" w:lineRule="auto"/>
        <w:ind w:firstLine="482" w:firstLineChars="200"/>
        <w:rPr>
          <w:rFonts w:hint="eastAsia" w:ascii="宋体" w:hAnsi="宋体" w:eastAsia="宋体" w:cs="Times New Roman"/>
          <w:b/>
          <w:bCs/>
          <w:sz w:val="24"/>
          <w:lang w:val="en-US" w:eastAsia="zh-CN"/>
        </w:rPr>
      </w:pPr>
      <w:r>
        <w:rPr>
          <w:rFonts w:hint="eastAsia" w:ascii="宋体" w:hAnsi="宋体" w:eastAsia="宋体" w:cs="Times New Roman"/>
          <w:b/>
          <w:bCs/>
          <w:sz w:val="24"/>
          <w:lang w:val="en-US" w:eastAsia="zh-CN"/>
        </w:rPr>
        <w:t>注:以上商务要求投标人必须完全响应，否则响应无效。</w:t>
      </w:r>
    </w:p>
    <w:p w14:paraId="0B55E02B">
      <w:pPr>
        <w:pageBreakBefore w:val="0"/>
        <w:widowControl w:val="0"/>
        <w:wordWrap/>
        <w:overflowPunct/>
        <w:topLinePunct w:val="0"/>
        <w:bidi w:val="0"/>
        <w:spacing w:line="249" w:lineRule="auto"/>
        <w:rPr>
          <w:color w:val="auto"/>
          <w:highlight w:val="none"/>
          <w:lang w:eastAsia="zh-CN"/>
        </w:rPr>
      </w:pPr>
    </w:p>
    <w:p w14:paraId="73969265">
      <w:pPr>
        <w:pageBreakBefore w:val="0"/>
        <w:widowControl w:val="0"/>
        <w:wordWrap/>
        <w:overflowPunct/>
        <w:topLinePunct w:val="0"/>
        <w:bidi w:val="0"/>
        <w:spacing w:line="249" w:lineRule="auto"/>
        <w:rPr>
          <w:color w:val="auto"/>
          <w:highlight w:val="none"/>
          <w:lang w:eastAsia="zh-CN"/>
        </w:rPr>
      </w:pPr>
    </w:p>
    <w:p w14:paraId="2DC04F9E">
      <w:pPr>
        <w:pageBreakBefore w:val="0"/>
        <w:widowControl w:val="0"/>
        <w:wordWrap/>
        <w:overflowPunct/>
        <w:topLinePunct w:val="0"/>
        <w:bidi w:val="0"/>
        <w:spacing w:line="249" w:lineRule="auto"/>
        <w:rPr>
          <w:color w:val="auto"/>
          <w:highlight w:val="none"/>
          <w:lang w:eastAsia="zh-CN"/>
        </w:rPr>
      </w:pPr>
    </w:p>
    <w:p w14:paraId="4A2EC6C6">
      <w:pPr>
        <w:pageBreakBefore w:val="0"/>
        <w:widowControl w:val="0"/>
        <w:wordWrap/>
        <w:overflowPunct/>
        <w:topLinePunct w:val="0"/>
        <w:bidi w:val="0"/>
        <w:spacing w:line="249" w:lineRule="auto"/>
        <w:rPr>
          <w:color w:val="auto"/>
          <w:highlight w:val="none"/>
          <w:lang w:eastAsia="zh-CN"/>
        </w:rPr>
      </w:pPr>
    </w:p>
    <w:p w14:paraId="5A826DE8">
      <w:pPr>
        <w:pageBreakBefore w:val="0"/>
        <w:widowControl w:val="0"/>
        <w:wordWrap/>
        <w:overflowPunct/>
        <w:topLinePunct w:val="0"/>
        <w:bidi w:val="0"/>
        <w:spacing w:line="249" w:lineRule="auto"/>
        <w:rPr>
          <w:color w:val="auto"/>
          <w:highlight w:val="none"/>
          <w:lang w:eastAsia="zh-CN"/>
        </w:rPr>
      </w:pPr>
    </w:p>
    <w:p w14:paraId="013B32E9">
      <w:pPr>
        <w:pageBreakBefore w:val="0"/>
        <w:widowControl w:val="0"/>
        <w:wordWrap/>
        <w:overflowPunct/>
        <w:topLinePunct w:val="0"/>
        <w:bidi w:val="0"/>
        <w:spacing w:line="249" w:lineRule="auto"/>
        <w:rPr>
          <w:color w:val="auto"/>
          <w:highlight w:val="none"/>
          <w:lang w:eastAsia="zh-CN"/>
        </w:rPr>
      </w:pPr>
    </w:p>
    <w:p w14:paraId="757A9629">
      <w:pPr>
        <w:pageBreakBefore w:val="0"/>
        <w:widowControl w:val="0"/>
        <w:wordWrap/>
        <w:overflowPunct/>
        <w:topLinePunct w:val="0"/>
        <w:bidi w:val="0"/>
        <w:spacing w:line="249" w:lineRule="auto"/>
        <w:rPr>
          <w:color w:val="auto"/>
          <w:highlight w:val="none"/>
          <w:lang w:eastAsia="zh-CN"/>
        </w:rPr>
      </w:pPr>
    </w:p>
    <w:p w14:paraId="1F465C14">
      <w:pPr>
        <w:pageBreakBefore w:val="0"/>
        <w:widowControl w:val="0"/>
        <w:wordWrap/>
        <w:overflowPunct/>
        <w:topLinePunct w:val="0"/>
        <w:bidi w:val="0"/>
        <w:spacing w:line="249" w:lineRule="auto"/>
        <w:rPr>
          <w:color w:val="auto"/>
          <w:highlight w:val="none"/>
          <w:lang w:eastAsia="zh-CN"/>
        </w:rPr>
      </w:pPr>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CC433B"/>
    <w:multiLevelType w:val="singleLevel"/>
    <w:tmpl w:val="BACC433B"/>
    <w:lvl w:ilvl="0" w:tentative="0">
      <w:start w:val="3"/>
      <w:numFmt w:val="decimal"/>
      <w:suff w:val="nothing"/>
      <w:lvlText w:val="%1、"/>
      <w:lvlJc w:val="left"/>
    </w:lvl>
  </w:abstractNum>
  <w:abstractNum w:abstractNumId="1">
    <w:nsid w:val="1104E62D"/>
    <w:multiLevelType w:val="singleLevel"/>
    <w:tmpl w:val="1104E62D"/>
    <w:lvl w:ilvl="0" w:tentative="0">
      <w:start w:val="6"/>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0407A4"/>
    <w:rsid w:val="0C0407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2026-06-15T09:46:00Z</dcterms:created>
  <dc:creator>admin</dc:creator>
  <cp:lastModifiedBy>admin</cp:lastModifiedBy>
  <dcterms:modified xsi:type="dcterms:W3CDTF">2026-06-15T09:47:58Z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7510648329564301BE98123BC1CC587C_11</vt:lpwstr>
  </property>
  <property fmtid="{D5CDD505-2E9C-101B-9397-08002B2CF9AE}" pid="4" name="KSOTemplateDocerSaveRecord">
    <vt:lpwstr>eyJoZGlkIjoiYmEzZTAzMTZhNzE1NTFlZjE0ZWVkNjA3NjdlNTJlZjYiLCJ1c2VySWQiOiI1NzEyMTQyODUifQ==</vt:lpwstr>
  </property>
</Properties>
</file>