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E1767E">
      <w:pPr>
        <w:pageBreakBefore w:val="0"/>
        <w:widowControl w:val="0"/>
        <w:wordWrap/>
        <w:overflowPunct/>
        <w:topLinePunct w:val="0"/>
        <w:bidi w:val="0"/>
        <w:spacing w:before="63" w:line="224" w:lineRule="auto"/>
        <w:jc w:val="center"/>
        <w:outlineLvl w:val="0"/>
        <w:rPr>
          <w:rFonts w:hint="eastAsia" w:ascii="宋体" w:hAnsi="宋体" w:eastAsia="宋体" w:cs="宋体"/>
          <w:color w:val="auto"/>
          <w:sz w:val="31"/>
          <w:szCs w:val="31"/>
          <w:highlight w:val="none"/>
          <w:lang w:eastAsia="zh-CN"/>
        </w:rPr>
      </w:pPr>
      <w:bookmarkStart w:id="0" w:name="_Toc19210"/>
      <w:bookmarkStart w:id="17" w:name="_GoBack"/>
      <w:bookmarkEnd w:id="17"/>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p>
    <w:p w14:paraId="7A55DF17">
      <w:pPr>
        <w:pageBreakBefore w:val="0"/>
        <w:widowControl w:val="0"/>
        <w:wordWrap/>
        <w:overflowPunct/>
        <w:topLinePunct w:val="0"/>
        <w:bidi w:val="0"/>
        <w:spacing w:line="309" w:lineRule="auto"/>
        <w:jc w:val="center"/>
        <w:rPr>
          <w:rFonts w:hint="eastAsia" w:ascii="宋体" w:hAnsi="宋体" w:eastAsia="宋体" w:cs="宋体"/>
          <w:color w:val="auto"/>
          <w:highlight w:val="none"/>
          <w:lang w:eastAsia="zh-CN"/>
        </w:rPr>
      </w:pPr>
    </w:p>
    <w:p w14:paraId="4A471909">
      <w:pPr>
        <w:pageBreakBefore w:val="0"/>
        <w:widowControl w:val="0"/>
        <w:wordWrap/>
        <w:overflowPunct/>
        <w:topLinePunct w:val="0"/>
        <w:bidi w:val="0"/>
        <w:spacing w:before="78" w:line="220" w:lineRule="auto"/>
        <w:jc w:val="both"/>
        <w:outlineLvl w:val="1"/>
        <w:rPr>
          <w:rFonts w:hint="eastAsia" w:ascii="宋体" w:hAnsi="宋体" w:eastAsia="宋体" w:cs="宋体"/>
          <w:color w:val="auto"/>
          <w:sz w:val="24"/>
          <w:szCs w:val="24"/>
          <w:highlight w:val="none"/>
        </w:rPr>
      </w:pPr>
      <w:bookmarkStart w:id="1" w:name="_Toc26175"/>
      <w:bookmarkStart w:id="2" w:name="_Toc2270"/>
      <w:bookmarkStart w:id="3" w:name="_Toc12207"/>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1"/>
      <w:bookmarkEnd w:id="2"/>
      <w:bookmarkEnd w:id="3"/>
    </w:p>
    <w:tbl>
      <w:tblPr>
        <w:tblStyle w:val="7"/>
        <w:tblpPr w:leftFromText="180" w:rightFromText="180" w:vertAnchor="text" w:horzAnchor="page" w:tblpX="1478" w:tblpY="258"/>
        <w:tblOverlap w:val="never"/>
        <w:tblW w:w="901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5A94A7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B53699C">
            <w:pPr>
              <w:pageBreakBefore w:val="0"/>
              <w:widowControl w:val="0"/>
              <w:wordWrap/>
              <w:overflowPunct/>
              <w:topLinePunct w:val="0"/>
              <w:bidi w:val="0"/>
              <w:spacing w:before="183" w:line="223" w:lineRule="auto"/>
              <w:ind w:left="1091"/>
              <w:rPr>
                <w:rFonts w:hint="eastAsia" w:ascii="宋体" w:hAnsi="宋体" w:eastAsia="宋体" w:cs="宋体"/>
                <w:color w:val="auto"/>
                <w:sz w:val="24"/>
                <w:szCs w:val="24"/>
                <w:highlight w:val="none"/>
              </w:rPr>
            </w:pPr>
            <w:r>
              <w:rPr>
                <w:rFonts w:hint="eastAsia" w:ascii="宋体" w:hAnsi="宋体" w:eastAsia="宋体" w:cs="宋体"/>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9115" cy="1461135"/>
                  <wp:effectExtent l="0" t="0" r="6985" b="1206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9115" cy="1461135"/>
                          </a:xfrm>
                          <a:prstGeom prst="rect">
                            <a:avLst/>
                          </a:prstGeom>
                        </pic:spPr>
                      </pic:pic>
                    </a:graphicData>
                  </a:graphic>
                </wp:anchor>
              </w:drawing>
            </w:r>
            <w:r>
              <w:rPr>
                <w:rFonts w:hint="eastAsia" w:ascii="宋体" w:hAnsi="宋体" w:eastAsia="宋体" w:cs="宋体"/>
                <w:color w:val="auto"/>
                <w:sz w:val="24"/>
                <w:szCs w:val="24"/>
                <w:highlight w:val="none"/>
              </w:rPr>
              <w:t>名</w:t>
            </w:r>
          </w:p>
          <w:p w14:paraId="0B5FF4CF">
            <w:pPr>
              <w:pStyle w:val="8"/>
              <w:pageBreakBefore w:val="0"/>
              <w:widowControl w:val="0"/>
              <w:wordWrap/>
              <w:overflowPunct/>
              <w:topLinePunct w:val="0"/>
              <w:bidi w:val="0"/>
              <w:spacing w:line="245" w:lineRule="auto"/>
              <w:rPr>
                <w:rFonts w:hint="eastAsia" w:ascii="宋体" w:hAnsi="宋体" w:eastAsia="宋体" w:cs="宋体"/>
                <w:color w:val="auto"/>
                <w:highlight w:val="none"/>
              </w:rPr>
            </w:pPr>
          </w:p>
          <w:p w14:paraId="60523746">
            <w:pPr>
              <w:pStyle w:val="8"/>
              <w:pageBreakBefore w:val="0"/>
              <w:widowControl w:val="0"/>
              <w:wordWrap/>
              <w:overflowPunct/>
              <w:topLinePunct w:val="0"/>
              <w:bidi w:val="0"/>
              <w:spacing w:line="246" w:lineRule="auto"/>
              <w:rPr>
                <w:rFonts w:hint="eastAsia" w:ascii="宋体" w:hAnsi="宋体" w:eastAsia="宋体" w:cs="宋体"/>
                <w:color w:val="auto"/>
                <w:highlight w:val="none"/>
              </w:rPr>
            </w:pPr>
          </w:p>
          <w:p w14:paraId="10E2A440">
            <w:pPr>
              <w:pageBreakBefore w:val="0"/>
              <w:widowControl w:val="0"/>
              <w:wordWrap/>
              <w:overflowPunct/>
              <w:topLinePunct w:val="0"/>
              <w:bidi w:val="0"/>
              <w:spacing w:before="78" w:line="219" w:lineRule="auto"/>
              <w:ind w:left="48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657CE99B">
            <w:pPr>
              <w:pStyle w:val="8"/>
              <w:pageBreakBefore w:val="0"/>
              <w:widowControl w:val="0"/>
              <w:wordWrap/>
              <w:overflowPunct/>
              <w:topLinePunct w:val="0"/>
              <w:bidi w:val="0"/>
              <w:spacing w:line="338" w:lineRule="auto"/>
              <w:rPr>
                <w:rFonts w:hint="eastAsia" w:ascii="宋体" w:hAnsi="宋体" w:eastAsia="宋体" w:cs="宋体"/>
                <w:color w:val="auto"/>
                <w:highlight w:val="none"/>
              </w:rPr>
            </w:pPr>
          </w:p>
          <w:p w14:paraId="30533D5E">
            <w:pPr>
              <w:pageBreakBefore w:val="0"/>
              <w:widowControl w:val="0"/>
              <w:wordWrap/>
              <w:overflowPunct/>
              <w:topLinePunct w:val="0"/>
              <w:bidi w:val="0"/>
              <w:spacing w:before="78" w:line="220" w:lineRule="auto"/>
              <w:ind w:left="13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817" w:type="dxa"/>
            <w:tcBorders>
              <w:left w:val="nil"/>
            </w:tcBorders>
          </w:tcPr>
          <w:p w14:paraId="3AE1F472">
            <w:pPr>
              <w:pStyle w:val="8"/>
              <w:pageBreakBefore w:val="0"/>
              <w:widowControl w:val="0"/>
              <w:wordWrap/>
              <w:overflowPunct/>
              <w:topLinePunct w:val="0"/>
              <w:bidi w:val="0"/>
              <w:spacing w:line="263" w:lineRule="auto"/>
              <w:rPr>
                <w:rFonts w:hint="eastAsia" w:ascii="宋体" w:hAnsi="宋体" w:eastAsia="宋体" w:cs="宋体"/>
                <w:color w:val="auto"/>
                <w:highlight w:val="none"/>
              </w:rPr>
            </w:pPr>
          </w:p>
          <w:p w14:paraId="2DE9CE4E">
            <w:pPr>
              <w:pStyle w:val="8"/>
              <w:pageBreakBefore w:val="0"/>
              <w:widowControl w:val="0"/>
              <w:wordWrap/>
              <w:overflowPunct/>
              <w:topLinePunct w:val="0"/>
              <w:bidi w:val="0"/>
              <w:spacing w:line="263" w:lineRule="auto"/>
              <w:rPr>
                <w:rFonts w:hint="eastAsia" w:ascii="宋体" w:hAnsi="宋体" w:eastAsia="宋体" w:cs="宋体"/>
                <w:color w:val="auto"/>
                <w:highlight w:val="none"/>
              </w:rPr>
            </w:pPr>
          </w:p>
          <w:p w14:paraId="6D65F622">
            <w:pPr>
              <w:pStyle w:val="8"/>
              <w:pageBreakBefore w:val="0"/>
              <w:widowControl w:val="0"/>
              <w:wordWrap/>
              <w:overflowPunct/>
              <w:topLinePunct w:val="0"/>
              <w:bidi w:val="0"/>
              <w:spacing w:line="264" w:lineRule="auto"/>
              <w:rPr>
                <w:rFonts w:hint="eastAsia" w:ascii="宋体" w:hAnsi="宋体" w:eastAsia="宋体" w:cs="宋体"/>
                <w:color w:val="auto"/>
                <w:highlight w:val="none"/>
              </w:rPr>
            </w:pPr>
          </w:p>
          <w:p w14:paraId="35E3384B">
            <w:pPr>
              <w:pageBreakBefore w:val="0"/>
              <w:widowControl w:val="0"/>
              <w:wordWrap/>
              <w:overflowPunct/>
              <w:topLinePunct w:val="0"/>
              <w:bidi w:val="0"/>
              <w:spacing w:before="78" w:line="221" w:lineRule="auto"/>
              <w:ind w:left="192"/>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tc>
        <w:tc>
          <w:tcPr>
            <w:tcW w:w="6150" w:type="dxa"/>
            <w:vAlign w:val="center"/>
          </w:tcPr>
          <w:p w14:paraId="331D3B34">
            <w:pPr>
              <w:pageBreakBefore w:val="0"/>
              <w:widowControl w:val="0"/>
              <w:wordWrap/>
              <w:overflowPunct/>
              <w:topLinePunct w:val="0"/>
              <w:bidi w:val="0"/>
              <w:spacing w:before="256" w:line="219" w:lineRule="auto"/>
              <w:jc w:val="center"/>
              <w:rPr>
                <w:rFonts w:hint="eastAsia" w:ascii="宋体" w:hAnsi="宋体" w:eastAsia="宋体" w:cs="宋体"/>
                <w:color w:val="auto"/>
                <w:highlight w:val="none"/>
              </w:rPr>
            </w:pPr>
            <w:r>
              <w:rPr>
                <w:rFonts w:hint="eastAsia" w:ascii="宋体" w:hAnsi="宋体" w:eastAsia="宋体" w:cs="宋体"/>
                <w:color w:val="auto"/>
                <w:spacing w:val="-4"/>
                <w:sz w:val="24"/>
                <w:szCs w:val="24"/>
                <w:highlight w:val="none"/>
                <w:lang w:val="en-US" w:eastAsia="zh-CN"/>
              </w:rPr>
              <w:t>会昌县中心城区污水专项规划编制项目</w:t>
            </w:r>
          </w:p>
        </w:tc>
      </w:tr>
      <w:tr w14:paraId="6CB88A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center"/>
          </w:tcPr>
          <w:p w14:paraId="243E048B">
            <w:pPr>
              <w:pageBreakBefore w:val="0"/>
              <w:widowControl w:val="0"/>
              <w:wordWrap/>
              <w:overflowPunct/>
              <w:topLinePunct w:val="0"/>
              <w:bidi w:val="0"/>
              <w:spacing w:before="253"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数量</w:t>
            </w:r>
          </w:p>
        </w:tc>
        <w:tc>
          <w:tcPr>
            <w:tcW w:w="6150" w:type="dxa"/>
            <w:vAlign w:val="center"/>
          </w:tcPr>
          <w:p w14:paraId="3CC5B6D2">
            <w:pPr>
              <w:pageBreakBefore w:val="0"/>
              <w:widowControl w:val="0"/>
              <w:wordWrap/>
              <w:overflowPunct/>
              <w:topLinePunct w:val="0"/>
              <w:bidi w:val="0"/>
              <w:spacing w:before="256" w:line="219" w:lineRule="auto"/>
              <w:jc w:val="center"/>
              <w:rPr>
                <w:rFonts w:hint="eastAsia" w:ascii="宋体" w:hAnsi="宋体" w:eastAsia="宋体" w:cs="宋体"/>
                <w:color w:val="auto"/>
                <w:highlight w:val="none"/>
                <w:lang w:val="en-US" w:eastAsia="zh-CN"/>
              </w:rPr>
            </w:pPr>
            <w:r>
              <w:rPr>
                <w:rFonts w:hint="eastAsia" w:ascii="宋体" w:hAnsi="宋体" w:eastAsia="宋体" w:cs="宋体"/>
                <w:color w:val="auto"/>
                <w:spacing w:val="-4"/>
                <w:sz w:val="24"/>
                <w:szCs w:val="24"/>
                <w:highlight w:val="none"/>
                <w:lang w:val="en-US" w:eastAsia="zh-CN"/>
              </w:rPr>
              <w:t>1</w:t>
            </w:r>
          </w:p>
        </w:tc>
      </w:tr>
      <w:tr w14:paraId="7C1449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center"/>
          </w:tcPr>
          <w:p w14:paraId="3241C75E">
            <w:pPr>
              <w:pageBreakBefore w:val="0"/>
              <w:widowControl w:val="0"/>
              <w:wordWrap/>
              <w:overflowPunct/>
              <w:topLinePunct w:val="0"/>
              <w:bidi w:val="0"/>
              <w:spacing w:before="253"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hint="eastAsia" w:ascii="宋体" w:hAnsi="宋体" w:eastAsia="宋体" w:cs="宋体"/>
                <w:color w:val="auto"/>
                <w:spacing w:val="-5"/>
                <w:sz w:val="24"/>
                <w:szCs w:val="24"/>
                <w:highlight w:val="none"/>
              </w:rPr>
              <w:t>期</w:t>
            </w:r>
          </w:p>
        </w:tc>
        <w:tc>
          <w:tcPr>
            <w:tcW w:w="6150" w:type="dxa"/>
            <w:vAlign w:val="center"/>
          </w:tcPr>
          <w:p w14:paraId="2F56B183">
            <w:pPr>
              <w:pageBreakBefore w:val="0"/>
              <w:widowControl w:val="0"/>
              <w:wordWrap/>
              <w:overflowPunct/>
              <w:topLinePunct w:val="0"/>
              <w:bidi w:val="0"/>
              <w:spacing w:before="256" w:line="219" w:lineRule="auto"/>
              <w:jc w:val="center"/>
              <w:rPr>
                <w:rFonts w:hint="eastAsia" w:ascii="宋体" w:hAnsi="宋体" w:eastAsia="宋体" w:cs="宋体"/>
                <w:color w:val="auto"/>
                <w:highlight w:val="none"/>
                <w:lang w:val="en-US" w:eastAsia="zh-CN"/>
              </w:rPr>
            </w:pPr>
            <w:r>
              <w:rPr>
                <w:rFonts w:hint="eastAsia" w:ascii="宋体" w:hAnsi="宋体" w:eastAsia="宋体" w:cs="宋体"/>
                <w:color w:val="auto"/>
                <w:spacing w:val="-4"/>
                <w:sz w:val="24"/>
                <w:szCs w:val="24"/>
                <w:highlight w:val="none"/>
                <w:lang w:val="en-US" w:eastAsia="zh-CN"/>
              </w:rPr>
              <w:t>30日</w:t>
            </w:r>
          </w:p>
        </w:tc>
      </w:tr>
      <w:tr w14:paraId="554E6F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center"/>
          </w:tcPr>
          <w:p w14:paraId="43DDDF9E">
            <w:pPr>
              <w:pageBreakBefore w:val="0"/>
              <w:widowControl w:val="0"/>
              <w:wordWrap/>
              <w:overflowPunct/>
              <w:topLinePunct w:val="0"/>
              <w:bidi w:val="0"/>
              <w:spacing w:before="256"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hint="eastAsia" w:ascii="宋体" w:hAnsi="宋体" w:eastAsia="宋体" w:cs="宋体"/>
                <w:color w:val="auto"/>
                <w:spacing w:val="-4"/>
                <w:sz w:val="24"/>
                <w:szCs w:val="24"/>
                <w:highlight w:val="none"/>
              </w:rPr>
              <w:t>地点</w:t>
            </w:r>
          </w:p>
        </w:tc>
        <w:tc>
          <w:tcPr>
            <w:tcW w:w="6150" w:type="dxa"/>
            <w:vAlign w:val="center"/>
          </w:tcPr>
          <w:p w14:paraId="0A31B44C">
            <w:pPr>
              <w:pageBreakBefore w:val="0"/>
              <w:widowControl w:val="0"/>
              <w:wordWrap/>
              <w:overflowPunct/>
              <w:topLinePunct w:val="0"/>
              <w:bidi w:val="0"/>
              <w:spacing w:before="256" w:line="219" w:lineRule="auto"/>
              <w:jc w:val="center"/>
              <w:rPr>
                <w:rFonts w:hint="eastAsia" w:ascii="宋体" w:hAnsi="宋体" w:eastAsia="宋体" w:cs="宋体"/>
                <w:color w:val="auto"/>
                <w:highlight w:val="none"/>
                <w:lang w:val="en-US" w:eastAsia="zh-CN"/>
              </w:rPr>
            </w:pPr>
            <w:r>
              <w:rPr>
                <w:rFonts w:hint="eastAsia" w:ascii="宋体" w:hAnsi="宋体" w:eastAsia="宋体" w:cs="宋体"/>
                <w:color w:val="auto"/>
                <w:spacing w:val="-4"/>
                <w:sz w:val="24"/>
                <w:szCs w:val="24"/>
                <w:highlight w:val="none"/>
                <w:lang w:val="en-US" w:eastAsia="zh-CN"/>
              </w:rPr>
              <w:t>会昌县</w:t>
            </w:r>
          </w:p>
        </w:tc>
      </w:tr>
      <w:tr w14:paraId="0C906A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vAlign w:val="center"/>
          </w:tcPr>
          <w:p w14:paraId="27A842B3">
            <w:pPr>
              <w:pageBreakBefore w:val="0"/>
              <w:widowControl w:val="0"/>
              <w:wordWrap/>
              <w:overflowPunct/>
              <w:topLinePunct w:val="0"/>
              <w:bidi w:val="0"/>
              <w:spacing w:before="256" w:line="221"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备注</w:t>
            </w:r>
          </w:p>
        </w:tc>
        <w:tc>
          <w:tcPr>
            <w:tcW w:w="6150" w:type="dxa"/>
            <w:vAlign w:val="center"/>
          </w:tcPr>
          <w:p w14:paraId="6BA029D2">
            <w:pPr>
              <w:pageBreakBefore w:val="0"/>
              <w:widowControl w:val="0"/>
              <w:wordWrap/>
              <w:overflowPunct/>
              <w:topLinePunct w:val="0"/>
              <w:bidi w:val="0"/>
              <w:spacing w:before="256" w:line="219" w:lineRule="auto"/>
              <w:jc w:val="center"/>
              <w:rPr>
                <w:rFonts w:hint="eastAsia" w:ascii="宋体" w:hAnsi="宋体" w:eastAsia="宋体" w:cs="宋体"/>
                <w:color w:val="auto"/>
                <w:highlight w:val="none"/>
              </w:rPr>
            </w:pPr>
            <w:r>
              <w:rPr>
                <w:rFonts w:hint="eastAsia" w:ascii="宋体" w:hAnsi="宋体" w:eastAsia="宋体" w:cs="宋体"/>
                <w:color w:val="auto"/>
                <w:spacing w:val="-4"/>
                <w:sz w:val="24"/>
                <w:szCs w:val="24"/>
                <w:highlight w:val="none"/>
                <w:lang w:val="en-US" w:eastAsia="zh-CN"/>
              </w:rPr>
              <w:t>详见招标文件第五章第二条的采购服务需求</w:t>
            </w:r>
          </w:p>
        </w:tc>
      </w:tr>
    </w:tbl>
    <w:p w14:paraId="6560BF35">
      <w:pPr>
        <w:pageBreakBefore w:val="0"/>
        <w:widowControl w:val="0"/>
        <w:wordWrap/>
        <w:overflowPunct/>
        <w:topLinePunct w:val="0"/>
        <w:bidi w:val="0"/>
        <w:spacing w:before="64"/>
        <w:rPr>
          <w:rFonts w:hint="eastAsia" w:ascii="宋体" w:hAnsi="宋体" w:eastAsia="宋体" w:cs="宋体"/>
          <w:color w:val="auto"/>
          <w:highlight w:val="none"/>
        </w:rPr>
      </w:pPr>
    </w:p>
    <w:p w14:paraId="3DFDED5B">
      <w:pPr>
        <w:pageBreakBefore w:val="0"/>
        <w:widowControl w:val="0"/>
        <w:wordWrap/>
        <w:overflowPunct/>
        <w:topLinePunct w:val="0"/>
        <w:bidi w:val="0"/>
        <w:rPr>
          <w:rFonts w:hint="eastAsia" w:ascii="宋体" w:hAnsi="宋体" w:eastAsia="宋体" w:cs="宋体"/>
          <w:color w:val="auto"/>
          <w:highlight w:val="none"/>
        </w:rPr>
      </w:pPr>
    </w:p>
    <w:p w14:paraId="385CE11D">
      <w:pPr>
        <w:pageBreakBefore w:val="0"/>
        <w:widowControl w:val="0"/>
        <w:wordWrap/>
        <w:overflowPunct/>
        <w:topLinePunct w:val="0"/>
        <w:bidi w:val="0"/>
        <w:rPr>
          <w:rFonts w:hint="eastAsia" w:ascii="宋体" w:hAnsi="宋体" w:eastAsia="宋体" w:cs="宋体"/>
          <w:color w:val="auto"/>
          <w:highlight w:val="none"/>
        </w:rPr>
        <w:sectPr>
          <w:footerReference r:id="rId3" w:type="default"/>
          <w:pgSz w:w="11906" w:h="16839"/>
          <w:pgMar w:top="1232" w:right="1786" w:bottom="1156" w:left="1786" w:header="0" w:footer="994" w:gutter="0"/>
          <w:pgNumType w:fmt="decimal"/>
          <w:cols w:space="720" w:num="1"/>
        </w:sectPr>
      </w:pPr>
    </w:p>
    <w:p w14:paraId="0E038868">
      <w:pPr>
        <w:pageBreakBefore w:val="0"/>
        <w:widowControl w:val="0"/>
        <w:wordWrap/>
        <w:overflowPunct/>
        <w:topLinePunct w:val="0"/>
        <w:bidi w:val="0"/>
        <w:spacing w:before="47" w:line="219" w:lineRule="auto"/>
        <w:ind w:left="3805"/>
        <w:outlineLvl w:val="1"/>
        <w:rPr>
          <w:rFonts w:hint="eastAsia" w:ascii="宋体" w:hAnsi="宋体" w:eastAsia="宋体" w:cs="宋体"/>
          <w:color w:val="auto"/>
          <w:sz w:val="24"/>
          <w:szCs w:val="24"/>
          <w:highlight w:val="none"/>
        </w:rPr>
      </w:pPr>
      <w:bookmarkStart w:id="4" w:name="_Toc16653"/>
      <w:bookmarkStart w:id="5" w:name="_Toc22103"/>
      <w:bookmarkStart w:id="6" w:name="_Toc23241"/>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4"/>
      <w:bookmarkEnd w:id="5"/>
      <w:bookmarkEnd w:id="6"/>
    </w:p>
    <w:p w14:paraId="5E813708">
      <w:pPr>
        <w:pageBreakBefore w:val="0"/>
        <w:widowControl w:val="0"/>
        <w:wordWrap/>
        <w:overflowPunct/>
        <w:topLinePunct w:val="0"/>
        <w:bidi w:val="0"/>
        <w:spacing w:line="257" w:lineRule="auto"/>
        <w:rPr>
          <w:rFonts w:hint="eastAsia" w:ascii="宋体" w:hAnsi="宋体" w:eastAsia="宋体" w:cs="宋体"/>
          <w:color w:val="auto"/>
          <w:highlight w:val="none"/>
        </w:rPr>
      </w:pPr>
    </w:p>
    <w:p w14:paraId="2C1FEB7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b/>
          <w:bCs/>
          <w:color w:val="000000"/>
          <w:kern w:val="0"/>
          <w:sz w:val="24"/>
          <w:szCs w:val="24"/>
          <w:highlight w:val="none"/>
          <w:lang w:val="en-US" w:eastAsia="zh-CN" w:bidi="ar"/>
        </w:rPr>
        <w:t xml:space="preserve">一、 服务需求 </w:t>
      </w:r>
    </w:p>
    <w:p w14:paraId="174FE46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b/>
          <w:bCs/>
          <w:color w:val="000000"/>
          <w:kern w:val="0"/>
          <w:sz w:val="24"/>
          <w:szCs w:val="24"/>
          <w:highlight w:val="none"/>
          <w:lang w:val="en-US" w:eastAsia="zh-CN" w:bidi="ar"/>
        </w:rPr>
        <w:t xml:space="preserve">（一）项目概况 </w:t>
      </w:r>
    </w:p>
    <w:p w14:paraId="68F0278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val="en-US" w:eastAsia="zh-CN" w:bidi="ar"/>
        </w:rPr>
        <w:t xml:space="preserve">1、项目名称：会昌县中心城区污水专项规划编制项目 </w:t>
      </w:r>
    </w:p>
    <w:p w14:paraId="44EE7E6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val="en-US" w:eastAsia="zh-CN" w:bidi="ar"/>
        </w:rPr>
        <w:t xml:space="preserve">2、项目范围：优化会昌县城区污水管网布局及处理设施配置，衔接各类相关规划，制定科学可行的实施计划，确保规划成果合规、贴合实际，范围为会昌县建成区，面积约 20.71 平方公里。 </w:t>
      </w:r>
    </w:p>
    <w:p w14:paraId="1257FF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3、工作内容：编制《会昌县中心城区污水专项规划》，确保规划具备可操作性和指导性，有效解决城区区域污水治理痛点，提升污水处理效能，守护区域水生态安全，落实绿色发展理念。</w:t>
      </w:r>
    </w:p>
    <w:p w14:paraId="6A945C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b/>
          <w:bCs/>
          <w:color w:val="000000"/>
          <w:kern w:val="0"/>
          <w:sz w:val="24"/>
          <w:szCs w:val="24"/>
          <w:highlight w:val="none"/>
          <w:lang w:val="en-US" w:eastAsia="zh-CN" w:bidi="ar"/>
        </w:rPr>
        <w:t xml:space="preserve">（二）编制要求 </w:t>
      </w:r>
    </w:p>
    <w:p w14:paraId="57AE4F5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val="en-US" w:eastAsia="zh-CN" w:bidi="ar"/>
        </w:rPr>
        <w:t xml:space="preserve">供应商编制的污水专项规划应至少包括但不限于以下内容： </w:t>
      </w:r>
    </w:p>
    <w:p w14:paraId="15DC04B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w:t>
      </w:r>
      <w:r>
        <w:rPr>
          <w:rFonts w:hint="eastAsia" w:ascii="宋体" w:hAnsi="宋体" w:eastAsia="宋体" w:cs="宋体"/>
          <w:b/>
          <w:bCs/>
          <w:color w:val="000000"/>
          <w:kern w:val="0"/>
          <w:sz w:val="24"/>
          <w:szCs w:val="24"/>
          <w:highlight w:val="none"/>
          <w:lang w:val="en-US" w:eastAsia="zh-CN" w:bidi="ar"/>
        </w:rPr>
        <w:t>规划背景与城市概况：</w:t>
      </w:r>
      <w:r>
        <w:rPr>
          <w:rFonts w:hint="eastAsia" w:ascii="宋体" w:hAnsi="宋体" w:eastAsia="宋体" w:cs="宋体"/>
          <w:color w:val="000000"/>
          <w:kern w:val="0"/>
          <w:sz w:val="24"/>
          <w:szCs w:val="24"/>
          <w:highlight w:val="none"/>
          <w:lang w:val="en-US" w:eastAsia="zh-CN" w:bidi="ar"/>
        </w:rPr>
        <w:t>阐述规划编制背景、目的意义、编制依据，介绍会昌县中心城区自然地理、社会经济、城市发展概况等。</w:t>
      </w:r>
    </w:p>
    <w:p w14:paraId="2CA9BB0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w:t>
      </w:r>
      <w:r>
        <w:rPr>
          <w:rFonts w:hint="eastAsia" w:ascii="宋体" w:hAnsi="宋体" w:eastAsia="宋体" w:cs="宋体"/>
          <w:b/>
          <w:bCs/>
          <w:color w:val="000000"/>
          <w:kern w:val="0"/>
          <w:sz w:val="24"/>
          <w:szCs w:val="24"/>
          <w:highlight w:val="none"/>
          <w:lang w:val="en-US" w:eastAsia="zh-CN" w:bidi="ar"/>
        </w:rPr>
        <w:t>污水工程现状及现行规划评估：</w:t>
      </w:r>
      <w:r>
        <w:rPr>
          <w:rFonts w:hint="eastAsia" w:ascii="宋体" w:hAnsi="宋体" w:eastAsia="宋体" w:cs="宋体"/>
          <w:color w:val="000000"/>
          <w:kern w:val="0"/>
          <w:sz w:val="24"/>
          <w:szCs w:val="24"/>
          <w:highlight w:val="none"/>
          <w:lang w:val="en-US" w:eastAsia="zh-CN" w:bidi="ar"/>
        </w:rPr>
        <w:t>系统调查收集污水工程现状管网及设施资料，分析评估现有污水系统的排水能力、存在问题和短板；对现行污水专项规划实施情况进行评估。</w:t>
      </w:r>
    </w:p>
    <w:p w14:paraId="74DB62F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3、</w:t>
      </w:r>
      <w:r>
        <w:rPr>
          <w:rFonts w:hint="eastAsia" w:ascii="宋体" w:hAnsi="宋体" w:eastAsia="宋体" w:cs="宋体"/>
          <w:b/>
          <w:bCs/>
          <w:color w:val="000000"/>
          <w:kern w:val="0"/>
          <w:sz w:val="24"/>
          <w:szCs w:val="24"/>
          <w:highlight w:val="none"/>
          <w:lang w:val="en-US" w:eastAsia="zh-CN" w:bidi="ar"/>
        </w:rPr>
        <w:t>规划总论：</w:t>
      </w:r>
      <w:r>
        <w:rPr>
          <w:rFonts w:hint="eastAsia" w:ascii="宋体" w:hAnsi="宋体" w:eastAsia="宋体" w:cs="宋体"/>
          <w:color w:val="000000"/>
          <w:kern w:val="0"/>
          <w:sz w:val="24"/>
          <w:szCs w:val="24"/>
          <w:highlight w:val="none"/>
          <w:lang w:val="en-US" w:eastAsia="zh-CN" w:bidi="ar"/>
        </w:rPr>
        <w:t>明确规划指导思想、基本原则、规划目标（含近期目标和中远期目标），制定规划技术路线。</w:t>
      </w:r>
    </w:p>
    <w:p w14:paraId="5A845F0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4、</w:t>
      </w:r>
      <w:r>
        <w:rPr>
          <w:rFonts w:hint="eastAsia" w:ascii="宋体" w:hAnsi="宋体" w:eastAsia="宋体" w:cs="宋体"/>
          <w:b/>
          <w:bCs/>
          <w:color w:val="000000"/>
          <w:kern w:val="0"/>
          <w:sz w:val="24"/>
          <w:szCs w:val="24"/>
          <w:highlight w:val="none"/>
          <w:lang w:val="en-US" w:eastAsia="zh-CN" w:bidi="ar"/>
        </w:rPr>
        <w:t>排水体制论证：</w:t>
      </w:r>
      <w:r>
        <w:rPr>
          <w:rFonts w:hint="eastAsia" w:ascii="宋体" w:hAnsi="宋体" w:eastAsia="宋体" w:cs="宋体"/>
          <w:color w:val="000000"/>
          <w:kern w:val="0"/>
          <w:sz w:val="24"/>
          <w:szCs w:val="24"/>
          <w:highlight w:val="none"/>
          <w:lang w:val="en-US" w:eastAsia="zh-CN" w:bidi="ar"/>
        </w:rPr>
        <w:t>在充分调研现状排水体制的基础上，科学论证确定会昌县中心城区不同区域的排水体制（分流制或合流制），提出雨污分流改造方案。</w:t>
      </w:r>
    </w:p>
    <w:p w14:paraId="4A1A6E7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5、</w:t>
      </w:r>
      <w:r>
        <w:rPr>
          <w:rFonts w:hint="eastAsia" w:ascii="宋体" w:hAnsi="宋体" w:eastAsia="宋体" w:cs="宋体"/>
          <w:b/>
          <w:bCs/>
          <w:color w:val="000000"/>
          <w:kern w:val="0"/>
          <w:sz w:val="24"/>
          <w:szCs w:val="24"/>
          <w:highlight w:val="none"/>
          <w:lang w:val="en-US" w:eastAsia="zh-CN" w:bidi="ar"/>
        </w:rPr>
        <w:t>污水系统划分及污水量预测：</w:t>
      </w:r>
      <w:r>
        <w:rPr>
          <w:rFonts w:hint="eastAsia" w:ascii="宋体" w:hAnsi="宋体" w:eastAsia="宋体" w:cs="宋体"/>
          <w:color w:val="000000"/>
          <w:kern w:val="0"/>
          <w:sz w:val="24"/>
          <w:szCs w:val="24"/>
          <w:highlight w:val="none"/>
          <w:lang w:val="en-US" w:eastAsia="zh-CN" w:bidi="ar"/>
        </w:rPr>
        <w:t>根据地形地貌、水系分布、用地布局等因素合理划分污水分区；预测规划期限内的污水量，包括居民生活污水量、工业废水量、公共建筑污水量等，明确预测依据和方法。</w:t>
      </w:r>
    </w:p>
    <w:p w14:paraId="3418310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6、</w:t>
      </w:r>
      <w:r>
        <w:rPr>
          <w:rFonts w:hint="eastAsia" w:ascii="宋体" w:hAnsi="宋体" w:eastAsia="宋体" w:cs="宋体"/>
          <w:b/>
          <w:bCs/>
          <w:color w:val="000000"/>
          <w:kern w:val="0"/>
          <w:sz w:val="24"/>
          <w:szCs w:val="24"/>
          <w:highlight w:val="none"/>
          <w:lang w:val="en-US" w:eastAsia="zh-CN" w:bidi="ar"/>
        </w:rPr>
        <w:t>污水处理厂站规划：</w:t>
      </w:r>
      <w:r>
        <w:rPr>
          <w:rFonts w:hint="eastAsia" w:ascii="宋体" w:hAnsi="宋体" w:eastAsia="宋体" w:cs="宋体"/>
          <w:color w:val="000000"/>
          <w:kern w:val="0"/>
          <w:sz w:val="24"/>
          <w:szCs w:val="24"/>
          <w:highlight w:val="none"/>
          <w:lang w:val="en-US" w:eastAsia="zh-CN" w:bidi="ar"/>
        </w:rPr>
        <w:t>结合污水量预测结果和污水分区，研究论证污水处理厂、污水提升泵站等设施的布局方案，确定设施位置、规模、用地范围和建设时序，必要时进行多方案比选论证。</w:t>
      </w:r>
    </w:p>
    <w:p w14:paraId="6DFADB4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7、</w:t>
      </w:r>
      <w:r>
        <w:rPr>
          <w:rFonts w:hint="eastAsia" w:ascii="宋体" w:hAnsi="宋体" w:eastAsia="宋体" w:cs="宋体"/>
          <w:b/>
          <w:bCs/>
          <w:color w:val="000000"/>
          <w:kern w:val="0"/>
          <w:sz w:val="24"/>
          <w:szCs w:val="24"/>
          <w:highlight w:val="none"/>
          <w:lang w:val="en-US" w:eastAsia="zh-CN" w:bidi="ar"/>
        </w:rPr>
        <w:t>污水管网系统规划：</w:t>
      </w:r>
      <w:r>
        <w:rPr>
          <w:rFonts w:hint="eastAsia" w:ascii="宋体" w:hAnsi="宋体" w:eastAsia="宋体" w:cs="宋体"/>
          <w:color w:val="000000"/>
          <w:kern w:val="0"/>
          <w:sz w:val="24"/>
          <w:szCs w:val="24"/>
          <w:highlight w:val="none"/>
          <w:lang w:val="en-US" w:eastAsia="zh-CN" w:bidi="ar"/>
        </w:rPr>
        <w:t>以厂站设施为基础，科学布置污水主干管、次干管和支管网络，结合管道水力计算，确定管道断面尺寸、控制点高程、敷设深度等，确保污水收集输送系统的经济性和可靠性</w:t>
      </w:r>
      <w:r>
        <w:rPr>
          <w:rFonts w:hint="eastAsia" w:ascii="宋体" w:hAnsi="宋体" w:eastAsia="宋体" w:cs="宋体"/>
          <w:color w:val="000000"/>
          <w:kern w:val="0"/>
          <w:sz w:val="24"/>
          <w:szCs w:val="24"/>
          <w:highlight w:val="none"/>
          <w:lang w:val="en-US" w:eastAsia="zh-CN" w:bidi="ar"/>
        </w:rPr>
        <w:fldChar w:fldCharType="begin"/>
      </w:r>
      <w:r>
        <w:rPr>
          <w:rFonts w:hint="eastAsia" w:ascii="宋体" w:hAnsi="宋体" w:eastAsia="宋体" w:cs="宋体"/>
          <w:color w:val="000000"/>
          <w:kern w:val="0"/>
          <w:sz w:val="24"/>
          <w:szCs w:val="24"/>
          <w:highlight w:val="none"/>
          <w:lang w:val="en-US" w:eastAsia="zh-CN" w:bidi="ar"/>
        </w:rPr>
        <w:instrText xml:space="preserve"> HYPERLINK "http://www.zhouning.gov.cn/zfxxgkzl/dfbmptlj/bmgk/znxzjj/fdzdgknr/ghjh/202410/t20241030_1987149.htm" \t "https://chat.deepseek.com/a/chat/s/_blank" </w:instrText>
      </w:r>
      <w:r>
        <w:rPr>
          <w:rFonts w:hint="eastAsia" w:ascii="宋体" w:hAnsi="宋体" w:eastAsia="宋体" w:cs="宋体"/>
          <w:color w:val="000000"/>
          <w:kern w:val="0"/>
          <w:sz w:val="24"/>
          <w:szCs w:val="24"/>
          <w:highlight w:val="none"/>
          <w:lang w:val="en-US" w:eastAsia="zh-CN" w:bidi="ar"/>
        </w:rPr>
        <w:fldChar w:fldCharType="separate"/>
      </w:r>
      <w:r>
        <w:rPr>
          <w:rFonts w:hint="eastAsia" w:ascii="宋体" w:hAnsi="宋体" w:eastAsia="宋体" w:cs="宋体"/>
          <w:color w:val="000000"/>
          <w:kern w:val="0"/>
          <w:sz w:val="24"/>
          <w:szCs w:val="24"/>
          <w:highlight w:val="none"/>
          <w:lang w:val="en-US" w:eastAsia="zh-CN" w:bidi="ar"/>
        </w:rPr>
        <w:t>-63</w:t>
      </w:r>
      <w:r>
        <w:rPr>
          <w:rFonts w:hint="eastAsia" w:ascii="宋体" w:hAnsi="宋体" w:eastAsia="宋体" w:cs="宋体"/>
          <w:color w:val="000000"/>
          <w:kern w:val="0"/>
          <w:sz w:val="24"/>
          <w:szCs w:val="24"/>
          <w:highlight w:val="none"/>
          <w:lang w:val="en-US" w:eastAsia="zh-CN" w:bidi="ar"/>
        </w:rPr>
        <w:fldChar w:fldCharType="end"/>
      </w:r>
      <w:r>
        <w:rPr>
          <w:rFonts w:hint="eastAsia" w:ascii="宋体" w:hAnsi="宋体" w:eastAsia="宋体" w:cs="宋体"/>
          <w:color w:val="000000"/>
          <w:kern w:val="0"/>
          <w:sz w:val="24"/>
          <w:szCs w:val="24"/>
          <w:highlight w:val="none"/>
          <w:lang w:val="en-US" w:eastAsia="zh-CN" w:bidi="ar"/>
        </w:rPr>
        <w:t>。明确管网系统应包含的城市主管网、小区及企事业单位等支管及接户管网、截流井、提升泵站等全部内容。</w:t>
      </w:r>
    </w:p>
    <w:p w14:paraId="4F2BD3C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8、</w:t>
      </w:r>
      <w:r>
        <w:rPr>
          <w:rFonts w:hint="eastAsia" w:ascii="宋体" w:hAnsi="宋体" w:eastAsia="宋体" w:cs="宋体"/>
          <w:b/>
          <w:bCs/>
          <w:color w:val="000000"/>
          <w:kern w:val="0"/>
          <w:sz w:val="24"/>
          <w:szCs w:val="24"/>
          <w:highlight w:val="none"/>
          <w:lang w:val="en-US" w:eastAsia="zh-CN" w:bidi="ar"/>
        </w:rPr>
        <w:t>排水系统溢流污染控制规划：</w:t>
      </w:r>
      <w:r>
        <w:rPr>
          <w:rFonts w:hint="eastAsia" w:ascii="宋体" w:hAnsi="宋体" w:eastAsia="宋体" w:cs="宋体"/>
          <w:color w:val="000000"/>
          <w:kern w:val="0"/>
          <w:sz w:val="24"/>
          <w:szCs w:val="24"/>
          <w:highlight w:val="none"/>
          <w:lang w:val="en-US" w:eastAsia="zh-CN" w:bidi="ar"/>
        </w:rPr>
        <w:t>研究合流制溢流污染控制措施，提出截流、调蓄、处理等综合解决方案。</w:t>
      </w:r>
    </w:p>
    <w:p w14:paraId="07A38F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9、</w:t>
      </w:r>
      <w:r>
        <w:rPr>
          <w:rFonts w:hint="eastAsia" w:ascii="宋体" w:hAnsi="宋体" w:eastAsia="宋体" w:cs="宋体"/>
          <w:b/>
          <w:bCs/>
          <w:color w:val="000000"/>
          <w:kern w:val="0"/>
          <w:sz w:val="24"/>
          <w:szCs w:val="24"/>
          <w:highlight w:val="none"/>
          <w:lang w:val="en-US" w:eastAsia="zh-CN" w:bidi="ar"/>
        </w:rPr>
        <w:t>污泥处理处置规划：</w:t>
      </w:r>
      <w:r>
        <w:rPr>
          <w:rFonts w:hint="eastAsia" w:ascii="宋体" w:hAnsi="宋体" w:eastAsia="宋体" w:cs="宋体"/>
          <w:color w:val="000000"/>
          <w:kern w:val="0"/>
          <w:sz w:val="24"/>
          <w:szCs w:val="24"/>
          <w:highlight w:val="none"/>
          <w:lang w:val="en-US" w:eastAsia="zh-CN" w:bidi="ar"/>
        </w:rPr>
        <w:t>结合污水处理规模和污泥特性，合理确定污泥处理处置方式、设施布局和技术路线。</w:t>
      </w:r>
    </w:p>
    <w:p w14:paraId="7BC20E9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10、</w:t>
      </w:r>
      <w:r>
        <w:rPr>
          <w:rFonts w:hint="eastAsia" w:ascii="宋体" w:hAnsi="宋体" w:eastAsia="宋体" w:cs="宋体"/>
          <w:b/>
          <w:bCs/>
          <w:color w:val="000000"/>
          <w:kern w:val="0"/>
          <w:sz w:val="24"/>
          <w:szCs w:val="24"/>
          <w:highlight w:val="none"/>
          <w:lang w:val="en-US" w:eastAsia="zh-CN" w:bidi="ar"/>
        </w:rPr>
        <w:t>再生水利用规划：</w:t>
      </w:r>
      <w:r>
        <w:rPr>
          <w:rFonts w:hint="eastAsia" w:ascii="宋体" w:hAnsi="宋体" w:eastAsia="宋体" w:cs="宋体"/>
          <w:color w:val="000000"/>
          <w:kern w:val="0"/>
          <w:sz w:val="24"/>
          <w:szCs w:val="24"/>
          <w:highlight w:val="none"/>
          <w:lang w:val="en-US" w:eastAsia="zh-CN" w:bidi="ar"/>
        </w:rPr>
        <w:t>研究污水再生利用的可行性和利用途径，规划再生水处理设施及管网系统。</w:t>
      </w:r>
    </w:p>
    <w:p w14:paraId="274C170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11、</w:t>
      </w:r>
      <w:r>
        <w:rPr>
          <w:rFonts w:hint="eastAsia" w:ascii="宋体" w:hAnsi="宋体" w:eastAsia="宋体" w:cs="宋体"/>
          <w:b/>
          <w:bCs/>
          <w:color w:val="000000"/>
          <w:kern w:val="0"/>
          <w:sz w:val="24"/>
          <w:szCs w:val="24"/>
          <w:highlight w:val="none"/>
          <w:lang w:val="en-US" w:eastAsia="zh-CN" w:bidi="ar"/>
        </w:rPr>
        <w:t>污水系统数字化与智慧化管理规划：</w:t>
      </w:r>
      <w:r>
        <w:rPr>
          <w:rFonts w:hint="eastAsia" w:ascii="宋体" w:hAnsi="宋体" w:eastAsia="宋体" w:cs="宋体"/>
          <w:color w:val="000000"/>
          <w:kern w:val="0"/>
          <w:sz w:val="24"/>
          <w:szCs w:val="24"/>
          <w:highlight w:val="none"/>
          <w:lang w:val="en-US" w:eastAsia="zh-CN" w:bidi="ar"/>
        </w:rPr>
        <w:t>规划排水管网地理信息系统（GIS）建设，提出污水系统数字化、智慧化管理的建设内容和实施路径。</w:t>
      </w:r>
    </w:p>
    <w:p w14:paraId="4064ECE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12、</w:t>
      </w:r>
      <w:r>
        <w:rPr>
          <w:rFonts w:hint="eastAsia" w:ascii="宋体" w:hAnsi="宋体" w:eastAsia="宋体" w:cs="宋体"/>
          <w:b/>
          <w:bCs/>
          <w:color w:val="000000"/>
          <w:kern w:val="0"/>
          <w:sz w:val="24"/>
          <w:szCs w:val="24"/>
          <w:highlight w:val="none"/>
          <w:lang w:val="en-US" w:eastAsia="zh-CN" w:bidi="ar"/>
        </w:rPr>
        <w:t>近期建设规划：</w:t>
      </w:r>
      <w:r>
        <w:rPr>
          <w:rFonts w:hint="eastAsia" w:ascii="宋体" w:hAnsi="宋体" w:eastAsia="宋体" w:cs="宋体"/>
          <w:color w:val="000000"/>
          <w:kern w:val="0"/>
          <w:sz w:val="24"/>
          <w:szCs w:val="24"/>
          <w:highlight w:val="none"/>
          <w:lang w:val="en-US" w:eastAsia="zh-CN" w:bidi="ar"/>
        </w:rPr>
        <w:t>结合整改时限（2026年09月前）要求，制定近期重点建设项目清单、建设时序、投资估算和资金筹措方案。</w:t>
      </w:r>
    </w:p>
    <w:p w14:paraId="0C61FDF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13、</w:t>
      </w:r>
      <w:r>
        <w:rPr>
          <w:rFonts w:hint="eastAsia" w:ascii="宋体" w:hAnsi="宋体" w:eastAsia="宋体" w:cs="宋体"/>
          <w:b/>
          <w:bCs/>
          <w:color w:val="000000"/>
          <w:kern w:val="0"/>
          <w:sz w:val="24"/>
          <w:szCs w:val="24"/>
          <w:highlight w:val="none"/>
          <w:lang w:val="en-US" w:eastAsia="zh-CN" w:bidi="ar"/>
        </w:rPr>
        <w:t>保障措施：</w:t>
      </w:r>
      <w:r>
        <w:rPr>
          <w:rFonts w:hint="eastAsia" w:ascii="宋体" w:hAnsi="宋体" w:eastAsia="宋体" w:cs="宋体"/>
          <w:color w:val="000000"/>
          <w:kern w:val="0"/>
          <w:sz w:val="24"/>
          <w:szCs w:val="24"/>
          <w:highlight w:val="none"/>
          <w:lang w:val="en-US" w:eastAsia="zh-CN" w:bidi="ar"/>
        </w:rPr>
        <w:t>从组织、资金、技术、政策等方面提出规划实施的保障措施和管理建议。</w:t>
      </w:r>
    </w:p>
    <w:p w14:paraId="334BC6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14、</w:t>
      </w:r>
      <w:r>
        <w:rPr>
          <w:rFonts w:hint="eastAsia" w:ascii="宋体" w:hAnsi="宋体" w:eastAsia="宋体" w:cs="宋体"/>
          <w:b/>
          <w:bCs/>
          <w:color w:val="000000"/>
          <w:kern w:val="0"/>
          <w:sz w:val="24"/>
          <w:szCs w:val="24"/>
          <w:highlight w:val="none"/>
          <w:lang w:val="en-US" w:eastAsia="zh-CN" w:bidi="ar"/>
        </w:rPr>
        <w:t>规划成果图件：</w:t>
      </w:r>
      <w:r>
        <w:rPr>
          <w:rFonts w:hint="eastAsia" w:ascii="宋体" w:hAnsi="宋体" w:eastAsia="宋体" w:cs="宋体"/>
          <w:color w:val="000000"/>
          <w:kern w:val="0"/>
          <w:sz w:val="24"/>
          <w:szCs w:val="24"/>
          <w:highlight w:val="none"/>
          <w:lang w:val="en-US" w:eastAsia="zh-CN" w:bidi="ar"/>
        </w:rPr>
        <w:t>编制必要的规划图纸，包括但不限于：污水设施现状分布图、污水分区图、规划污水管网系统图、规划污水处理厂站布局图、近期建设项目分布图等。规划图纸应满足相应的深度和精度要求。</w:t>
      </w:r>
    </w:p>
    <w:p w14:paraId="54372F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15、技术标准及规划：《城市排水工程规划规范》（GB 50318-2017）、</w:t>
      </w:r>
    </w:p>
    <w:p w14:paraId="084CB0A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《室外排水设计标准》（GB 50014-2021）、《城镇污水处理厂污染物排放标准》（GB 18918-2002）、《城镇污水排入排水管网许可管理办法》（住房和城乡建设部令第56号）、《城镇污水治理提质增效技术指南》（T/CECS 20016-2024）、《会昌县国土空间总体规划（2021-2035年）》等。如有最新标准及规划，按最新的执行。</w:t>
      </w:r>
    </w:p>
    <w:p w14:paraId="55CCDD5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b/>
          <w:bCs/>
          <w:color w:val="000000"/>
          <w:kern w:val="0"/>
          <w:sz w:val="24"/>
          <w:szCs w:val="24"/>
          <w:highlight w:val="none"/>
          <w:lang w:val="en-US" w:eastAsia="zh-CN" w:bidi="ar"/>
        </w:rPr>
        <w:t xml:space="preserve">二、商务条件 </w:t>
      </w:r>
    </w:p>
    <w:p w14:paraId="5F6BD66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val="en-US" w:eastAsia="zh-CN" w:bidi="ar"/>
        </w:rPr>
        <w:t xml:space="preserve">1、付款方式：完成编制并通过相关部门审核后15天内一次性付清。 </w:t>
      </w:r>
    </w:p>
    <w:p w14:paraId="67C0FA8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val="en-US" w:eastAsia="zh-CN" w:bidi="ar"/>
        </w:rPr>
        <w:t xml:space="preserve">2、履约期限：自合同生效之日后， 30 日历天内完成污水专项规划编制。 </w:t>
      </w:r>
    </w:p>
    <w:p w14:paraId="40E41DA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3、服务地点：采购人指定地点。</w:t>
      </w:r>
    </w:p>
    <w:p w14:paraId="27CF5D6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4、服务标准：</w:t>
      </w:r>
    </w:p>
    <w:p w14:paraId="71E3BE7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（1）供应商须组建专业的项目服务团队，明确项目负责人和各专业技术人员，配备给排水工程、城乡规划、道路交通等相关专业技术人员，人员具备相应资质和从业经验。</w:t>
      </w:r>
    </w:p>
    <w:p w14:paraId="5C5B9C3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（2）项目负责人须具备给排水相关专业中级及以上技术职称。</w:t>
      </w:r>
    </w:p>
    <w:p w14:paraId="65C801B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（3）供应商应按照合同约定的时间节点提交各阶段成果，提交成果须经采购人确认后方可进入下一阶段工作。</w:t>
      </w:r>
    </w:p>
    <w:p w14:paraId="18BAC00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（4）供应商应主动与采购人及相关职能部门（发改、自然资源、生态环境、水利等）进行沟通协调，确保规划与上位规划及其他专项规划的有效衔接。</w:t>
      </w:r>
    </w:p>
    <w:p w14:paraId="5D3E360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（5）供应商须根据采购人意见和相关部门的反馈意见，对各阶段成果进行修改完善，直至通过专家评审和审批。</w:t>
      </w:r>
    </w:p>
    <w:p w14:paraId="52FEBEA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val="en-US" w:eastAsia="zh-CN" w:bidi="ar"/>
        </w:rPr>
        <w:t xml:space="preserve">4、项目验收：服务完成后，报主管部门进行审查审批，直至规划获批复。 </w:t>
      </w:r>
    </w:p>
    <w:p w14:paraId="7C1B526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5、质量保证：规划编制服务及成果质量应符合国家和行业相关标准、规程规范的要求。</w:t>
      </w:r>
    </w:p>
    <w:p w14:paraId="776D30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6、售后服务：</w:t>
      </w:r>
    </w:p>
    <w:p w14:paraId="18DB408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（1）在服务期内，供应商应配合采购人进行规划公示、宣传解释等相关工作。</w:t>
      </w:r>
    </w:p>
    <w:p w14:paraId="77FD098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（2）规划成果提交后，如因国家或地方相关政策、规范变化需对规划进行局部调整，供应商应提供必要的技术支持和配合。</w:t>
      </w:r>
    </w:p>
    <w:p w14:paraId="538F2F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7、污水专项规划专家评审费由中标人支付，请投标人报价时考虑将该费用列入成本。</w:t>
      </w:r>
    </w:p>
    <w:p w14:paraId="7603552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8、</w:t>
      </w:r>
      <w:r>
        <w:rPr>
          <w:rFonts w:hint="eastAsia" w:ascii="宋体" w:hAnsi="宋体" w:eastAsia="宋体" w:cs="宋体"/>
          <w:b/>
          <w:bCs/>
          <w:color w:val="000000"/>
          <w:kern w:val="0"/>
          <w:sz w:val="24"/>
          <w:szCs w:val="24"/>
          <w:highlight w:val="none"/>
          <w:lang w:val="en-US" w:eastAsia="zh-CN" w:bidi="ar"/>
        </w:rPr>
        <w:t>以上商务要求响应供应商必须满足，否则响应无效，未尽事宜，可另行约定</w:t>
      </w:r>
      <w:r>
        <w:rPr>
          <w:rFonts w:hint="eastAsia" w:ascii="宋体" w:hAnsi="宋体" w:eastAsia="宋体" w:cs="宋体"/>
          <w:color w:val="000000"/>
          <w:kern w:val="0"/>
          <w:sz w:val="24"/>
          <w:szCs w:val="24"/>
          <w:highlight w:val="none"/>
          <w:lang w:val="en-US" w:eastAsia="zh-CN" w:bidi="ar"/>
        </w:rPr>
        <w:t>。</w:t>
      </w:r>
    </w:p>
    <w:p w14:paraId="288E3AB4">
      <w:pPr>
        <w:keepNext w:val="0"/>
        <w:keepLines w:val="0"/>
        <w:widowControl/>
        <w:suppressLineNumbers w:val="0"/>
        <w:jc w:val="left"/>
        <w:rPr>
          <w:rFonts w:hint="eastAsia" w:ascii="宋体" w:hAnsi="宋体" w:eastAsia="宋体" w:cs="宋体"/>
          <w:color w:val="000000"/>
          <w:kern w:val="0"/>
          <w:sz w:val="24"/>
          <w:szCs w:val="24"/>
          <w:highlight w:val="none"/>
          <w:lang w:val="en-US" w:eastAsia="zh-CN" w:bidi="ar"/>
        </w:rPr>
      </w:pPr>
    </w:p>
    <w:p w14:paraId="247E1B64">
      <w:pPr>
        <w:keepNext w:val="0"/>
        <w:keepLines w:val="0"/>
        <w:widowControl/>
        <w:suppressLineNumbers w:val="0"/>
        <w:jc w:val="left"/>
        <w:rPr>
          <w:rFonts w:hint="eastAsia" w:ascii="宋体" w:hAnsi="宋体" w:eastAsia="宋体" w:cs="宋体"/>
          <w:color w:val="000000"/>
          <w:kern w:val="0"/>
          <w:sz w:val="24"/>
          <w:szCs w:val="24"/>
          <w:highlight w:val="none"/>
          <w:lang w:val="en-US" w:eastAsia="zh-CN" w:bidi="ar"/>
        </w:rPr>
      </w:pPr>
    </w:p>
    <w:p w14:paraId="79216F1B">
      <w:pPr>
        <w:keepNext w:val="0"/>
        <w:keepLines w:val="0"/>
        <w:widowControl/>
        <w:suppressLineNumbers w:val="0"/>
        <w:jc w:val="left"/>
        <w:rPr>
          <w:rFonts w:hint="eastAsia" w:ascii="宋体" w:hAnsi="宋体" w:eastAsia="宋体" w:cs="宋体"/>
          <w:color w:val="000000"/>
          <w:kern w:val="0"/>
          <w:sz w:val="24"/>
          <w:szCs w:val="24"/>
          <w:highlight w:val="none"/>
          <w:lang w:val="en-US" w:eastAsia="zh-CN" w:bidi="ar"/>
        </w:rPr>
      </w:pPr>
    </w:p>
    <w:p w14:paraId="3974214A">
      <w:pPr>
        <w:keepNext w:val="0"/>
        <w:keepLines w:val="0"/>
        <w:widowControl/>
        <w:suppressLineNumbers w:val="0"/>
        <w:jc w:val="left"/>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2"/>
          <w:sz w:val="24"/>
          <w:szCs w:val="24"/>
          <w:highlight w:val="none"/>
          <w:lang w:eastAsia="zh-CN"/>
        </w:rPr>
        <w:br w:type="page"/>
      </w:r>
    </w:p>
    <w:p w14:paraId="613DE6EF">
      <w:pPr>
        <w:pageBreakBefore w:val="0"/>
        <w:widowControl w:val="0"/>
        <w:numPr>
          <w:numId w:val="0"/>
        </w:numPr>
        <w:wordWrap/>
        <w:overflowPunct/>
        <w:topLinePunct w:val="0"/>
        <w:bidi w:val="0"/>
        <w:spacing w:before="6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bookmarkStart w:id="7" w:name="_Toc505955294"/>
      <w:bookmarkStart w:id="8" w:name="_Toc27591"/>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评审标准</w:t>
      </w:r>
      <w:bookmarkEnd w:id="7"/>
      <w:bookmarkEnd w:id="8"/>
    </w:p>
    <w:p w14:paraId="13096220">
      <w:pPr>
        <w:pStyle w:val="2"/>
        <w:numPr>
          <w:ilvl w:val="0"/>
          <w:numId w:val="0"/>
        </w:numPr>
        <w:rPr>
          <w:rFonts w:hint="eastAsia" w:ascii="宋体" w:hAnsi="宋体" w:eastAsia="宋体" w:cs="宋体"/>
          <w:highlight w:val="none"/>
          <w:lang w:eastAsia="zh-CN"/>
        </w:rPr>
      </w:pPr>
    </w:p>
    <w:p w14:paraId="11F4C2DE">
      <w:pPr>
        <w:pageBreakBefore w:val="0"/>
        <w:widowControl w:val="0"/>
        <w:wordWrap/>
        <w:overflowPunct/>
        <w:topLinePunct w:val="0"/>
        <w:bidi w:val="0"/>
        <w:spacing w:before="78" w:line="220" w:lineRule="auto"/>
        <w:outlineLvl w:val="9"/>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9" w:name="_Toc22719"/>
      <w:bookmarkStart w:id="10" w:name="_Toc31514"/>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一、符合性审查</w:t>
      </w:r>
      <w:bookmarkEnd w:id="9"/>
      <w:bookmarkEnd w:id="10"/>
    </w:p>
    <w:p w14:paraId="4A322CCB">
      <w:pPr>
        <w:spacing w:line="400" w:lineRule="exact"/>
        <w:ind w:left="564" w:leftChars="114" w:hanging="325" w:hangingChars="135"/>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出现</w:t>
      </w:r>
      <w:r>
        <w:rPr>
          <w:rFonts w:hint="eastAsia" w:ascii="宋体" w:hAnsi="宋体" w:eastAsia="宋体" w:cs="宋体"/>
          <w:b/>
          <w:color w:val="auto"/>
          <w:sz w:val="24"/>
          <w:szCs w:val="24"/>
          <w:highlight w:val="none"/>
        </w:rPr>
        <w:t>下列情况之一的，其</w:t>
      </w:r>
      <w:r>
        <w:rPr>
          <w:rFonts w:hint="eastAsia" w:ascii="宋体" w:hAnsi="宋体" w:eastAsia="宋体" w:cs="宋体"/>
          <w:b/>
          <w:color w:val="auto"/>
          <w:sz w:val="24"/>
          <w:szCs w:val="24"/>
          <w:highlight w:val="none"/>
          <w:lang w:val="en-US" w:eastAsia="zh-CN"/>
        </w:rPr>
        <w:t>响应文件</w:t>
      </w:r>
      <w:r>
        <w:rPr>
          <w:rFonts w:hint="eastAsia" w:ascii="宋体" w:hAnsi="宋体" w:eastAsia="宋体" w:cs="宋体"/>
          <w:b/>
          <w:color w:val="auto"/>
          <w:sz w:val="24"/>
          <w:szCs w:val="24"/>
          <w:highlight w:val="none"/>
        </w:rPr>
        <w:t>将作无效</w:t>
      </w:r>
      <w:r>
        <w:rPr>
          <w:rFonts w:hint="eastAsia" w:ascii="宋体" w:hAnsi="宋体" w:eastAsia="宋体" w:cs="宋体"/>
          <w:b/>
          <w:color w:val="auto"/>
          <w:sz w:val="24"/>
          <w:szCs w:val="24"/>
          <w:highlight w:val="none"/>
          <w:lang w:val="en-US" w:eastAsia="zh-CN"/>
        </w:rPr>
        <w:t>响应</w:t>
      </w:r>
      <w:r>
        <w:rPr>
          <w:rFonts w:hint="eastAsia" w:ascii="宋体" w:hAnsi="宋体" w:eastAsia="宋体" w:cs="宋体"/>
          <w:b/>
          <w:color w:val="auto"/>
          <w:sz w:val="24"/>
          <w:szCs w:val="24"/>
          <w:highlight w:val="none"/>
        </w:rPr>
        <w:t>处理：</w:t>
      </w:r>
    </w:p>
    <w:p w14:paraId="61B52725">
      <w:pPr>
        <w:spacing w:line="40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通过电子化政府采购系统提交的</w:t>
      </w:r>
      <w:r>
        <w:rPr>
          <w:rFonts w:hint="eastAsia" w:ascii="宋体" w:hAnsi="宋体" w:eastAsia="宋体" w:cs="宋体"/>
          <w:color w:val="auto"/>
          <w:sz w:val="24"/>
          <w:szCs w:val="24"/>
          <w:highlight w:val="none"/>
          <w:lang w:eastAsia="zh-CN"/>
        </w:rPr>
        <w:t>响应</w:t>
      </w:r>
      <w:r>
        <w:rPr>
          <w:rFonts w:hint="eastAsia" w:ascii="宋体" w:hAnsi="宋体" w:eastAsia="宋体" w:cs="宋体"/>
          <w:color w:val="auto"/>
          <w:sz w:val="24"/>
          <w:szCs w:val="24"/>
          <w:highlight w:val="none"/>
        </w:rPr>
        <w:t>文件</w:t>
      </w:r>
      <w:r>
        <w:rPr>
          <w:rFonts w:hint="eastAsia" w:ascii="宋体" w:hAnsi="宋体" w:eastAsia="宋体" w:cs="宋体"/>
          <w:color w:val="auto"/>
          <w:sz w:val="24"/>
          <w:szCs w:val="24"/>
          <w:highlight w:val="none"/>
          <w:lang w:val="en-US" w:eastAsia="zh-CN"/>
        </w:rPr>
        <w:t>未</w:t>
      </w:r>
      <w:r>
        <w:rPr>
          <w:rFonts w:hint="eastAsia" w:ascii="宋体" w:hAnsi="宋体" w:eastAsia="宋体" w:cs="宋体"/>
          <w:color w:val="auto"/>
          <w:sz w:val="24"/>
          <w:szCs w:val="24"/>
          <w:highlight w:val="none"/>
        </w:rPr>
        <w:t>正常打开；</w:t>
      </w:r>
    </w:p>
    <w:p w14:paraId="6DECC586">
      <w:pPr>
        <w:spacing w:line="40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未</w:t>
      </w:r>
      <w:r>
        <w:rPr>
          <w:rFonts w:hint="eastAsia" w:ascii="宋体" w:hAnsi="宋体" w:eastAsia="宋体" w:cs="宋体"/>
          <w:color w:val="auto"/>
          <w:sz w:val="24"/>
          <w:szCs w:val="24"/>
          <w:highlight w:val="none"/>
        </w:rPr>
        <w:t>提交</w:t>
      </w:r>
      <w:r>
        <w:rPr>
          <w:rFonts w:hint="eastAsia" w:ascii="宋体" w:hAnsi="宋体" w:eastAsia="宋体" w:cs="宋体"/>
          <w:color w:val="auto"/>
          <w:sz w:val="24"/>
          <w:szCs w:val="24"/>
          <w:highlight w:val="none"/>
          <w:lang w:val="en-US" w:eastAsia="zh-CN"/>
        </w:rPr>
        <w:t>报价</w:t>
      </w:r>
      <w:r>
        <w:rPr>
          <w:rFonts w:hint="eastAsia" w:ascii="宋体" w:hAnsi="宋体" w:eastAsia="宋体" w:cs="宋体"/>
          <w:color w:val="auto"/>
          <w:sz w:val="24"/>
          <w:szCs w:val="24"/>
          <w:highlight w:val="none"/>
        </w:rPr>
        <w:t>一览表、分项报价表、</w:t>
      </w:r>
      <w:r>
        <w:rPr>
          <w:rFonts w:hint="eastAsia" w:ascii="宋体" w:hAnsi="宋体" w:eastAsia="宋体" w:cs="宋体"/>
          <w:color w:val="auto"/>
          <w:sz w:val="24"/>
          <w:szCs w:val="24"/>
          <w:highlight w:val="none"/>
          <w:lang w:val="en-US" w:eastAsia="zh-CN"/>
        </w:rPr>
        <w:t>报价</w:t>
      </w:r>
      <w:r>
        <w:rPr>
          <w:rFonts w:hint="eastAsia" w:ascii="宋体" w:hAnsi="宋体" w:eastAsia="宋体" w:cs="宋体"/>
          <w:color w:val="auto"/>
          <w:sz w:val="24"/>
          <w:szCs w:val="24"/>
          <w:highlight w:val="none"/>
        </w:rPr>
        <w:t>一览明细表中应列出分项报价；</w:t>
      </w:r>
    </w:p>
    <w:p w14:paraId="69292AFD">
      <w:pPr>
        <w:spacing w:line="400" w:lineRule="exact"/>
        <w:rPr>
          <w:rFonts w:hint="eastAsia" w:ascii="宋体" w:hAnsi="宋体" w:eastAsia="宋体" w:cs="宋体"/>
          <w:color w:val="auto"/>
          <w:sz w:val="24"/>
          <w:szCs w:val="24"/>
          <w:highlight w:val="none"/>
          <w:lang w:val="en-GB"/>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en-GB"/>
        </w:rPr>
        <w:t>未提供磋商保证金或金额不足，磋商保证金形式不符合磋商文件要求的；</w:t>
      </w:r>
    </w:p>
    <w:p w14:paraId="673A1334">
      <w:pPr>
        <w:spacing w:line="400" w:lineRule="exact"/>
        <w:rPr>
          <w:rFonts w:hint="eastAsia" w:ascii="宋体" w:hAnsi="宋体" w:eastAsia="宋体" w:cs="宋体"/>
          <w:color w:val="auto"/>
          <w:sz w:val="24"/>
          <w:szCs w:val="24"/>
          <w:highlight w:val="none"/>
          <w:lang w:val="en-GB"/>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GB"/>
        </w:rPr>
        <w:t>未按磋商</w:t>
      </w:r>
      <w:r>
        <w:rPr>
          <w:rFonts w:hint="eastAsia" w:ascii="宋体" w:hAnsi="宋体" w:eastAsia="宋体" w:cs="宋体"/>
          <w:color w:val="auto"/>
          <w:sz w:val="24"/>
          <w:szCs w:val="24"/>
          <w:highlight w:val="none"/>
        </w:rPr>
        <w:t>文件“第四章 响应文件格式”的规定提供</w:t>
      </w:r>
      <w:r>
        <w:rPr>
          <w:rFonts w:hint="eastAsia" w:ascii="宋体" w:hAnsi="宋体" w:eastAsia="宋体" w:cs="宋体"/>
          <w:color w:val="auto"/>
          <w:sz w:val="24"/>
          <w:szCs w:val="24"/>
          <w:highlight w:val="none"/>
          <w:lang w:val="en-GB"/>
        </w:rPr>
        <w:t>资格、资信证明文件的；</w:t>
      </w:r>
    </w:p>
    <w:p w14:paraId="2F248E28">
      <w:pPr>
        <w:spacing w:line="40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未按磋商文件要求签字、签章的，或签字（签章）人无法定代表人有效委托的；</w:t>
      </w:r>
    </w:p>
    <w:p w14:paraId="2C745E6F">
      <w:pPr>
        <w:spacing w:line="40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磋商文件规定为国产产品，提供进口产品参加磋商的</w:t>
      </w:r>
      <w:r>
        <w:rPr>
          <w:rFonts w:hint="eastAsia" w:ascii="宋体" w:hAnsi="宋体" w:eastAsia="宋体" w:cs="宋体"/>
          <w:color w:val="auto"/>
          <w:sz w:val="24"/>
          <w:szCs w:val="24"/>
          <w:highlight w:val="none"/>
          <w:lang w:eastAsia="zh-CN"/>
        </w:rPr>
        <w:t>；</w:t>
      </w:r>
    </w:p>
    <w:p w14:paraId="74C92486">
      <w:pPr>
        <w:spacing w:line="400" w:lineRule="exact"/>
        <w:rPr>
          <w:rFonts w:hint="eastAsia" w:ascii="宋体" w:hAnsi="宋体" w:eastAsia="宋体" w:cs="宋体"/>
          <w:color w:val="auto"/>
          <w:sz w:val="24"/>
          <w:szCs w:val="24"/>
          <w:highlight w:val="none"/>
          <w:lang w:val="en-GB"/>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GB"/>
        </w:rPr>
        <w:t>磋商有效期响应不足的；</w:t>
      </w:r>
    </w:p>
    <w:p w14:paraId="02F7A597">
      <w:pPr>
        <w:spacing w:line="400" w:lineRule="exact"/>
        <w:rPr>
          <w:rFonts w:hint="eastAsia" w:ascii="宋体" w:hAnsi="宋体" w:eastAsia="宋体" w:cs="宋体"/>
          <w:color w:val="auto"/>
          <w:sz w:val="24"/>
          <w:szCs w:val="24"/>
          <w:highlight w:val="none"/>
          <w:lang w:val="en-GB"/>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GB"/>
        </w:rPr>
        <w:t>技术文件技术规格中的响应与事实不符或虚假响应的；</w:t>
      </w:r>
    </w:p>
    <w:p w14:paraId="0EADD0D7">
      <w:pPr>
        <w:spacing w:line="40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超过了采购项目预算或最高限价的；</w:t>
      </w:r>
    </w:p>
    <w:p w14:paraId="7847F6F5">
      <w:pPr>
        <w:spacing w:line="400" w:lineRule="exact"/>
        <w:rPr>
          <w:rFonts w:hint="eastAsia" w:ascii="宋体" w:hAnsi="宋体" w:eastAsia="宋体" w:cs="宋体"/>
          <w:color w:val="auto"/>
          <w:sz w:val="24"/>
          <w:szCs w:val="24"/>
          <w:highlight w:val="none"/>
          <w:lang w:val="en-GB"/>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磋商文件规定的其他响应无效条款。</w:t>
      </w:r>
    </w:p>
    <w:p w14:paraId="6620E669">
      <w:pPr>
        <w:spacing w:line="400" w:lineRule="exact"/>
        <w:ind w:left="360" w:hanging="361" w:hangingChars="150"/>
        <w:rPr>
          <w:rFonts w:hint="eastAsia" w:ascii="宋体" w:hAnsi="宋体" w:eastAsia="宋体" w:cs="宋体"/>
          <w:b/>
          <w:color w:val="auto"/>
          <w:sz w:val="24"/>
          <w:szCs w:val="24"/>
          <w:highlight w:val="none"/>
        </w:rPr>
      </w:pPr>
    </w:p>
    <w:p w14:paraId="349825A6">
      <w:pPr>
        <w:spacing w:line="360" w:lineRule="exact"/>
        <w:rPr>
          <w:rFonts w:hint="eastAsia" w:ascii="宋体" w:hAnsi="宋体" w:eastAsia="宋体" w:cs="宋体"/>
          <w:b/>
          <w:color w:val="auto"/>
          <w:sz w:val="32"/>
          <w:szCs w:val="32"/>
          <w:highlight w:val="none"/>
        </w:rPr>
      </w:pPr>
    </w:p>
    <w:p w14:paraId="2B0E2C2A">
      <w:pPr>
        <w:rPr>
          <w:rFonts w:hint="eastAsia" w:ascii="宋体" w:hAnsi="宋体" w:eastAsia="宋体" w:cs="宋体"/>
          <w:color w:val="auto"/>
          <w:highlight w:val="none"/>
        </w:rPr>
      </w:pPr>
    </w:p>
    <w:p w14:paraId="5A01A563">
      <w:pPr>
        <w:spacing w:line="400" w:lineRule="exac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废标情形</w:t>
      </w:r>
    </w:p>
    <w:p w14:paraId="47A70EDC">
      <w:pPr>
        <w:spacing w:line="440" w:lineRule="exac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w:t>
      </w:r>
      <w:r>
        <w:rPr>
          <w:rFonts w:hint="eastAsia" w:ascii="宋体" w:hAnsi="宋体" w:eastAsia="宋体" w:cs="宋体"/>
          <w:color w:val="auto"/>
          <w:sz w:val="24"/>
          <w:szCs w:val="24"/>
          <w:highlight w:val="none"/>
          <w:lang w:val="en-US" w:eastAsia="zh-CN"/>
        </w:rPr>
        <w:t>磋商</w:t>
      </w:r>
      <w:r>
        <w:rPr>
          <w:rFonts w:hint="eastAsia" w:ascii="宋体" w:hAnsi="宋体" w:eastAsia="宋体" w:cs="宋体"/>
          <w:color w:val="auto"/>
          <w:sz w:val="24"/>
          <w:szCs w:val="24"/>
          <w:highlight w:val="none"/>
        </w:rPr>
        <w:t>采购中，出现下列情形之一的，应予</w:t>
      </w:r>
      <w:r>
        <w:rPr>
          <w:rFonts w:hint="eastAsia" w:ascii="宋体" w:hAnsi="宋体" w:eastAsia="宋体" w:cs="宋体"/>
          <w:color w:val="auto"/>
          <w:sz w:val="24"/>
          <w:szCs w:val="24"/>
          <w:highlight w:val="none"/>
          <w:lang w:val="en-US" w:eastAsia="zh-CN"/>
        </w:rPr>
        <w:t>终止采购活动</w:t>
      </w:r>
      <w:r>
        <w:rPr>
          <w:rFonts w:hint="eastAsia" w:ascii="宋体" w:hAnsi="宋体" w:eastAsia="宋体" w:cs="宋体"/>
          <w:color w:val="auto"/>
          <w:sz w:val="24"/>
          <w:szCs w:val="24"/>
          <w:highlight w:val="none"/>
        </w:rPr>
        <w:t>：</w:t>
      </w:r>
    </w:p>
    <w:p w14:paraId="663ABFF1">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240" w:firstLineChars="1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符合专业条件的供应商或者对</w:t>
      </w:r>
      <w:r>
        <w:rPr>
          <w:rFonts w:hint="eastAsia" w:ascii="宋体" w:hAnsi="宋体" w:eastAsia="宋体" w:cs="宋体"/>
          <w:color w:val="auto"/>
          <w:sz w:val="24"/>
          <w:szCs w:val="24"/>
          <w:highlight w:val="none"/>
          <w:lang w:eastAsia="zh-CN"/>
        </w:rPr>
        <w:t>磋商文件</w:t>
      </w:r>
      <w:r>
        <w:rPr>
          <w:rFonts w:hint="eastAsia" w:ascii="宋体" w:hAnsi="宋体" w:eastAsia="宋体" w:cs="宋体"/>
          <w:color w:val="auto"/>
          <w:sz w:val="24"/>
          <w:szCs w:val="24"/>
          <w:highlight w:val="none"/>
        </w:rPr>
        <w:t>作实质响应的供应商不足三家的；政府购买服务项目（含政府和社会资本合作项目），在采购过程中符合要求的供应商（社会资本）只有2家的，磋商采购活动可以继续进行，采购过程中符合要求的供应商（社会资本）只有1家的，采购人或者采购代理机构应当终止磋商采购活动</w:t>
      </w:r>
      <w:r>
        <w:rPr>
          <w:rFonts w:hint="eastAsia" w:ascii="宋体" w:hAnsi="宋体" w:eastAsia="宋体" w:cs="宋体"/>
          <w:color w:val="auto"/>
          <w:sz w:val="24"/>
          <w:szCs w:val="24"/>
          <w:highlight w:val="none"/>
          <w:lang w:eastAsia="zh-CN"/>
        </w:rPr>
        <w:t>；</w:t>
      </w:r>
    </w:p>
    <w:p w14:paraId="7D1B0B74">
      <w:pPr>
        <w:spacing w:line="440" w:lineRule="exact"/>
        <w:ind w:firstLine="240" w:firstLine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出现影响采购公正的违法、违规行为的；</w:t>
      </w:r>
    </w:p>
    <w:p w14:paraId="61A9CB77">
      <w:pPr>
        <w:spacing w:line="440" w:lineRule="exact"/>
        <w:ind w:firstLine="240" w:firstLine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rPr>
        <w:t>的报价均超过了采购预算，采购人不能支付的；</w:t>
      </w:r>
    </w:p>
    <w:p w14:paraId="45BF1110">
      <w:pPr>
        <w:spacing w:line="440" w:lineRule="exact"/>
        <w:ind w:firstLine="240" w:firstLineChars="100"/>
        <w:rPr>
          <w:rFonts w:hint="eastAsia" w:ascii="宋体" w:hAnsi="宋体" w:eastAsia="宋体" w:cs="宋体"/>
          <w:b/>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因重大变故，采购任务取消。</w:t>
      </w:r>
    </w:p>
    <w:p w14:paraId="49D10370">
      <w:pPr>
        <w:spacing w:line="460" w:lineRule="exact"/>
        <w:ind w:firstLine="361" w:firstLineChars="150"/>
        <w:jc w:val="left"/>
        <w:outlineLvl w:val="0"/>
        <w:rPr>
          <w:rFonts w:hint="eastAsia" w:ascii="宋体" w:hAnsi="宋体" w:eastAsia="宋体" w:cs="宋体"/>
          <w:b/>
          <w:bCs/>
          <w:color w:val="auto"/>
          <w:sz w:val="24"/>
          <w:highlight w:val="none"/>
        </w:rPr>
      </w:pPr>
      <w:bookmarkStart w:id="11" w:name="_Toc500258558"/>
      <w:bookmarkStart w:id="12" w:name="_Toc499818239"/>
      <w:bookmarkStart w:id="13" w:name="_Toc504641993"/>
      <w:bookmarkStart w:id="14" w:name="_Toc505020183"/>
    </w:p>
    <w:p w14:paraId="53A3A7D0">
      <w:pPr>
        <w:spacing w:line="460" w:lineRule="exact"/>
        <w:ind w:firstLine="361" w:firstLineChars="150"/>
        <w:jc w:val="left"/>
        <w:outlineLvl w:val="0"/>
        <w:rPr>
          <w:rFonts w:hint="eastAsia" w:ascii="宋体" w:hAnsi="宋体" w:eastAsia="宋体" w:cs="宋体"/>
          <w:b/>
          <w:bCs/>
          <w:color w:val="auto"/>
          <w:sz w:val="24"/>
          <w:highlight w:val="none"/>
        </w:rPr>
      </w:pPr>
    </w:p>
    <w:p w14:paraId="4A847771">
      <w:pPr>
        <w:spacing w:line="460" w:lineRule="exact"/>
        <w:ind w:firstLine="361" w:firstLineChars="150"/>
        <w:jc w:val="left"/>
        <w:outlineLvl w:val="0"/>
        <w:rPr>
          <w:rFonts w:hint="eastAsia" w:ascii="宋体" w:hAnsi="宋体" w:eastAsia="宋体" w:cs="宋体"/>
          <w:b/>
          <w:bCs/>
          <w:color w:val="auto"/>
          <w:sz w:val="24"/>
          <w:highlight w:val="none"/>
        </w:rPr>
      </w:pPr>
    </w:p>
    <w:bookmarkEnd w:id="11"/>
    <w:bookmarkEnd w:id="12"/>
    <w:bookmarkEnd w:id="13"/>
    <w:bookmarkEnd w:id="14"/>
    <w:p w14:paraId="6CA625C1">
      <w:pP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br w:type="page"/>
      </w:r>
    </w:p>
    <w:p w14:paraId="2CF36A1C">
      <w:pPr>
        <w:spacing w:line="460" w:lineRule="exact"/>
        <w:ind w:firstLine="482" w:firstLineChars="200"/>
        <w:jc w:val="left"/>
        <w:outlineLvl w:val="9"/>
        <w:rPr>
          <w:rFonts w:hint="eastAsia" w:ascii="宋体" w:hAnsi="宋体" w:eastAsia="宋体" w:cs="宋体"/>
          <w:b/>
          <w:bCs/>
          <w:color w:val="auto"/>
          <w:sz w:val="24"/>
          <w:szCs w:val="24"/>
          <w:highlight w:val="none"/>
        </w:rPr>
      </w:pPr>
      <w:bookmarkStart w:id="15" w:name="_Toc15326"/>
      <w:bookmarkStart w:id="16" w:name="_Toc13960"/>
      <w:r>
        <w:rPr>
          <w:rFonts w:hint="eastAsia" w:ascii="宋体" w:hAnsi="宋体" w:eastAsia="宋体" w:cs="宋体"/>
          <w:b/>
          <w:bCs/>
          <w:color w:val="auto"/>
          <w:sz w:val="24"/>
          <w:szCs w:val="24"/>
          <w:highlight w:val="none"/>
        </w:rPr>
        <w:t>按照磋商文件中规定的评审方法和标准，磋商小组采用综合评分法对符合性审查合格且提交了最后报价的供应商的响应文件和最后报价进行综合评分。</w:t>
      </w:r>
      <w:bookmarkEnd w:id="15"/>
      <w:bookmarkEnd w:id="16"/>
    </w:p>
    <w:tbl>
      <w:tblPr>
        <w:tblStyle w:val="5"/>
        <w:tblW w:w="93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5"/>
        <w:gridCol w:w="7341"/>
      </w:tblGrid>
      <w:tr w14:paraId="277CE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1985" w:type="dxa"/>
            <w:vAlign w:val="center"/>
          </w:tcPr>
          <w:p w14:paraId="296F131F">
            <w:pPr>
              <w:snapToGrid w:val="0"/>
              <w:spacing w:line="240" w:lineRule="auto"/>
              <w:ind w:left="0" w:leftChars="0" w:right="0" w:rightChars="0" w:firstLine="0" w:firstLineChar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分值</w:t>
            </w:r>
          </w:p>
        </w:tc>
        <w:tc>
          <w:tcPr>
            <w:tcW w:w="7341" w:type="dxa"/>
            <w:vAlign w:val="center"/>
          </w:tcPr>
          <w:p w14:paraId="4A29DA19">
            <w:pPr>
              <w:snapToGrid w:val="0"/>
              <w:spacing w:line="240" w:lineRule="auto"/>
              <w:ind w:left="0" w:leftChars="0" w:right="0" w:rightChars="0" w:firstLine="0" w:firstLineChars="0"/>
              <w:jc w:val="center"/>
              <w:rPr>
                <w:rFonts w:hint="eastAsia" w:ascii="宋体" w:hAnsi="宋体" w:eastAsia="宋体" w:cs="宋体"/>
                <w:bCs/>
                <w:color w:val="auto"/>
                <w:sz w:val="24"/>
                <w:szCs w:val="24"/>
                <w:highlight w:val="none"/>
              </w:rPr>
            </w:pPr>
            <w:r>
              <w:rPr>
                <w:rFonts w:hint="eastAsia" w:ascii="宋体" w:hAnsi="宋体" w:eastAsia="宋体" w:cs="宋体"/>
                <w:b/>
                <w:bCs/>
                <w:color w:val="auto"/>
                <w:sz w:val="24"/>
                <w:szCs w:val="24"/>
                <w:highlight w:val="none"/>
              </w:rPr>
              <w:t>评审内容</w:t>
            </w:r>
          </w:p>
        </w:tc>
      </w:tr>
      <w:tr w14:paraId="53115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985" w:type="dxa"/>
            <w:vAlign w:val="center"/>
          </w:tcPr>
          <w:p w14:paraId="6DC19307">
            <w:pPr>
              <w:widowControl/>
              <w:snapToGrid w:val="0"/>
              <w:spacing w:line="240" w:lineRule="auto"/>
              <w:ind w:left="0" w:leftChars="0" w:right="0" w:rightChars="0" w:firstLine="0" w:firstLineChars="0"/>
              <w:jc w:val="center"/>
              <w:rPr>
                <w:rFonts w:hint="eastAsia" w:ascii="宋体" w:hAnsi="宋体" w:eastAsia="宋体" w:cs="宋体"/>
                <w:i w:val="0"/>
                <w:iCs w:val="0"/>
                <w:color w:val="auto"/>
                <w:sz w:val="24"/>
                <w:szCs w:val="24"/>
                <w:highlight w:val="none"/>
                <w:lang w:val="en-US" w:eastAsia="zh-CN"/>
              </w:rPr>
            </w:pPr>
            <w:r>
              <w:rPr>
                <w:rFonts w:hint="eastAsia" w:ascii="宋体" w:hAnsi="宋体" w:eastAsia="宋体" w:cs="宋体"/>
                <w:i w:val="0"/>
                <w:iCs w:val="0"/>
                <w:color w:val="auto"/>
                <w:sz w:val="24"/>
                <w:szCs w:val="24"/>
                <w:highlight w:val="none"/>
                <w:lang w:val="en-US" w:eastAsia="zh-CN"/>
              </w:rPr>
              <w:t>价格分（10分）</w:t>
            </w:r>
          </w:p>
        </w:tc>
        <w:tc>
          <w:tcPr>
            <w:tcW w:w="7341" w:type="dxa"/>
            <w:vAlign w:val="center"/>
          </w:tcPr>
          <w:p w14:paraId="339A7C36">
            <w:pPr>
              <w:widowControl/>
              <w:snapToGrid w:val="0"/>
              <w:spacing w:line="240" w:lineRule="auto"/>
              <w:ind w:left="0" w:leftChars="0" w:right="0" w:rightChars="0" w:firstLine="482" w:firstLineChars="200"/>
              <w:jc w:val="both"/>
              <w:rPr>
                <w:rFonts w:hint="eastAsia" w:ascii="宋体" w:hAnsi="宋体" w:eastAsia="宋体" w:cs="宋体"/>
                <w:i w:val="0"/>
                <w:iCs w:val="0"/>
                <w:color w:val="auto"/>
                <w:sz w:val="24"/>
                <w:szCs w:val="24"/>
                <w:highlight w:val="none"/>
              </w:rPr>
            </w:pPr>
            <w:r>
              <w:rPr>
                <w:rFonts w:hint="eastAsia" w:ascii="宋体" w:hAnsi="宋体" w:eastAsia="宋体" w:cs="宋体"/>
                <w:b/>
                <w:bCs/>
                <w:i w:val="0"/>
                <w:iCs w:val="0"/>
                <w:color w:val="auto"/>
                <w:sz w:val="24"/>
                <w:szCs w:val="24"/>
                <w:highlight w:val="none"/>
              </w:rPr>
              <w:t>价格分</w:t>
            </w:r>
            <w:r>
              <w:rPr>
                <w:rFonts w:hint="eastAsia" w:ascii="宋体" w:hAnsi="宋体" w:eastAsia="宋体" w:cs="宋体"/>
                <w:b/>
                <w:bCs/>
                <w:i w:val="0"/>
                <w:iCs w:val="0"/>
                <w:color w:val="auto"/>
                <w:sz w:val="24"/>
                <w:szCs w:val="24"/>
                <w:highlight w:val="none"/>
                <w:lang w:val="en-US" w:eastAsia="zh-CN"/>
              </w:rPr>
              <w:t>的</w:t>
            </w:r>
            <w:r>
              <w:rPr>
                <w:rFonts w:hint="eastAsia" w:ascii="宋体" w:hAnsi="宋体" w:eastAsia="宋体" w:cs="宋体"/>
                <w:b/>
                <w:bCs/>
                <w:i w:val="0"/>
                <w:iCs w:val="0"/>
                <w:color w:val="auto"/>
                <w:sz w:val="24"/>
                <w:szCs w:val="24"/>
                <w:highlight w:val="none"/>
              </w:rPr>
              <w:t>计算：</w:t>
            </w:r>
          </w:p>
          <w:p w14:paraId="64FC753C">
            <w:pPr>
              <w:widowControl/>
              <w:snapToGrid w:val="0"/>
              <w:spacing w:line="240" w:lineRule="auto"/>
              <w:ind w:left="0" w:leftChars="0" w:right="0" w:rightChars="0" w:firstLine="480" w:firstLineChars="200"/>
              <w:jc w:val="left"/>
              <w:rPr>
                <w:rFonts w:hint="eastAsia" w:ascii="宋体" w:hAnsi="宋体" w:eastAsia="宋体" w:cs="宋体"/>
                <w:i w:val="0"/>
                <w:iCs w:val="0"/>
                <w:color w:val="auto"/>
                <w:sz w:val="24"/>
                <w:szCs w:val="24"/>
                <w:highlight w:val="none"/>
              </w:rPr>
            </w:pPr>
            <w:r>
              <w:rPr>
                <w:rFonts w:hint="eastAsia" w:ascii="宋体" w:hAnsi="宋体" w:eastAsia="宋体" w:cs="宋体"/>
                <w:color w:val="auto"/>
                <w:sz w:val="24"/>
                <w:szCs w:val="24"/>
                <w:highlight w:val="none"/>
              </w:rPr>
              <w:t>响应报价得分=(磋商基准价／最后磋商报价)×0.10×100</w:t>
            </w:r>
          </w:p>
          <w:p w14:paraId="48A002A5">
            <w:pPr>
              <w:widowControl/>
              <w:snapToGrid w:val="0"/>
              <w:spacing w:line="240" w:lineRule="auto"/>
              <w:ind w:left="0" w:leftChars="0" w:right="0" w:rightChars="0" w:firstLine="0" w:firstLineChars="0"/>
              <w:jc w:val="left"/>
              <w:rPr>
                <w:rFonts w:hint="eastAsia" w:ascii="宋体" w:hAnsi="宋体" w:eastAsia="宋体" w:cs="宋体"/>
                <w:i w:val="0"/>
                <w:iCs w:val="0"/>
                <w:color w:val="auto"/>
                <w:sz w:val="24"/>
                <w:szCs w:val="24"/>
                <w:highlight w:val="none"/>
              </w:rPr>
            </w:pPr>
            <w:r>
              <w:rPr>
                <w:rFonts w:hint="eastAsia" w:ascii="宋体" w:hAnsi="宋体" w:eastAsia="宋体" w:cs="宋体"/>
                <w:i w:val="0"/>
                <w:iCs w:val="0"/>
                <w:color w:val="auto"/>
                <w:sz w:val="24"/>
                <w:szCs w:val="24"/>
                <w:highlight w:val="none"/>
              </w:rPr>
              <w:t>满足磋商文件要求且最后报价最低的磋商报价为评标基准价，其价格分为满分</w:t>
            </w:r>
          </w:p>
          <w:p w14:paraId="7A20FEBF">
            <w:pPr>
              <w:widowControl/>
              <w:snapToGrid w:val="0"/>
              <w:spacing w:line="240" w:lineRule="auto"/>
              <w:ind w:left="0" w:leftChars="0" w:right="0" w:rightChars="0" w:firstLine="482" w:firstLineChars="200"/>
              <w:jc w:val="left"/>
              <w:rPr>
                <w:rFonts w:hint="eastAsia" w:ascii="宋体" w:hAnsi="宋体" w:eastAsia="宋体" w:cs="宋体"/>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说明：</w:t>
            </w:r>
            <w:r>
              <w:rPr>
                <w:rFonts w:hint="eastAsia" w:ascii="宋体" w:hAnsi="宋体" w:eastAsia="宋体" w:cs="宋体"/>
                <w:color w:val="auto"/>
                <w:sz w:val="24"/>
                <w:szCs w:val="24"/>
                <w:highlight w:val="none"/>
              </w:rPr>
              <w:t>供应商以市场价提出</w:t>
            </w:r>
            <w:r>
              <w:rPr>
                <w:rFonts w:hint="eastAsia" w:ascii="宋体" w:hAnsi="宋体" w:eastAsia="宋体" w:cs="宋体"/>
                <w:color w:val="auto"/>
                <w:sz w:val="24"/>
                <w:szCs w:val="24"/>
                <w:highlight w:val="none"/>
                <w:lang w:val="en-US" w:eastAsia="zh-CN"/>
              </w:rPr>
              <w:t>磋商报价</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磋商报价</w:t>
            </w:r>
            <w:r>
              <w:rPr>
                <w:rFonts w:hint="eastAsia" w:ascii="宋体" w:hAnsi="宋体" w:eastAsia="宋体" w:cs="宋体"/>
                <w:color w:val="auto"/>
                <w:sz w:val="24"/>
                <w:szCs w:val="24"/>
                <w:highlight w:val="none"/>
              </w:rPr>
              <w:t>不得高</w:t>
            </w:r>
            <w:r>
              <w:rPr>
                <w:rFonts w:hint="eastAsia" w:ascii="宋体" w:hAnsi="宋体" w:eastAsia="宋体" w:cs="宋体"/>
                <w:color w:val="auto"/>
                <w:spacing w:val="2"/>
                <w:sz w:val="24"/>
                <w:szCs w:val="24"/>
                <w:highlight w:val="none"/>
              </w:rPr>
              <w:t>于100%,否则属于无效投标</w:t>
            </w:r>
            <w:r>
              <w:rPr>
                <w:rFonts w:hint="eastAsia" w:ascii="宋体" w:hAnsi="宋体" w:eastAsia="宋体" w:cs="宋体"/>
                <w:color w:val="auto"/>
                <w:spacing w:val="2"/>
                <w:sz w:val="24"/>
                <w:szCs w:val="24"/>
                <w:highlight w:val="none"/>
                <w:lang w:eastAsia="zh-CN"/>
              </w:rPr>
              <w:t>；最后磋商报价是指落实政府采购政策进行价格调整后的报价。</w:t>
            </w:r>
          </w:p>
        </w:tc>
      </w:tr>
      <w:tr w14:paraId="0E3F6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985" w:type="dxa"/>
            <w:vAlign w:val="center"/>
          </w:tcPr>
          <w:p w14:paraId="28376A2F">
            <w:pPr>
              <w:widowControl/>
              <w:snapToGrid w:val="0"/>
              <w:spacing w:line="240" w:lineRule="auto"/>
              <w:ind w:left="0" w:leftChars="0" w:right="0" w:rightChars="0" w:firstLine="0" w:firstLineChars="0"/>
              <w:jc w:val="center"/>
              <w:rPr>
                <w:rFonts w:hint="eastAsia" w:ascii="宋体" w:hAnsi="宋体" w:eastAsia="宋体" w:cs="宋体"/>
                <w:i w:val="0"/>
                <w:iCs w:val="0"/>
                <w:color w:val="auto"/>
                <w:sz w:val="24"/>
                <w:szCs w:val="24"/>
                <w:highlight w:val="none"/>
                <w:lang w:val="en-US" w:eastAsia="zh-CN"/>
              </w:rPr>
            </w:pPr>
            <w:r>
              <w:rPr>
                <w:rFonts w:hint="eastAsia" w:ascii="宋体" w:hAnsi="宋体" w:eastAsia="宋体" w:cs="宋体"/>
                <w:i w:val="0"/>
                <w:iCs w:val="0"/>
                <w:color w:val="auto"/>
                <w:sz w:val="24"/>
                <w:szCs w:val="24"/>
                <w:highlight w:val="none"/>
                <w:lang w:val="en-US" w:eastAsia="zh-CN"/>
              </w:rPr>
              <w:t>技术分（50分）</w:t>
            </w:r>
          </w:p>
        </w:tc>
        <w:tc>
          <w:tcPr>
            <w:tcW w:w="7341" w:type="dxa"/>
            <w:vAlign w:val="center"/>
          </w:tcPr>
          <w:p w14:paraId="35A16399">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rPr>
            </w:pPr>
            <w:r>
              <w:rPr>
                <w:rFonts w:hint="eastAsia" w:ascii="宋体" w:hAnsi="宋体" w:eastAsia="宋体" w:cs="宋体"/>
                <w:b/>
                <w:bCs/>
                <w:i w:val="0"/>
                <w:iCs w:val="0"/>
                <w:snapToGrid w:val="0"/>
                <w:color w:val="auto"/>
                <w:sz w:val="24"/>
                <w:szCs w:val="24"/>
                <w:highlight w:val="none"/>
                <w:lang w:val="en-US" w:eastAsia="en-US" w:bidi="ar-SA"/>
              </w:rPr>
              <w:t>1、</w:t>
            </w:r>
            <w:r>
              <w:rPr>
                <w:rFonts w:hint="eastAsia" w:ascii="宋体" w:hAnsi="宋体" w:eastAsia="宋体" w:cs="宋体"/>
                <w:b/>
                <w:bCs/>
                <w:i w:val="0"/>
                <w:iCs w:val="0"/>
                <w:color w:val="auto"/>
                <w:sz w:val="24"/>
                <w:szCs w:val="24"/>
                <w:highlight w:val="none"/>
              </w:rPr>
              <w:t>对项目的认识与理解（4 分）</w:t>
            </w:r>
          </w:p>
          <w:p w14:paraId="53220069">
            <w:pPr>
              <w:widowControl/>
              <w:numPr>
                <w:ilvl w:val="0"/>
                <w:numId w:val="0"/>
              </w:numPr>
              <w:snapToGrid w:val="0"/>
              <w:spacing w:line="240" w:lineRule="auto"/>
              <w:ind w:left="0" w:leftChars="0" w:right="0" w:rightChars="0" w:firstLine="480" w:firstLineChars="200"/>
              <w:jc w:val="left"/>
              <w:rPr>
                <w:rFonts w:hint="eastAsia" w:ascii="宋体" w:hAnsi="宋体" w:eastAsia="宋体" w:cs="宋体"/>
                <w:b w:val="0"/>
                <w:bCs w:val="0"/>
                <w:i w:val="0"/>
                <w:iCs w:val="0"/>
                <w:color w:val="auto"/>
                <w:sz w:val="24"/>
                <w:szCs w:val="24"/>
                <w:highlight w:val="none"/>
                <w:lang w:eastAsia="zh-CN"/>
              </w:rPr>
            </w:pPr>
            <w:r>
              <w:rPr>
                <w:rFonts w:hint="eastAsia" w:ascii="宋体" w:hAnsi="宋体" w:eastAsia="宋体" w:cs="宋体"/>
                <w:i w:val="0"/>
                <w:iCs w:val="0"/>
                <w:color w:val="auto"/>
                <w:sz w:val="24"/>
                <w:szCs w:val="24"/>
                <w:highlight w:val="none"/>
              </w:rPr>
              <w:t>根据各响应供应商针对本项目的①项目整体概况、②编制背景、③工作内容、④工作任务的认识和理解</w:t>
            </w:r>
            <w:r>
              <w:rPr>
                <w:rFonts w:hint="eastAsia" w:ascii="宋体" w:hAnsi="宋体" w:eastAsia="宋体" w:cs="宋体"/>
                <w:i w:val="0"/>
                <w:iCs w:val="0"/>
                <w:color w:val="auto"/>
                <w:sz w:val="24"/>
                <w:szCs w:val="24"/>
                <w:highlight w:val="none"/>
                <w:lang w:eastAsia="zh-CN"/>
              </w:rPr>
              <w:t>。</w:t>
            </w:r>
            <w:r>
              <w:rPr>
                <w:rFonts w:hint="eastAsia" w:ascii="宋体" w:hAnsi="宋体" w:eastAsia="宋体" w:cs="宋体"/>
                <w:b w:val="0"/>
                <w:bCs w:val="0"/>
                <w:i w:val="0"/>
                <w:iCs w:val="0"/>
                <w:color w:val="auto"/>
                <w:sz w:val="24"/>
                <w:szCs w:val="24"/>
                <w:highlight w:val="none"/>
              </w:rPr>
              <w:t>内容每提及一项得0.5分，</w:t>
            </w:r>
            <w:r>
              <w:rPr>
                <w:rFonts w:hint="eastAsia" w:ascii="宋体" w:hAnsi="宋体" w:eastAsia="宋体" w:cs="宋体"/>
                <w:i w:val="0"/>
                <w:iCs w:val="0"/>
                <w:color w:val="auto"/>
                <w:sz w:val="24"/>
                <w:szCs w:val="24"/>
                <w:highlight w:val="none"/>
                <w:lang w:val="en-US" w:eastAsia="zh-CN"/>
              </w:rPr>
              <w:t>在此基础上，</w:t>
            </w:r>
            <w:r>
              <w:rPr>
                <w:rFonts w:hint="eastAsia" w:ascii="宋体" w:hAnsi="宋体" w:eastAsia="宋体" w:cs="宋体"/>
                <w:b w:val="0"/>
                <w:bCs w:val="0"/>
                <w:i w:val="0"/>
                <w:iCs w:val="0"/>
                <w:color w:val="auto"/>
                <w:sz w:val="24"/>
                <w:szCs w:val="24"/>
                <w:highlight w:val="none"/>
              </w:rPr>
              <w:t>根据投标文件来评审，内容完整、对项目认识与理解合理得2分，较为合理得1分，不提供或提供不全不符合当地实际情况的不得分，本项最高得4分。</w:t>
            </w:r>
          </w:p>
          <w:p w14:paraId="5103219F">
            <w:pPr>
              <w:widowControl/>
              <w:numPr>
                <w:ilvl w:val="0"/>
                <w:numId w:val="0"/>
              </w:numPr>
              <w:snapToGrid w:val="0"/>
              <w:spacing w:line="240" w:lineRule="auto"/>
              <w:ind w:left="0" w:leftChars="0" w:right="0" w:rightChars="0" w:firstLine="482" w:firstLineChars="200"/>
              <w:jc w:val="left"/>
              <w:rPr>
                <w:rFonts w:hint="eastAsia" w:ascii="宋体" w:hAnsi="宋体" w:eastAsia="宋体" w:cs="宋体"/>
                <w:b/>
                <w:bCs/>
                <w:i w:val="0"/>
                <w:iCs w:val="0"/>
                <w:color w:val="auto"/>
                <w:sz w:val="24"/>
                <w:szCs w:val="24"/>
                <w:highlight w:val="none"/>
                <w:lang w:val="en-US"/>
              </w:rPr>
            </w:pPr>
            <w:r>
              <w:rPr>
                <w:rFonts w:hint="eastAsia" w:ascii="宋体" w:hAnsi="宋体" w:eastAsia="宋体" w:cs="宋体"/>
                <w:b/>
                <w:bCs/>
                <w:i w:val="0"/>
                <w:iCs w:val="0"/>
                <w:color w:val="auto"/>
                <w:sz w:val="24"/>
                <w:szCs w:val="24"/>
                <w:highlight w:val="none"/>
                <w:lang w:val="en-US" w:eastAsia="zh-CN"/>
              </w:rPr>
              <w:t>评审依据：响应文件中提供对项目的认识与理解加盖公章，</w:t>
            </w:r>
            <w:r>
              <w:rPr>
                <w:rFonts w:hint="eastAsia" w:ascii="宋体" w:hAnsi="宋体" w:eastAsia="宋体" w:cs="宋体"/>
                <w:b/>
                <w:bCs/>
                <w:color w:val="auto"/>
                <w:sz w:val="24"/>
                <w:szCs w:val="24"/>
                <w:highlight w:val="none"/>
              </w:rPr>
              <w:t>未提供或提供无效的不得分。</w:t>
            </w:r>
          </w:p>
          <w:p w14:paraId="78B55129">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rPr>
            </w:pPr>
            <w:r>
              <w:rPr>
                <w:rFonts w:hint="eastAsia" w:ascii="宋体" w:hAnsi="宋体" w:eastAsia="宋体" w:cs="宋体"/>
                <w:b/>
                <w:bCs/>
                <w:i w:val="0"/>
                <w:iCs w:val="0"/>
                <w:snapToGrid w:val="0"/>
                <w:color w:val="auto"/>
                <w:sz w:val="24"/>
                <w:szCs w:val="24"/>
                <w:highlight w:val="none"/>
                <w:lang w:val="en-US" w:eastAsia="en-US" w:bidi="ar-SA"/>
              </w:rPr>
              <w:t>2、</w:t>
            </w:r>
            <w:r>
              <w:rPr>
                <w:rFonts w:hint="eastAsia" w:ascii="宋体" w:hAnsi="宋体" w:eastAsia="宋体" w:cs="宋体"/>
                <w:b/>
                <w:bCs/>
                <w:i w:val="0"/>
                <w:iCs w:val="0"/>
                <w:color w:val="auto"/>
                <w:sz w:val="24"/>
                <w:szCs w:val="24"/>
                <w:highlight w:val="none"/>
              </w:rPr>
              <w:t>现状污水系统情况（10分）</w:t>
            </w:r>
          </w:p>
          <w:p w14:paraId="2963E49C">
            <w:pPr>
              <w:widowControl/>
              <w:numPr>
                <w:ilvl w:val="0"/>
                <w:numId w:val="0"/>
              </w:numPr>
              <w:snapToGrid w:val="0"/>
              <w:spacing w:line="240" w:lineRule="auto"/>
              <w:ind w:leftChars="0" w:right="0" w:rightChars="0" w:firstLine="480" w:firstLineChars="200"/>
              <w:jc w:val="left"/>
              <w:rPr>
                <w:rFonts w:hint="eastAsia" w:ascii="宋体" w:hAnsi="宋体" w:eastAsia="宋体" w:cs="宋体"/>
                <w:b w:val="0"/>
                <w:bCs w:val="0"/>
                <w:i w:val="0"/>
                <w:iCs w:val="0"/>
                <w:color w:val="auto"/>
                <w:sz w:val="24"/>
                <w:szCs w:val="24"/>
                <w:highlight w:val="none"/>
                <w:lang w:eastAsia="zh-CN"/>
              </w:rPr>
            </w:pPr>
            <w:r>
              <w:rPr>
                <w:rFonts w:hint="eastAsia" w:ascii="宋体" w:hAnsi="宋体" w:eastAsia="宋体" w:cs="宋体"/>
                <w:b w:val="0"/>
                <w:bCs w:val="0"/>
                <w:i w:val="0"/>
                <w:iCs w:val="0"/>
                <w:color w:val="auto"/>
                <w:sz w:val="24"/>
                <w:szCs w:val="24"/>
                <w:highlight w:val="none"/>
              </w:rPr>
              <w:t>根据各响应供应商针对本项目所在地污水系统现状了解程度并体现在图纸上。分析①现状污水处理设施情况、②分析城区现状污水集中收集率③现状城区市政污水管网分布，明确现有市政道路下污水管道走向，④现状污水排水进行分区划定，⑤并形成相应污水系统图纸</w:t>
            </w:r>
            <w:r>
              <w:rPr>
                <w:rFonts w:hint="eastAsia" w:ascii="宋体" w:hAnsi="宋体" w:eastAsia="宋体" w:cs="宋体"/>
                <w:b w:val="0"/>
                <w:bCs w:val="0"/>
                <w:i w:val="0"/>
                <w:iCs w:val="0"/>
                <w:color w:val="auto"/>
                <w:sz w:val="24"/>
                <w:szCs w:val="24"/>
                <w:highlight w:val="none"/>
                <w:lang w:eastAsia="zh-CN"/>
              </w:rPr>
              <w:t>。</w:t>
            </w:r>
            <w:r>
              <w:rPr>
                <w:rFonts w:hint="eastAsia" w:ascii="宋体" w:hAnsi="宋体" w:eastAsia="宋体" w:cs="宋体"/>
                <w:b w:val="0"/>
                <w:bCs w:val="0"/>
                <w:i w:val="0"/>
                <w:iCs w:val="0"/>
                <w:color w:val="auto"/>
                <w:sz w:val="24"/>
                <w:szCs w:val="24"/>
                <w:highlight w:val="none"/>
              </w:rPr>
              <w:t>内容每提及一项得1分，</w:t>
            </w:r>
            <w:r>
              <w:rPr>
                <w:rFonts w:hint="eastAsia" w:ascii="宋体" w:hAnsi="宋体" w:eastAsia="宋体" w:cs="宋体"/>
                <w:i w:val="0"/>
                <w:iCs w:val="0"/>
                <w:color w:val="auto"/>
                <w:sz w:val="24"/>
                <w:szCs w:val="24"/>
                <w:highlight w:val="none"/>
                <w:lang w:val="en-US" w:eastAsia="zh-CN"/>
              </w:rPr>
              <w:t>在此基础上，</w:t>
            </w:r>
            <w:r>
              <w:rPr>
                <w:rFonts w:hint="eastAsia" w:ascii="宋体" w:hAnsi="宋体" w:eastAsia="宋体" w:cs="宋体"/>
                <w:b w:val="0"/>
                <w:bCs w:val="0"/>
                <w:i w:val="0"/>
                <w:iCs w:val="0"/>
                <w:color w:val="auto"/>
                <w:sz w:val="24"/>
                <w:szCs w:val="24"/>
                <w:highlight w:val="none"/>
              </w:rPr>
              <w:t>评审投标文件是否全面、详细反应现状会昌县污水系统建设情况。内容全面且符合当地实际情况得5分，内容不够全面且未符合当地实际情况得3分，不全不符合当地实际情况的不得分。本项最高得10分。</w:t>
            </w:r>
          </w:p>
          <w:p w14:paraId="28E667BC">
            <w:pPr>
              <w:widowControl/>
              <w:numPr>
                <w:ilvl w:val="0"/>
                <w:numId w:val="0"/>
              </w:numPr>
              <w:snapToGrid w:val="0"/>
              <w:spacing w:line="240" w:lineRule="auto"/>
              <w:ind w:leftChars="0" w:right="0" w:rightChars="0" w:firstLine="482" w:firstLineChars="200"/>
              <w:jc w:val="left"/>
              <w:rPr>
                <w:rFonts w:hint="eastAsia" w:ascii="宋体" w:hAnsi="宋体" w:eastAsia="宋体" w:cs="宋体"/>
                <w:b/>
                <w:bCs/>
                <w:i w:val="0"/>
                <w:iCs w:val="0"/>
                <w:color w:val="auto"/>
                <w:sz w:val="24"/>
                <w:szCs w:val="24"/>
                <w:highlight w:val="none"/>
              </w:rPr>
            </w:pPr>
            <w:r>
              <w:rPr>
                <w:rFonts w:hint="eastAsia" w:ascii="宋体" w:hAnsi="宋体" w:eastAsia="宋体" w:cs="宋体"/>
                <w:b/>
                <w:bCs/>
                <w:i w:val="0"/>
                <w:iCs w:val="0"/>
                <w:color w:val="auto"/>
                <w:sz w:val="24"/>
                <w:szCs w:val="24"/>
                <w:highlight w:val="none"/>
                <w:lang w:val="en-US" w:eastAsia="zh-CN"/>
              </w:rPr>
              <w:t>评审依据：响应文件中提供现状污水系统情况加盖公章，</w:t>
            </w:r>
            <w:r>
              <w:rPr>
                <w:rFonts w:hint="eastAsia" w:ascii="宋体" w:hAnsi="宋体" w:eastAsia="宋体" w:cs="宋体"/>
                <w:b/>
                <w:bCs/>
                <w:color w:val="auto"/>
                <w:sz w:val="24"/>
                <w:szCs w:val="24"/>
                <w:highlight w:val="none"/>
              </w:rPr>
              <w:t>未提供或提供无效的不得分。</w:t>
            </w:r>
          </w:p>
          <w:p w14:paraId="299D9F7E">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rPr>
            </w:pPr>
            <w:r>
              <w:rPr>
                <w:rFonts w:hint="eastAsia" w:ascii="宋体" w:hAnsi="宋体" w:eastAsia="宋体" w:cs="宋体"/>
                <w:b/>
                <w:bCs/>
                <w:i w:val="0"/>
                <w:iCs w:val="0"/>
                <w:snapToGrid w:val="0"/>
                <w:color w:val="auto"/>
                <w:sz w:val="24"/>
                <w:szCs w:val="24"/>
                <w:highlight w:val="none"/>
                <w:lang w:val="en-US" w:eastAsia="en-US" w:bidi="ar-SA"/>
              </w:rPr>
              <w:t>3、</w:t>
            </w:r>
            <w:r>
              <w:rPr>
                <w:rFonts w:hint="eastAsia" w:ascii="宋体" w:hAnsi="宋体" w:eastAsia="宋体" w:cs="宋体"/>
                <w:b/>
                <w:bCs/>
                <w:i w:val="0"/>
                <w:iCs w:val="0"/>
                <w:color w:val="auto"/>
                <w:sz w:val="24"/>
                <w:szCs w:val="24"/>
                <w:highlight w:val="none"/>
              </w:rPr>
              <w:t>现状排口溯源分析（10分）</w:t>
            </w:r>
          </w:p>
          <w:p w14:paraId="003E2EB0">
            <w:pPr>
              <w:widowControl/>
              <w:numPr>
                <w:ilvl w:val="0"/>
                <w:numId w:val="0"/>
              </w:numPr>
              <w:snapToGrid w:val="0"/>
              <w:spacing w:line="240" w:lineRule="auto"/>
              <w:ind w:leftChars="0" w:right="0" w:rightChars="0" w:firstLine="480" w:firstLineChars="200"/>
              <w:jc w:val="left"/>
              <w:rPr>
                <w:rFonts w:hint="eastAsia" w:ascii="宋体" w:hAnsi="宋体" w:eastAsia="宋体" w:cs="宋体"/>
                <w:b w:val="0"/>
                <w:bCs w:val="0"/>
                <w:i w:val="0"/>
                <w:iCs w:val="0"/>
                <w:color w:val="auto"/>
                <w:sz w:val="24"/>
                <w:szCs w:val="24"/>
                <w:highlight w:val="none"/>
                <w:lang w:eastAsia="zh-CN"/>
              </w:rPr>
            </w:pPr>
            <w:r>
              <w:rPr>
                <w:rFonts w:hint="eastAsia" w:ascii="宋体" w:hAnsi="宋体" w:eastAsia="宋体" w:cs="宋体"/>
                <w:b w:val="0"/>
                <w:bCs w:val="0"/>
                <w:i w:val="0"/>
                <w:iCs w:val="0"/>
                <w:color w:val="auto"/>
                <w:sz w:val="24"/>
                <w:szCs w:val="24"/>
                <w:highlight w:val="none"/>
              </w:rPr>
              <w:t>对河流水系排口进行全面溯源分析：①体现现状河流水系排口分布情况，②梳理研判存在污水外排的问题排口，③对排口进行溯源，明确排口成因</w:t>
            </w:r>
            <w:r>
              <w:rPr>
                <w:rFonts w:hint="eastAsia" w:ascii="宋体" w:hAnsi="宋体" w:eastAsia="宋体" w:cs="宋体"/>
                <w:b w:val="0"/>
                <w:bCs w:val="0"/>
                <w:i w:val="0"/>
                <w:iCs w:val="0"/>
                <w:color w:val="auto"/>
                <w:sz w:val="24"/>
                <w:szCs w:val="24"/>
                <w:highlight w:val="none"/>
                <w:lang w:eastAsia="zh-CN"/>
              </w:rPr>
              <w:t>，</w:t>
            </w:r>
            <w:r>
              <w:rPr>
                <w:rFonts w:hint="eastAsia" w:ascii="宋体" w:hAnsi="宋体" w:eastAsia="宋体" w:cs="宋体"/>
                <w:b w:val="0"/>
                <w:bCs w:val="0"/>
                <w:i w:val="0"/>
                <w:iCs w:val="0"/>
                <w:color w:val="auto"/>
                <w:sz w:val="24"/>
                <w:szCs w:val="24"/>
                <w:highlight w:val="none"/>
                <w:lang w:val="en-US" w:eastAsia="zh-CN"/>
              </w:rPr>
              <w:t>④对小区具体的污水接入口问题分析。</w:t>
            </w:r>
            <w:r>
              <w:rPr>
                <w:rFonts w:hint="eastAsia" w:ascii="宋体" w:hAnsi="宋体" w:eastAsia="宋体" w:cs="宋体"/>
                <w:b w:val="0"/>
                <w:bCs w:val="0"/>
                <w:i w:val="0"/>
                <w:iCs w:val="0"/>
                <w:color w:val="auto"/>
                <w:sz w:val="24"/>
                <w:szCs w:val="24"/>
                <w:highlight w:val="none"/>
              </w:rPr>
              <w:t>内容每提及一项得2分，</w:t>
            </w:r>
            <w:r>
              <w:rPr>
                <w:rFonts w:hint="eastAsia" w:ascii="宋体" w:hAnsi="宋体" w:eastAsia="宋体" w:cs="宋体"/>
                <w:i w:val="0"/>
                <w:iCs w:val="0"/>
                <w:color w:val="auto"/>
                <w:sz w:val="24"/>
                <w:szCs w:val="24"/>
                <w:highlight w:val="none"/>
                <w:lang w:val="en-US" w:eastAsia="zh-CN"/>
              </w:rPr>
              <w:t>在此基础上，</w:t>
            </w:r>
            <w:r>
              <w:rPr>
                <w:rFonts w:hint="eastAsia" w:ascii="宋体" w:hAnsi="宋体" w:eastAsia="宋体" w:cs="宋体"/>
                <w:b w:val="0"/>
                <w:bCs w:val="0"/>
                <w:i w:val="0"/>
                <w:iCs w:val="0"/>
                <w:color w:val="auto"/>
                <w:sz w:val="24"/>
                <w:szCs w:val="24"/>
                <w:highlight w:val="none"/>
              </w:rPr>
              <w:t>评审投标文件中对河流水系排口溯源分析情况：分析准确、全面、符合会昌当地实际情况的得</w:t>
            </w:r>
            <w:r>
              <w:rPr>
                <w:rFonts w:hint="eastAsia" w:ascii="宋体" w:hAnsi="宋体" w:eastAsia="宋体" w:cs="宋体"/>
                <w:b w:val="0"/>
                <w:bCs w:val="0"/>
                <w:i w:val="0"/>
                <w:iCs w:val="0"/>
                <w:color w:val="auto"/>
                <w:sz w:val="24"/>
                <w:szCs w:val="24"/>
                <w:highlight w:val="none"/>
                <w:lang w:val="en-US" w:eastAsia="zh-CN"/>
              </w:rPr>
              <w:t>2</w:t>
            </w:r>
            <w:r>
              <w:rPr>
                <w:rFonts w:hint="eastAsia" w:ascii="宋体" w:hAnsi="宋体" w:eastAsia="宋体" w:cs="宋体"/>
                <w:b w:val="0"/>
                <w:bCs w:val="0"/>
                <w:i w:val="0"/>
                <w:iCs w:val="0"/>
                <w:color w:val="auto"/>
                <w:sz w:val="24"/>
                <w:szCs w:val="24"/>
                <w:highlight w:val="none"/>
              </w:rPr>
              <w:t>分，较为全面反应实际情况的得</w:t>
            </w:r>
            <w:r>
              <w:rPr>
                <w:rFonts w:hint="eastAsia" w:ascii="宋体" w:hAnsi="宋体" w:eastAsia="宋体" w:cs="宋体"/>
                <w:b w:val="0"/>
                <w:bCs w:val="0"/>
                <w:i w:val="0"/>
                <w:iCs w:val="0"/>
                <w:color w:val="auto"/>
                <w:sz w:val="24"/>
                <w:szCs w:val="24"/>
                <w:highlight w:val="none"/>
                <w:lang w:val="en-US" w:eastAsia="zh-CN"/>
              </w:rPr>
              <w:t>1</w:t>
            </w:r>
            <w:r>
              <w:rPr>
                <w:rFonts w:hint="eastAsia" w:ascii="宋体" w:hAnsi="宋体" w:eastAsia="宋体" w:cs="宋体"/>
                <w:b w:val="0"/>
                <w:bCs w:val="0"/>
                <w:i w:val="0"/>
                <w:iCs w:val="0"/>
                <w:color w:val="auto"/>
                <w:sz w:val="24"/>
                <w:szCs w:val="24"/>
                <w:highlight w:val="none"/>
              </w:rPr>
              <w:t>分，不全不符合当地实际情况的不得分。本项最多得</w:t>
            </w:r>
            <w:r>
              <w:rPr>
                <w:rFonts w:hint="eastAsia" w:ascii="宋体" w:hAnsi="宋体" w:eastAsia="宋体" w:cs="宋体"/>
                <w:b w:val="0"/>
                <w:bCs w:val="0"/>
                <w:i w:val="0"/>
                <w:iCs w:val="0"/>
                <w:color w:val="auto"/>
                <w:sz w:val="24"/>
                <w:szCs w:val="24"/>
                <w:highlight w:val="none"/>
                <w:lang w:val="en-US" w:eastAsia="zh-CN"/>
              </w:rPr>
              <w:t>10</w:t>
            </w:r>
            <w:r>
              <w:rPr>
                <w:rFonts w:hint="eastAsia" w:ascii="宋体" w:hAnsi="宋体" w:eastAsia="宋体" w:cs="宋体"/>
                <w:b w:val="0"/>
                <w:bCs w:val="0"/>
                <w:i w:val="0"/>
                <w:iCs w:val="0"/>
                <w:color w:val="auto"/>
                <w:sz w:val="24"/>
                <w:szCs w:val="24"/>
                <w:highlight w:val="none"/>
              </w:rPr>
              <w:t>分</w:t>
            </w:r>
            <w:r>
              <w:rPr>
                <w:rFonts w:hint="eastAsia" w:ascii="宋体" w:hAnsi="宋体" w:eastAsia="宋体" w:cs="宋体"/>
                <w:b w:val="0"/>
                <w:bCs w:val="0"/>
                <w:i w:val="0"/>
                <w:iCs w:val="0"/>
                <w:color w:val="auto"/>
                <w:sz w:val="24"/>
                <w:szCs w:val="24"/>
                <w:highlight w:val="none"/>
                <w:lang w:eastAsia="zh-CN"/>
              </w:rPr>
              <w:t>。</w:t>
            </w:r>
          </w:p>
          <w:p w14:paraId="5E98AB6E">
            <w:pPr>
              <w:widowControl/>
              <w:numPr>
                <w:ilvl w:val="0"/>
                <w:numId w:val="0"/>
              </w:numPr>
              <w:snapToGrid w:val="0"/>
              <w:spacing w:line="240" w:lineRule="auto"/>
              <w:ind w:leftChars="0" w:right="0" w:rightChars="0" w:firstLine="482" w:firstLineChars="200"/>
              <w:jc w:val="left"/>
              <w:rPr>
                <w:rFonts w:hint="eastAsia" w:ascii="宋体" w:hAnsi="宋体" w:eastAsia="宋体" w:cs="宋体"/>
                <w:b/>
                <w:bCs/>
                <w:i w:val="0"/>
                <w:iCs w:val="0"/>
                <w:color w:val="auto"/>
                <w:sz w:val="24"/>
                <w:szCs w:val="24"/>
                <w:highlight w:val="none"/>
              </w:rPr>
            </w:pPr>
            <w:r>
              <w:rPr>
                <w:rFonts w:hint="eastAsia" w:ascii="宋体" w:hAnsi="宋体" w:eastAsia="宋体" w:cs="宋体"/>
                <w:b/>
                <w:bCs/>
                <w:i w:val="0"/>
                <w:iCs w:val="0"/>
                <w:color w:val="auto"/>
                <w:sz w:val="24"/>
                <w:szCs w:val="24"/>
                <w:highlight w:val="none"/>
                <w:lang w:val="en-US" w:eastAsia="zh-CN"/>
              </w:rPr>
              <w:t>评审依据：响应文件中提供现状</w:t>
            </w:r>
            <w:r>
              <w:rPr>
                <w:rFonts w:hint="eastAsia" w:ascii="宋体" w:hAnsi="宋体" w:eastAsia="宋体" w:cs="宋体"/>
                <w:b/>
                <w:bCs/>
                <w:i w:val="0"/>
                <w:iCs w:val="0"/>
                <w:color w:val="auto"/>
                <w:sz w:val="24"/>
                <w:szCs w:val="24"/>
                <w:highlight w:val="none"/>
              </w:rPr>
              <w:t>排口溯源分析</w:t>
            </w:r>
            <w:r>
              <w:rPr>
                <w:rFonts w:hint="eastAsia" w:ascii="宋体" w:hAnsi="宋体" w:eastAsia="宋体" w:cs="宋体"/>
                <w:b/>
                <w:bCs/>
                <w:i w:val="0"/>
                <w:iCs w:val="0"/>
                <w:color w:val="auto"/>
                <w:sz w:val="24"/>
                <w:szCs w:val="24"/>
                <w:highlight w:val="none"/>
                <w:lang w:val="en-US" w:eastAsia="zh-CN"/>
              </w:rPr>
              <w:t>加盖公章，</w:t>
            </w:r>
            <w:r>
              <w:rPr>
                <w:rFonts w:hint="eastAsia" w:ascii="宋体" w:hAnsi="宋体" w:eastAsia="宋体" w:cs="宋体"/>
                <w:b/>
                <w:bCs/>
                <w:color w:val="auto"/>
                <w:sz w:val="24"/>
                <w:szCs w:val="24"/>
                <w:highlight w:val="none"/>
              </w:rPr>
              <w:t>未提供或提供无效的不得分。</w:t>
            </w:r>
          </w:p>
          <w:p w14:paraId="05EC450E">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rPr>
            </w:pPr>
            <w:r>
              <w:rPr>
                <w:rFonts w:hint="eastAsia" w:ascii="宋体" w:hAnsi="宋体" w:eastAsia="宋体" w:cs="宋体"/>
                <w:b/>
                <w:bCs/>
                <w:i w:val="0"/>
                <w:iCs w:val="0"/>
                <w:snapToGrid w:val="0"/>
                <w:color w:val="auto"/>
                <w:sz w:val="24"/>
                <w:szCs w:val="24"/>
                <w:highlight w:val="none"/>
                <w:lang w:val="en-US" w:eastAsia="en-US" w:bidi="ar-SA"/>
              </w:rPr>
              <w:t>4、</w:t>
            </w:r>
            <w:r>
              <w:rPr>
                <w:rFonts w:hint="eastAsia" w:ascii="宋体" w:hAnsi="宋体" w:eastAsia="宋体" w:cs="宋体"/>
                <w:b/>
                <w:bCs/>
                <w:i w:val="0"/>
                <w:iCs w:val="0"/>
                <w:color w:val="auto"/>
                <w:sz w:val="24"/>
                <w:szCs w:val="24"/>
                <w:highlight w:val="none"/>
              </w:rPr>
              <w:t xml:space="preserve">工作思路和技术路线（2分） </w:t>
            </w:r>
          </w:p>
          <w:p w14:paraId="512563E6">
            <w:pPr>
              <w:widowControl/>
              <w:numPr>
                <w:ilvl w:val="0"/>
                <w:numId w:val="0"/>
              </w:numPr>
              <w:snapToGrid w:val="0"/>
              <w:spacing w:line="240" w:lineRule="auto"/>
              <w:ind w:leftChars="0" w:right="0" w:rightChars="0" w:firstLine="480" w:firstLineChars="200"/>
              <w:jc w:val="left"/>
              <w:rPr>
                <w:rFonts w:hint="eastAsia" w:ascii="宋体" w:hAnsi="宋体" w:eastAsia="宋体" w:cs="宋体"/>
                <w:b w:val="0"/>
                <w:bCs w:val="0"/>
                <w:i w:val="0"/>
                <w:iCs w:val="0"/>
                <w:color w:val="auto"/>
                <w:sz w:val="24"/>
                <w:szCs w:val="24"/>
                <w:highlight w:val="none"/>
              </w:rPr>
            </w:pPr>
            <w:r>
              <w:rPr>
                <w:rFonts w:hint="eastAsia" w:ascii="宋体" w:hAnsi="宋体" w:eastAsia="宋体" w:cs="宋体"/>
                <w:b w:val="0"/>
                <w:bCs w:val="0"/>
                <w:i w:val="0"/>
                <w:iCs w:val="0"/>
                <w:color w:val="auto"/>
                <w:sz w:val="24"/>
                <w:szCs w:val="24"/>
                <w:highlight w:val="none"/>
              </w:rPr>
              <w:t>根据各响应供应商针对本项目①工作思路、②技术路线的科学性。内容每提及一项得0.5分，</w:t>
            </w:r>
            <w:r>
              <w:rPr>
                <w:rFonts w:hint="eastAsia" w:ascii="宋体" w:hAnsi="宋体" w:eastAsia="宋体" w:cs="宋体"/>
                <w:i w:val="0"/>
                <w:iCs w:val="0"/>
                <w:color w:val="auto"/>
                <w:sz w:val="24"/>
                <w:szCs w:val="24"/>
                <w:highlight w:val="none"/>
                <w:lang w:val="en-US" w:eastAsia="zh-CN"/>
              </w:rPr>
              <w:t>在此基础上，</w:t>
            </w:r>
            <w:r>
              <w:rPr>
                <w:rFonts w:hint="eastAsia" w:ascii="宋体" w:hAnsi="宋体" w:eastAsia="宋体" w:cs="宋体"/>
                <w:b w:val="0"/>
                <w:bCs w:val="0"/>
                <w:i w:val="0"/>
                <w:iCs w:val="0"/>
                <w:color w:val="auto"/>
                <w:sz w:val="24"/>
                <w:szCs w:val="24"/>
                <w:highlight w:val="none"/>
              </w:rPr>
              <w:t>评审投标文件是否逻辑连贯、结构清晰等。逻辑清晰得1分，逻辑不够清晰得0.5分，不提供或提供不全不符合当地实际情况的不得分。本项最高得2分。</w:t>
            </w:r>
          </w:p>
          <w:p w14:paraId="6BC5DC18">
            <w:pPr>
              <w:widowControl/>
              <w:numPr>
                <w:ilvl w:val="0"/>
                <w:numId w:val="0"/>
              </w:numPr>
              <w:snapToGrid w:val="0"/>
              <w:spacing w:line="240" w:lineRule="auto"/>
              <w:ind w:leftChars="0" w:right="0" w:rightChars="0" w:firstLine="482" w:firstLineChars="200"/>
              <w:jc w:val="left"/>
              <w:rPr>
                <w:rFonts w:hint="eastAsia" w:ascii="宋体" w:hAnsi="宋体" w:eastAsia="宋体" w:cs="宋体"/>
                <w:b/>
                <w:bCs/>
                <w:i w:val="0"/>
                <w:iCs w:val="0"/>
                <w:color w:val="auto"/>
                <w:sz w:val="24"/>
                <w:szCs w:val="24"/>
                <w:highlight w:val="none"/>
              </w:rPr>
            </w:pPr>
            <w:r>
              <w:rPr>
                <w:rFonts w:hint="eastAsia" w:ascii="宋体" w:hAnsi="宋体" w:eastAsia="宋体" w:cs="宋体"/>
                <w:b/>
                <w:bCs/>
                <w:i w:val="0"/>
                <w:iCs w:val="0"/>
                <w:color w:val="auto"/>
                <w:sz w:val="24"/>
                <w:szCs w:val="24"/>
                <w:highlight w:val="none"/>
                <w:lang w:val="en-US" w:eastAsia="zh-CN"/>
              </w:rPr>
              <w:t>评审依据：响应文件中提供</w:t>
            </w:r>
            <w:r>
              <w:rPr>
                <w:rFonts w:hint="eastAsia" w:ascii="宋体" w:hAnsi="宋体" w:eastAsia="宋体" w:cs="宋体"/>
                <w:b/>
                <w:bCs/>
                <w:i w:val="0"/>
                <w:iCs w:val="0"/>
                <w:color w:val="auto"/>
                <w:sz w:val="24"/>
                <w:szCs w:val="24"/>
                <w:highlight w:val="none"/>
              </w:rPr>
              <w:t>工作思路和技术路线</w:t>
            </w:r>
            <w:r>
              <w:rPr>
                <w:rFonts w:hint="eastAsia" w:ascii="宋体" w:hAnsi="宋体" w:eastAsia="宋体" w:cs="宋体"/>
                <w:b/>
                <w:bCs/>
                <w:i w:val="0"/>
                <w:iCs w:val="0"/>
                <w:color w:val="auto"/>
                <w:sz w:val="24"/>
                <w:szCs w:val="24"/>
                <w:highlight w:val="none"/>
                <w:lang w:val="en-US" w:eastAsia="zh-CN"/>
              </w:rPr>
              <w:t>加盖公章，</w:t>
            </w:r>
            <w:r>
              <w:rPr>
                <w:rFonts w:hint="eastAsia" w:ascii="宋体" w:hAnsi="宋体" w:eastAsia="宋体" w:cs="宋体"/>
                <w:b/>
                <w:bCs/>
                <w:color w:val="auto"/>
                <w:sz w:val="24"/>
                <w:szCs w:val="24"/>
                <w:highlight w:val="none"/>
              </w:rPr>
              <w:t>未提供或提供无效的不得分。</w:t>
            </w:r>
          </w:p>
          <w:p w14:paraId="39C6DD0C">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rPr>
            </w:pPr>
            <w:r>
              <w:rPr>
                <w:rFonts w:hint="eastAsia" w:ascii="宋体" w:hAnsi="宋体" w:eastAsia="宋体" w:cs="宋体"/>
                <w:b/>
                <w:bCs/>
                <w:i w:val="0"/>
                <w:iCs w:val="0"/>
                <w:snapToGrid w:val="0"/>
                <w:color w:val="auto"/>
                <w:sz w:val="24"/>
                <w:szCs w:val="24"/>
                <w:highlight w:val="none"/>
                <w:lang w:val="en-US" w:eastAsia="en-US" w:bidi="ar-SA"/>
              </w:rPr>
              <w:t>5、</w:t>
            </w:r>
            <w:r>
              <w:rPr>
                <w:rFonts w:hint="eastAsia" w:ascii="宋体" w:hAnsi="宋体" w:eastAsia="宋体" w:cs="宋体"/>
                <w:b/>
                <w:bCs/>
                <w:i w:val="0"/>
                <w:iCs w:val="0"/>
                <w:color w:val="auto"/>
                <w:sz w:val="24"/>
                <w:szCs w:val="24"/>
                <w:highlight w:val="none"/>
              </w:rPr>
              <w:t xml:space="preserve">对规划建设的重点、难点分析（4分） </w:t>
            </w:r>
          </w:p>
          <w:p w14:paraId="5D21B74E">
            <w:pPr>
              <w:widowControl/>
              <w:numPr>
                <w:ilvl w:val="0"/>
                <w:numId w:val="0"/>
              </w:numPr>
              <w:snapToGrid w:val="0"/>
              <w:spacing w:line="240" w:lineRule="auto"/>
              <w:ind w:leftChars="0" w:right="0" w:rightChars="0" w:firstLine="480" w:firstLineChars="200"/>
              <w:jc w:val="left"/>
              <w:rPr>
                <w:rFonts w:hint="eastAsia" w:ascii="宋体" w:hAnsi="宋体" w:eastAsia="宋体" w:cs="宋体"/>
                <w:b w:val="0"/>
                <w:bCs w:val="0"/>
                <w:i w:val="0"/>
                <w:iCs w:val="0"/>
                <w:color w:val="auto"/>
                <w:sz w:val="24"/>
                <w:szCs w:val="24"/>
                <w:highlight w:val="none"/>
              </w:rPr>
            </w:pPr>
            <w:r>
              <w:rPr>
                <w:rFonts w:hint="eastAsia" w:ascii="宋体" w:hAnsi="宋体" w:eastAsia="宋体" w:cs="宋体"/>
                <w:b w:val="0"/>
                <w:bCs w:val="0"/>
                <w:i w:val="0"/>
                <w:iCs w:val="0"/>
                <w:color w:val="auto"/>
                <w:sz w:val="24"/>
                <w:szCs w:val="24"/>
                <w:highlight w:val="none"/>
              </w:rPr>
              <w:t>根据各响应供应商针对本项目特点并切合研究的背景和目的，分析项目①准确确定项目研究重点、</w:t>
            </w:r>
            <w:r>
              <w:rPr>
                <w:rFonts w:hint="eastAsia" w:ascii="宋体" w:hAnsi="宋体" w:eastAsia="宋体" w:cs="宋体"/>
                <w:b w:val="0"/>
                <w:bCs w:val="0"/>
                <w:i w:val="0"/>
                <w:iCs w:val="0"/>
                <w:color w:val="auto"/>
                <w:sz w:val="24"/>
                <w:szCs w:val="24"/>
                <w:highlight w:val="none"/>
                <w:lang w:val="en-US" w:eastAsia="zh-CN"/>
              </w:rPr>
              <w:t>难点，</w:t>
            </w:r>
            <w:r>
              <w:rPr>
                <w:rFonts w:hint="eastAsia" w:ascii="宋体" w:hAnsi="宋体" w:eastAsia="宋体" w:cs="宋体"/>
                <w:b w:val="0"/>
                <w:bCs w:val="0"/>
                <w:i w:val="0"/>
                <w:iCs w:val="0"/>
                <w:color w:val="auto"/>
                <w:sz w:val="24"/>
                <w:szCs w:val="24"/>
                <w:highlight w:val="none"/>
              </w:rPr>
              <w:t>②对现有截留口，源头雨污分流优化改造方案。</w:t>
            </w:r>
            <w:r>
              <w:rPr>
                <w:rFonts w:hint="eastAsia" w:ascii="宋体" w:hAnsi="宋体" w:eastAsia="宋体" w:cs="宋体"/>
                <w:b w:val="0"/>
                <w:bCs w:val="0"/>
                <w:i w:val="0"/>
                <w:iCs w:val="0"/>
                <w:color w:val="auto"/>
                <w:sz w:val="24"/>
                <w:szCs w:val="24"/>
                <w:highlight w:val="none"/>
                <w:lang w:val="en-US" w:eastAsia="zh-CN"/>
              </w:rPr>
              <w:t>内容每提及一项得1分，</w:t>
            </w:r>
            <w:r>
              <w:rPr>
                <w:rFonts w:hint="eastAsia" w:ascii="宋体" w:hAnsi="宋体" w:eastAsia="宋体" w:cs="宋体"/>
                <w:i w:val="0"/>
                <w:iCs w:val="0"/>
                <w:color w:val="auto"/>
                <w:sz w:val="24"/>
                <w:szCs w:val="24"/>
                <w:highlight w:val="none"/>
                <w:lang w:val="en-US" w:eastAsia="zh-CN"/>
              </w:rPr>
              <w:t>在此基础上，</w:t>
            </w:r>
            <w:r>
              <w:rPr>
                <w:rFonts w:hint="eastAsia" w:ascii="宋体" w:hAnsi="宋体" w:eastAsia="宋体" w:cs="宋体"/>
                <w:b w:val="0"/>
                <w:bCs w:val="0"/>
                <w:i w:val="0"/>
                <w:iCs w:val="0"/>
                <w:color w:val="auto"/>
                <w:sz w:val="24"/>
                <w:szCs w:val="24"/>
                <w:highlight w:val="none"/>
                <w:lang w:val="en-US" w:eastAsia="zh-CN"/>
              </w:rPr>
              <w:t>评审投标文件分析准确、全面、符合会昌当地实际情况的得2分，较为全面反应实际情况的得1分，不全不符合当地实际情况的不得分。本项最多得4分。</w:t>
            </w:r>
          </w:p>
          <w:p w14:paraId="023E7D3A">
            <w:pPr>
              <w:widowControl/>
              <w:numPr>
                <w:ilvl w:val="0"/>
                <w:numId w:val="0"/>
              </w:numPr>
              <w:snapToGrid w:val="0"/>
              <w:spacing w:line="240" w:lineRule="auto"/>
              <w:ind w:leftChars="0" w:right="0" w:rightChars="0" w:firstLine="482" w:firstLineChars="20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评审依据：响应文件中提供</w:t>
            </w:r>
            <w:r>
              <w:rPr>
                <w:rFonts w:hint="eastAsia" w:ascii="宋体" w:hAnsi="宋体" w:eastAsia="宋体" w:cs="宋体"/>
                <w:b/>
                <w:bCs/>
                <w:i w:val="0"/>
                <w:iCs w:val="0"/>
                <w:color w:val="auto"/>
                <w:sz w:val="24"/>
                <w:szCs w:val="24"/>
                <w:highlight w:val="none"/>
              </w:rPr>
              <w:t>对规划建设的重点、难点分析</w:t>
            </w:r>
            <w:r>
              <w:rPr>
                <w:rFonts w:hint="eastAsia" w:ascii="宋体" w:hAnsi="宋体" w:eastAsia="宋体" w:cs="宋体"/>
                <w:b/>
                <w:bCs/>
                <w:i w:val="0"/>
                <w:iCs w:val="0"/>
                <w:color w:val="auto"/>
                <w:sz w:val="24"/>
                <w:szCs w:val="24"/>
                <w:highlight w:val="none"/>
                <w:lang w:val="en-US" w:eastAsia="zh-CN"/>
              </w:rPr>
              <w:t>加盖公章，</w:t>
            </w:r>
            <w:r>
              <w:rPr>
                <w:rFonts w:hint="eastAsia" w:ascii="宋体" w:hAnsi="宋体" w:eastAsia="宋体" w:cs="宋体"/>
                <w:b/>
                <w:bCs/>
                <w:color w:val="auto"/>
                <w:sz w:val="24"/>
                <w:szCs w:val="24"/>
                <w:highlight w:val="none"/>
              </w:rPr>
              <w:t>未提供或提供无效的不得分。</w:t>
            </w:r>
          </w:p>
          <w:p w14:paraId="0F4C2F27">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snapToGrid w:val="0"/>
                <w:color w:val="auto"/>
                <w:sz w:val="24"/>
                <w:szCs w:val="24"/>
                <w:highlight w:val="none"/>
                <w:lang w:val="en-US" w:eastAsia="zh-CN" w:bidi="ar-SA"/>
              </w:rPr>
              <w:t>6、</w:t>
            </w:r>
            <w:r>
              <w:rPr>
                <w:rFonts w:hint="eastAsia" w:ascii="宋体" w:hAnsi="宋体" w:eastAsia="宋体" w:cs="宋体"/>
                <w:b/>
                <w:bCs/>
                <w:i w:val="0"/>
                <w:iCs w:val="0"/>
                <w:color w:val="auto"/>
                <w:sz w:val="24"/>
                <w:szCs w:val="24"/>
                <w:highlight w:val="none"/>
                <w:lang w:val="en-US" w:eastAsia="zh-CN"/>
              </w:rPr>
              <w:t xml:space="preserve">典型排口“一口一策”治理方案（10分） </w:t>
            </w:r>
          </w:p>
          <w:p w14:paraId="2E17DD13">
            <w:pPr>
              <w:widowControl/>
              <w:numPr>
                <w:ilvl w:val="0"/>
                <w:numId w:val="0"/>
              </w:numPr>
              <w:snapToGrid w:val="0"/>
              <w:spacing w:line="240" w:lineRule="auto"/>
              <w:ind w:leftChars="0"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梳理现状排口，对至少3处典型排口制定典型排口“一口一策”治理方案：①根据问题排口成因划定典型排口治理范围，②制定典型排口整改措施。根据上述每项内容制定一处排口治理方案的得2分，</w:t>
            </w:r>
            <w:r>
              <w:rPr>
                <w:rFonts w:hint="eastAsia" w:ascii="宋体" w:hAnsi="宋体" w:eastAsia="宋体" w:cs="宋体"/>
                <w:i w:val="0"/>
                <w:iCs w:val="0"/>
                <w:color w:val="auto"/>
                <w:sz w:val="24"/>
                <w:szCs w:val="24"/>
                <w:highlight w:val="none"/>
                <w:lang w:val="en-US" w:eastAsia="zh-CN"/>
              </w:rPr>
              <w:t>在此基础上，</w:t>
            </w:r>
            <w:r>
              <w:rPr>
                <w:rFonts w:hint="eastAsia" w:ascii="宋体" w:hAnsi="宋体" w:eastAsia="宋体" w:cs="宋体"/>
                <w:b w:val="0"/>
                <w:bCs w:val="0"/>
                <w:i w:val="0"/>
                <w:iCs w:val="0"/>
                <w:color w:val="auto"/>
                <w:sz w:val="24"/>
                <w:szCs w:val="24"/>
                <w:highlight w:val="none"/>
                <w:lang w:val="en-US" w:eastAsia="zh-CN"/>
              </w:rPr>
              <w:t>评审投标文件中关于排口“一口一策”治理方案中调查全面，措施科学、合理符合会昌当地实际情况的得6分，较为全面反应实际情况的得3分，不全不符合当地实际情况的不得分。本项最多得10分。</w:t>
            </w:r>
          </w:p>
          <w:p w14:paraId="123E45AB">
            <w:pPr>
              <w:widowControl/>
              <w:numPr>
                <w:ilvl w:val="0"/>
                <w:numId w:val="0"/>
              </w:numPr>
              <w:snapToGrid w:val="0"/>
              <w:spacing w:line="240" w:lineRule="auto"/>
              <w:ind w:leftChars="0" w:right="0" w:rightChars="0" w:firstLine="482" w:firstLineChars="20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评审依据：响应文件中提供典型排口“一口一策”治理方案加盖公章，</w:t>
            </w:r>
            <w:r>
              <w:rPr>
                <w:rFonts w:hint="eastAsia" w:ascii="宋体" w:hAnsi="宋体" w:eastAsia="宋体" w:cs="宋体"/>
                <w:b/>
                <w:bCs/>
                <w:color w:val="auto"/>
                <w:sz w:val="24"/>
                <w:szCs w:val="24"/>
                <w:highlight w:val="none"/>
              </w:rPr>
              <w:t>未提供或提供无效的不得分。</w:t>
            </w:r>
          </w:p>
          <w:p w14:paraId="094266D2">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snapToGrid w:val="0"/>
                <w:color w:val="auto"/>
                <w:sz w:val="24"/>
                <w:szCs w:val="24"/>
                <w:highlight w:val="none"/>
                <w:lang w:val="en-US" w:eastAsia="zh-CN" w:bidi="ar-SA"/>
              </w:rPr>
              <w:t>7、</w:t>
            </w:r>
            <w:r>
              <w:rPr>
                <w:rFonts w:hint="eastAsia" w:ascii="宋体" w:hAnsi="宋体" w:eastAsia="宋体" w:cs="宋体"/>
                <w:b/>
                <w:bCs/>
                <w:i w:val="0"/>
                <w:iCs w:val="0"/>
                <w:color w:val="auto"/>
                <w:sz w:val="24"/>
                <w:szCs w:val="24"/>
                <w:highlight w:val="none"/>
                <w:lang w:val="en-US" w:eastAsia="zh-CN"/>
              </w:rPr>
              <w:t xml:space="preserve">实施进度安排（6分） </w:t>
            </w:r>
          </w:p>
          <w:p w14:paraId="50D6E2E0">
            <w:pPr>
              <w:widowControl/>
              <w:numPr>
                <w:ilvl w:val="0"/>
                <w:numId w:val="0"/>
              </w:numPr>
              <w:snapToGrid w:val="0"/>
              <w:spacing w:line="240" w:lineRule="auto"/>
              <w:ind w:leftChars="0"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根据各响应供应商针对本项目①整体工作阶段及任务划分、②进度控制③关键时间节点得把握。内容每提及一项得1分，</w:t>
            </w:r>
            <w:r>
              <w:rPr>
                <w:rFonts w:hint="eastAsia" w:ascii="宋体" w:hAnsi="宋体" w:eastAsia="宋体" w:cs="宋体"/>
                <w:i w:val="0"/>
                <w:iCs w:val="0"/>
                <w:color w:val="auto"/>
                <w:sz w:val="24"/>
                <w:szCs w:val="24"/>
                <w:highlight w:val="none"/>
                <w:lang w:val="en-US" w:eastAsia="zh-CN"/>
              </w:rPr>
              <w:t>在此基础上，</w:t>
            </w:r>
            <w:r>
              <w:rPr>
                <w:rFonts w:hint="eastAsia" w:ascii="宋体" w:hAnsi="宋体" w:eastAsia="宋体" w:cs="宋体"/>
                <w:b w:val="0"/>
                <w:bCs w:val="0"/>
                <w:i w:val="0"/>
                <w:iCs w:val="0"/>
                <w:color w:val="auto"/>
                <w:sz w:val="24"/>
                <w:szCs w:val="24"/>
                <w:highlight w:val="none"/>
                <w:lang w:val="en-US" w:eastAsia="zh-CN"/>
              </w:rPr>
              <w:t>进度安排全面合理的得3分，较为合理的得1.5分，不全不符合当地实际情况的不得分，本项共计得6分。</w:t>
            </w:r>
          </w:p>
          <w:p w14:paraId="2575DEA2">
            <w:pPr>
              <w:widowControl/>
              <w:numPr>
                <w:ilvl w:val="0"/>
                <w:numId w:val="0"/>
              </w:numPr>
              <w:snapToGrid w:val="0"/>
              <w:spacing w:line="240" w:lineRule="auto"/>
              <w:ind w:leftChars="0" w:right="0" w:rightChars="0" w:firstLine="482" w:firstLineChars="20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评审依据：响应文件中提供实施进度安排加盖公章，</w:t>
            </w:r>
            <w:r>
              <w:rPr>
                <w:rFonts w:hint="eastAsia" w:ascii="宋体" w:hAnsi="宋体" w:eastAsia="宋体" w:cs="宋体"/>
                <w:b/>
                <w:bCs/>
                <w:color w:val="auto"/>
                <w:sz w:val="24"/>
                <w:szCs w:val="24"/>
                <w:highlight w:val="none"/>
              </w:rPr>
              <w:t>未提供或提供无效的不得分。</w:t>
            </w:r>
          </w:p>
          <w:p w14:paraId="18EA1F3B">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snapToGrid w:val="0"/>
                <w:color w:val="auto"/>
                <w:sz w:val="24"/>
                <w:szCs w:val="24"/>
                <w:highlight w:val="none"/>
                <w:lang w:val="en-US" w:eastAsia="zh-CN" w:bidi="ar-SA"/>
              </w:rPr>
              <w:t>8、</w:t>
            </w:r>
            <w:r>
              <w:rPr>
                <w:rFonts w:hint="eastAsia" w:ascii="宋体" w:hAnsi="宋体" w:eastAsia="宋体" w:cs="宋体"/>
                <w:b/>
                <w:bCs/>
                <w:i w:val="0"/>
                <w:iCs w:val="0"/>
                <w:color w:val="auto"/>
                <w:sz w:val="24"/>
                <w:szCs w:val="24"/>
                <w:highlight w:val="none"/>
                <w:lang w:val="en-US" w:eastAsia="zh-CN"/>
              </w:rPr>
              <w:t xml:space="preserve">服务及质量保证（4分） </w:t>
            </w:r>
          </w:p>
          <w:p w14:paraId="5FA49D61">
            <w:pPr>
              <w:widowControl/>
              <w:numPr>
                <w:ilvl w:val="0"/>
                <w:numId w:val="0"/>
              </w:numPr>
              <w:snapToGrid w:val="0"/>
              <w:spacing w:line="240" w:lineRule="auto"/>
              <w:ind w:leftChars="0"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根据各响应供应商针对本项目①质量保证体系、②后续服务保障体系的保证以及应对措施分析。内容每提及一项得2分，共计得4分；不提供或提供不全不符合当地实际情况的不得分。</w:t>
            </w:r>
          </w:p>
          <w:p w14:paraId="39BF1284">
            <w:pPr>
              <w:widowControl/>
              <w:numPr>
                <w:ilvl w:val="0"/>
                <w:numId w:val="0"/>
              </w:numPr>
              <w:snapToGrid w:val="0"/>
              <w:spacing w:line="240" w:lineRule="auto"/>
              <w:ind w:leftChars="0" w:right="0" w:rightChars="0" w:firstLine="482"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评审依据：响应文件中提供服务及质量保证加盖公章，</w:t>
            </w:r>
            <w:r>
              <w:rPr>
                <w:rFonts w:hint="eastAsia" w:ascii="宋体" w:hAnsi="宋体" w:eastAsia="宋体" w:cs="宋体"/>
                <w:b/>
                <w:bCs/>
                <w:color w:val="auto"/>
                <w:sz w:val="24"/>
                <w:szCs w:val="24"/>
                <w:highlight w:val="none"/>
              </w:rPr>
              <w:t>未提供或提供无效的不得分。</w:t>
            </w:r>
          </w:p>
        </w:tc>
      </w:tr>
      <w:tr w14:paraId="25A2F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985" w:type="dxa"/>
            <w:vAlign w:val="center"/>
          </w:tcPr>
          <w:p w14:paraId="52D34608">
            <w:pPr>
              <w:widowControl/>
              <w:snapToGrid w:val="0"/>
              <w:spacing w:line="240" w:lineRule="auto"/>
              <w:ind w:left="0" w:leftChars="0" w:right="0" w:rightChars="0" w:firstLine="0" w:firstLineChars="0"/>
              <w:jc w:val="center"/>
              <w:rPr>
                <w:rFonts w:hint="eastAsia" w:ascii="宋体" w:hAnsi="宋体" w:eastAsia="宋体" w:cs="宋体"/>
                <w:i w:val="0"/>
                <w:iCs w:val="0"/>
                <w:color w:val="auto"/>
                <w:sz w:val="24"/>
                <w:szCs w:val="24"/>
                <w:highlight w:val="none"/>
                <w:lang w:val="en-US" w:eastAsia="zh-CN"/>
              </w:rPr>
            </w:pPr>
            <w:r>
              <w:rPr>
                <w:rFonts w:hint="eastAsia" w:ascii="宋体" w:hAnsi="宋体" w:eastAsia="宋体" w:cs="宋体"/>
                <w:i w:val="0"/>
                <w:iCs w:val="0"/>
                <w:color w:val="auto"/>
                <w:sz w:val="24"/>
                <w:szCs w:val="24"/>
                <w:highlight w:val="none"/>
                <w:lang w:val="en-US" w:eastAsia="zh-CN"/>
              </w:rPr>
              <w:t>商务分（40分）</w:t>
            </w:r>
          </w:p>
        </w:tc>
        <w:tc>
          <w:tcPr>
            <w:tcW w:w="7341" w:type="dxa"/>
            <w:vAlign w:val="center"/>
          </w:tcPr>
          <w:p w14:paraId="6F2F5B57">
            <w:pPr>
              <w:widowControl/>
              <w:snapToGrid w:val="0"/>
              <w:spacing w:line="240" w:lineRule="auto"/>
              <w:ind w:left="0" w:leftChars="0" w:right="0" w:rightChars="0" w:firstLine="0" w:firstLineChars="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1、项目经理（5分）</w:t>
            </w:r>
          </w:p>
          <w:p w14:paraId="2D6A687D">
            <w:pPr>
              <w:widowControl/>
              <w:snapToGrid w:val="0"/>
              <w:spacing w:line="240" w:lineRule="auto"/>
              <w:ind w:left="0" w:leftChars="0"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项目经理应具备注册公用设备师（给排水）或注册城市规划师资格的执业资格得3分，同时具有给排水工程类或城市规划类高级职称的，得5分。本项最高5分。</w:t>
            </w:r>
          </w:p>
          <w:p w14:paraId="0D4655D7">
            <w:pPr>
              <w:widowControl/>
              <w:snapToGrid w:val="0"/>
              <w:spacing w:line="240" w:lineRule="auto"/>
              <w:ind w:left="0" w:leftChars="0" w:right="0" w:rightChars="0" w:firstLine="482" w:firstLineChars="20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评审依据：提供项目负责人相关证书及近六个月中任意一个月社保缴纳证明扫描件加盖投标单位公章，未提供或缺项者不得分。</w:t>
            </w:r>
          </w:p>
          <w:p w14:paraId="0208F950">
            <w:pPr>
              <w:widowControl/>
              <w:snapToGrid w:val="0"/>
              <w:spacing w:line="240" w:lineRule="auto"/>
              <w:ind w:left="0" w:leftChars="0" w:right="0" w:rightChars="0" w:firstLine="0" w:firstLineChars="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2、团队综合实力（16分）</w:t>
            </w:r>
          </w:p>
          <w:p w14:paraId="4ABCC7BB">
            <w:pPr>
              <w:widowControl/>
              <w:snapToGrid w:val="0"/>
              <w:spacing w:line="240" w:lineRule="auto"/>
              <w:ind w:left="0" w:leftChars="0" w:right="0" w:rightChars="0" w:firstLine="482" w:firstLineChars="20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拟派项目技术人员专业齐全，至少包含城市规划、给排水、道路交通、工程造价等专业。</w:t>
            </w:r>
          </w:p>
          <w:p w14:paraId="2EF43C27">
            <w:pPr>
              <w:widowControl/>
              <w:numPr>
                <w:ilvl w:val="0"/>
                <w:numId w:val="0"/>
              </w:numPr>
              <w:snapToGrid w:val="0"/>
              <w:spacing w:line="240" w:lineRule="auto"/>
              <w:ind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（1）项目组组成人员中（除项目经理）城市规划专业负责人具备城市规划师资格、中级技术职称的计2分，具备城市规划师资格、高级技术职称及以上的计4分，本项最高可得4分；</w:t>
            </w:r>
          </w:p>
          <w:p w14:paraId="587A7799">
            <w:pPr>
              <w:widowControl/>
              <w:numPr>
                <w:ilvl w:val="0"/>
                <w:numId w:val="0"/>
              </w:numPr>
              <w:snapToGrid w:val="0"/>
              <w:spacing w:line="240" w:lineRule="auto"/>
              <w:ind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（2）项目组组成人员中（除项目经理）给排水专业负责人具备给排水专业执业资格、中级技术职称的计2分，具备给排水专业执业资格、高级技术职称及以上的计4分，本项最高可得4分；</w:t>
            </w:r>
          </w:p>
          <w:p w14:paraId="078876CB">
            <w:pPr>
              <w:widowControl/>
              <w:numPr>
                <w:ilvl w:val="0"/>
                <w:numId w:val="0"/>
              </w:numPr>
              <w:snapToGrid w:val="0"/>
              <w:spacing w:line="240" w:lineRule="auto"/>
              <w:ind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（3）项目组组成人员中（除项目经理）道路交通专业负责人具备道路交通专业执业资格、中级技术职称的计2分，具备道路交通专业执业资格、高级技术职称及以上的计4分，本项最高可得4分；</w:t>
            </w:r>
          </w:p>
          <w:p w14:paraId="46903D77">
            <w:pPr>
              <w:widowControl/>
              <w:numPr>
                <w:ilvl w:val="0"/>
                <w:numId w:val="0"/>
              </w:numPr>
              <w:snapToGrid w:val="0"/>
              <w:spacing w:line="240" w:lineRule="auto"/>
              <w:ind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（4）项目组组成人员中（除项目经理）工程造价负责人具备工程造价执业资格、中级技术职称的计2分，具备工程造价执业资格、高级技术职称及以上的计4分，本项最高可得4分；</w:t>
            </w:r>
          </w:p>
          <w:p w14:paraId="2010B434">
            <w:pPr>
              <w:widowControl/>
              <w:numPr>
                <w:ilvl w:val="0"/>
                <w:numId w:val="0"/>
              </w:numPr>
              <w:snapToGrid w:val="0"/>
              <w:spacing w:line="240" w:lineRule="auto"/>
              <w:ind w:right="0" w:rightChars="0" w:firstLine="482" w:firstLineChars="20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评审依据：提供相关证书及近六个月中任意一个月社保缴纳证明扫描件加盖投标单位公章，未提供或缺项者不得分。</w:t>
            </w:r>
          </w:p>
          <w:p w14:paraId="5C9EC37F">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3、企业荣誉（7分）</w:t>
            </w:r>
          </w:p>
          <w:p w14:paraId="3C436A7A">
            <w:pPr>
              <w:widowControl/>
              <w:numPr>
                <w:ilvl w:val="0"/>
                <w:numId w:val="0"/>
              </w:numPr>
              <w:snapToGrid w:val="0"/>
              <w:spacing w:line="240" w:lineRule="auto"/>
              <w:ind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snapToGrid w:val="0"/>
                <w:color w:val="auto"/>
                <w:sz w:val="24"/>
                <w:szCs w:val="24"/>
                <w:highlight w:val="none"/>
                <w:lang w:val="en-US" w:eastAsia="zh-CN" w:bidi="ar-SA"/>
              </w:rPr>
              <w:t>1、</w:t>
            </w:r>
            <w:r>
              <w:rPr>
                <w:rFonts w:hint="eastAsia" w:ascii="宋体" w:hAnsi="宋体" w:eastAsia="宋体" w:cs="宋体"/>
                <w:b w:val="0"/>
                <w:bCs w:val="0"/>
                <w:i w:val="0"/>
                <w:iCs w:val="0"/>
                <w:color w:val="auto"/>
                <w:sz w:val="24"/>
                <w:szCs w:val="24"/>
                <w:highlight w:val="none"/>
                <w:lang w:val="en-US" w:eastAsia="zh-CN"/>
              </w:rPr>
              <w:t>响应供应商获得国家级或全国学会（规划或设计）奖项每个得3分；此项满分3分。</w:t>
            </w:r>
          </w:p>
          <w:p w14:paraId="28768821">
            <w:pPr>
              <w:widowControl/>
              <w:numPr>
                <w:ilvl w:val="0"/>
                <w:numId w:val="0"/>
              </w:numPr>
              <w:snapToGrid w:val="0"/>
              <w:spacing w:line="240" w:lineRule="auto"/>
              <w:ind w:left="0" w:leftChars="0"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snapToGrid w:val="0"/>
                <w:color w:val="auto"/>
                <w:sz w:val="24"/>
                <w:szCs w:val="24"/>
                <w:highlight w:val="none"/>
                <w:lang w:val="en-US" w:eastAsia="zh-CN" w:bidi="ar-SA"/>
              </w:rPr>
              <w:t>2、</w:t>
            </w:r>
            <w:r>
              <w:rPr>
                <w:rFonts w:hint="eastAsia" w:ascii="宋体" w:hAnsi="宋体" w:eastAsia="宋体" w:cs="宋体"/>
                <w:b w:val="0"/>
                <w:bCs w:val="0"/>
                <w:i w:val="0"/>
                <w:iCs w:val="0"/>
                <w:color w:val="auto"/>
                <w:sz w:val="24"/>
                <w:szCs w:val="24"/>
                <w:highlight w:val="none"/>
                <w:lang w:val="en-US" w:eastAsia="zh-CN"/>
              </w:rPr>
              <w:t>响应供应商获得省级（规划或设计）奖项每个得1分；此项满分4分（最多按4个奖项计分）。</w:t>
            </w:r>
          </w:p>
          <w:p w14:paraId="7A819E22">
            <w:pPr>
              <w:widowControl/>
              <w:numPr>
                <w:ilvl w:val="0"/>
                <w:numId w:val="0"/>
              </w:numPr>
              <w:snapToGrid w:val="0"/>
              <w:spacing w:line="240" w:lineRule="auto"/>
              <w:ind w:left="0" w:leftChars="0"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以上两点重复项只计取一项。</w:t>
            </w:r>
          </w:p>
          <w:p w14:paraId="77535951">
            <w:pPr>
              <w:widowControl/>
              <w:numPr>
                <w:ilvl w:val="0"/>
                <w:numId w:val="0"/>
              </w:numPr>
              <w:snapToGrid w:val="0"/>
              <w:spacing w:line="240" w:lineRule="auto"/>
              <w:ind w:leftChars="0" w:right="0" w:rightChars="0" w:firstLine="482" w:firstLineChars="20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评审依据：提供相应证书扫描件加盖投标单位公章。</w:t>
            </w:r>
          </w:p>
          <w:p w14:paraId="3325B8A3">
            <w:pPr>
              <w:widowControl/>
              <w:numPr>
                <w:ilvl w:val="0"/>
                <w:numId w:val="0"/>
              </w:numPr>
              <w:snapToGrid w:val="0"/>
              <w:spacing w:line="240" w:lineRule="auto"/>
              <w:ind w:right="0" w:rightChars="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4、业绩（12分）</w:t>
            </w:r>
          </w:p>
          <w:p w14:paraId="2E127981">
            <w:pPr>
              <w:widowControl/>
              <w:numPr>
                <w:ilvl w:val="0"/>
                <w:numId w:val="0"/>
              </w:numPr>
              <w:snapToGrid w:val="0"/>
              <w:spacing w:line="240" w:lineRule="auto"/>
              <w:ind w:right="0" w:rightChars="0" w:firstLine="480" w:firstLineChars="200"/>
              <w:jc w:val="left"/>
              <w:rPr>
                <w:rFonts w:hint="eastAsia" w:ascii="宋体" w:hAnsi="宋体" w:eastAsia="宋体" w:cs="宋体"/>
                <w:b w:val="0"/>
                <w:bCs w:val="0"/>
                <w:i w:val="0"/>
                <w:iCs w:val="0"/>
                <w:color w:val="auto"/>
                <w:sz w:val="24"/>
                <w:szCs w:val="24"/>
                <w:highlight w:val="none"/>
                <w:lang w:val="en-US" w:eastAsia="zh-CN"/>
              </w:rPr>
            </w:pPr>
            <w:r>
              <w:rPr>
                <w:rFonts w:hint="eastAsia" w:ascii="宋体" w:hAnsi="宋体" w:eastAsia="宋体" w:cs="宋体"/>
                <w:b w:val="0"/>
                <w:bCs w:val="0"/>
                <w:i w:val="0"/>
                <w:iCs w:val="0"/>
                <w:color w:val="auto"/>
                <w:sz w:val="24"/>
                <w:szCs w:val="24"/>
                <w:highlight w:val="none"/>
                <w:lang w:val="en-US" w:eastAsia="zh-CN"/>
              </w:rPr>
              <w:t>投标单位自2023年4月1日以来承担过污水或排水专项规划，每项得2分，最多得12分。</w:t>
            </w:r>
          </w:p>
          <w:p w14:paraId="1D16E1DC">
            <w:pPr>
              <w:widowControl/>
              <w:numPr>
                <w:ilvl w:val="0"/>
                <w:numId w:val="0"/>
              </w:numPr>
              <w:snapToGrid w:val="0"/>
              <w:spacing w:line="240" w:lineRule="auto"/>
              <w:ind w:right="0" w:rightChars="0" w:firstLine="482" w:firstLineChars="200"/>
              <w:jc w:val="left"/>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评审依据：提供中标通知书、合同扫描件加盖投标单位公章，未提供或提供无效者不得分。</w:t>
            </w:r>
          </w:p>
        </w:tc>
      </w:tr>
    </w:tbl>
    <w:p w14:paraId="6E08817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AF04A">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BC7EC7">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05BC7EC7">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0E68DB"/>
    <w:rsid w:val="3D0E68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2026-06-15T07:45:00Z</dcterms:created>
  <dc:creator>清醒知趣</dc:creator>
  <cp:lastModifiedBy>清醒知趣</cp:lastModifiedBy>
  <dcterms:modified xsi:type="dcterms:W3CDTF">2026-06-15T07:47:16Z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7277494942854C64B865B7F9216AF1A4_11</vt:lpwstr>
  </property>
  <property fmtid="{D5CDD505-2E9C-101B-9397-08002B2CF9AE}" pid="4" name="KSOTemplateDocerSaveRecord">
    <vt:lpwstr>eyJoZGlkIjoiNDUwMTFkMDI3ZjBmZjczM2Q3M2EwOGI5M2VjYzUzMDkiLCJ1c2VySWQiOiI3MjY3NTMxNTMifQ==</vt:lpwstr>
  </property>
</Properties>
</file>