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83C2CA">
      <w:pPr>
        <w:widowControl w:val="0"/>
        <w:kinsoku/>
        <w:spacing w:before="63" w:line="224" w:lineRule="auto"/>
        <w:jc w:val="center"/>
        <w:outlineLvl w:val="0"/>
        <w:rPr>
          <w:rFonts w:hint="eastAsia" w:ascii="宋体" w:hAnsi="宋体" w:eastAsia="宋体" w:cs="宋体"/>
          <w:color w:val="auto"/>
          <w:sz w:val="31"/>
          <w:szCs w:val="31"/>
          <w:highlight w:val="none"/>
          <w:lang w:eastAsia="zh-CN"/>
        </w:rPr>
      </w:pPr>
      <w:bookmarkStart w:id="4" w:name="_GoBack"/>
      <w:bookmarkEnd w:id="4"/>
      <w:bookmarkStart w:id="0" w:name="_Toc771"/>
      <w:r>
        <w:rPr>
          <w:rFonts w:ascii="宋体" w:hAnsi="宋体" w:eastAsia="宋体" w:cs="宋体"/>
          <w:color w:val="auto"/>
          <w:spacing w:val="9"/>
          <w:sz w:val="31"/>
          <w:szCs w:val="31"/>
          <w:highlight w:val="none"/>
          <w:lang w:eastAsia="zh-CN"/>
        </w:rPr>
        <w:t>采购需求</w:t>
      </w:r>
      <w:bookmarkEnd w:id="0"/>
    </w:p>
    <w:p w14:paraId="654B2760">
      <w:pPr>
        <w:widowControl w:val="0"/>
        <w:kinsoku/>
        <w:spacing w:line="309" w:lineRule="auto"/>
        <w:jc w:val="center"/>
        <w:rPr>
          <w:color w:val="auto"/>
          <w:highlight w:val="none"/>
          <w:lang w:eastAsia="zh-CN"/>
        </w:rPr>
      </w:pPr>
    </w:p>
    <w:p w14:paraId="595098EF">
      <w:pPr>
        <w:widowControl w:val="0"/>
        <w:kinsoku/>
        <w:spacing w:before="78" w:line="220" w:lineRule="auto"/>
        <w:rPr>
          <w:rFonts w:hint="eastAsia" w:ascii="宋体" w:hAnsi="宋体" w:eastAsia="宋体" w:cs="宋体"/>
          <w:color w:val="auto"/>
          <w:spacing w:val="-2"/>
          <w:sz w:val="24"/>
          <w:szCs w:val="24"/>
          <w:highlight w:val="none"/>
          <w:lang w:eastAsia="zh-CN"/>
        </w:rPr>
      </w:pPr>
    </w:p>
    <w:p w14:paraId="181D6379">
      <w:pPr>
        <w:widowControl w:val="0"/>
        <w:kinsoku/>
        <w:spacing w:before="78" w:line="220" w:lineRule="auto"/>
        <w:jc w:val="both"/>
        <w:outlineLvl w:val="1"/>
        <w:rPr>
          <w:color w:val="auto"/>
          <w:highlight w:val="none"/>
          <w:lang w:eastAsia="zh-CN"/>
        </w:rPr>
      </w:pPr>
      <w:bookmarkStart w:id="1" w:name="_Toc7426"/>
      <w:r>
        <w:rPr>
          <w:rFonts w:ascii="宋体" w:hAnsi="宋体" w:eastAsia="宋体" w:cs="宋体"/>
          <w:color w:val="auto"/>
          <w:spacing w:val="-2"/>
          <w:sz w:val="24"/>
          <w:szCs w:val="24"/>
          <w:highlight w:val="none"/>
          <w:lang w:eastAsia="zh-CN"/>
        </w:rPr>
        <w:t>一、</w:t>
      </w:r>
      <w:r>
        <w:rPr>
          <w:rFonts w:hint="eastAsia" w:ascii="宋体" w:hAnsi="宋体" w:eastAsia="宋体" w:cs="宋体"/>
          <w:color w:val="auto"/>
          <w:spacing w:val="-2"/>
          <w:sz w:val="24"/>
          <w:szCs w:val="24"/>
          <w:highlight w:val="none"/>
          <w:lang w:eastAsia="zh-CN"/>
        </w:rPr>
        <w:t>采购</w:t>
      </w:r>
      <w:r>
        <w:rPr>
          <w:rFonts w:ascii="宋体" w:hAnsi="宋体" w:eastAsia="宋体" w:cs="宋体"/>
          <w:color w:val="auto"/>
          <w:spacing w:val="-2"/>
          <w:sz w:val="24"/>
          <w:szCs w:val="24"/>
          <w:highlight w:val="none"/>
          <w:lang w:eastAsia="zh-CN"/>
        </w:rPr>
        <w:t>需求表</w:t>
      </w:r>
      <w:bookmarkEnd w:id="1"/>
    </w:p>
    <w:tbl>
      <w:tblPr>
        <w:tblStyle w:val="7"/>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33F597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205572C7">
            <w:pPr>
              <w:widowControl w:val="0"/>
              <w:kinsoku/>
              <w:spacing w:before="183" w:line="223" w:lineRule="auto"/>
              <w:ind w:left="1091"/>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名</w:t>
            </w:r>
          </w:p>
          <w:p w14:paraId="2461B984">
            <w:pPr>
              <w:pStyle w:val="8"/>
              <w:widowControl w:val="0"/>
              <w:kinsoku/>
              <w:spacing w:line="245" w:lineRule="auto"/>
              <w:rPr>
                <w:color w:val="auto"/>
                <w:highlight w:val="none"/>
              </w:rPr>
            </w:pPr>
          </w:p>
          <w:p w14:paraId="3FA42FAB">
            <w:pPr>
              <w:pStyle w:val="8"/>
              <w:widowControl w:val="0"/>
              <w:kinsoku/>
              <w:spacing w:line="246" w:lineRule="auto"/>
              <w:rPr>
                <w:color w:val="auto"/>
                <w:highlight w:val="none"/>
              </w:rPr>
            </w:pPr>
          </w:p>
          <w:p w14:paraId="0BA9681A">
            <w:pPr>
              <w:widowControl w:val="0"/>
              <w:kinsoku/>
              <w:spacing w:before="78" w:line="219" w:lineRule="auto"/>
              <w:ind w:left="481"/>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0E023DC4">
            <w:pPr>
              <w:pStyle w:val="8"/>
              <w:widowControl w:val="0"/>
              <w:kinsoku/>
              <w:spacing w:line="338" w:lineRule="auto"/>
              <w:rPr>
                <w:color w:val="auto"/>
                <w:highlight w:val="none"/>
              </w:rPr>
            </w:pPr>
          </w:p>
          <w:p w14:paraId="0E0A0C8E">
            <w:pPr>
              <w:widowControl w:val="0"/>
              <w:kinsoku/>
              <w:spacing w:before="78" w:line="220" w:lineRule="auto"/>
              <w:ind w:left="1311"/>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0B6943CC">
            <w:pPr>
              <w:pStyle w:val="8"/>
              <w:widowControl w:val="0"/>
              <w:kinsoku/>
              <w:spacing w:line="263" w:lineRule="auto"/>
              <w:rPr>
                <w:color w:val="auto"/>
                <w:highlight w:val="none"/>
              </w:rPr>
            </w:pPr>
          </w:p>
          <w:p w14:paraId="5FFE52B4">
            <w:pPr>
              <w:pStyle w:val="8"/>
              <w:widowControl w:val="0"/>
              <w:kinsoku/>
              <w:spacing w:line="263" w:lineRule="auto"/>
              <w:rPr>
                <w:color w:val="auto"/>
                <w:highlight w:val="none"/>
              </w:rPr>
            </w:pPr>
          </w:p>
          <w:p w14:paraId="14861A27">
            <w:pPr>
              <w:pStyle w:val="8"/>
              <w:widowControl w:val="0"/>
              <w:kinsoku/>
              <w:spacing w:line="264" w:lineRule="auto"/>
              <w:rPr>
                <w:color w:val="auto"/>
                <w:highlight w:val="none"/>
              </w:rPr>
            </w:pPr>
          </w:p>
          <w:p w14:paraId="04BB9E56">
            <w:pPr>
              <w:widowControl w:val="0"/>
              <w:kinsoku/>
              <w:spacing w:before="78" w:line="221" w:lineRule="auto"/>
              <w:ind w:left="192"/>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14:paraId="3390F789">
            <w:pPr>
              <w:pStyle w:val="8"/>
              <w:widowControl w:val="0"/>
              <w:jc w:val="center"/>
              <w:rPr>
                <w:color w:val="auto"/>
                <w:highlight w:val="none"/>
              </w:rPr>
            </w:pPr>
            <w:r>
              <w:rPr>
                <w:rFonts w:hint="eastAsia" w:ascii="宋体" w:hAnsi="宋体" w:eastAsia="宋体" w:cs="宋体"/>
                <w:color w:val="auto"/>
                <w:sz w:val="24"/>
                <w:highlight w:val="none"/>
              </w:rPr>
              <w:t>详见</w:t>
            </w:r>
            <w:r>
              <w:rPr>
                <w:rFonts w:hint="eastAsia" w:ascii="宋体" w:hAnsi="宋体" w:eastAsia="宋体" w:cs="宋体"/>
                <w:color w:val="auto"/>
                <w:sz w:val="24"/>
                <w:highlight w:val="none"/>
                <w:lang w:eastAsia="zh-CN"/>
              </w:rPr>
              <w:t>磋商</w:t>
            </w:r>
            <w:r>
              <w:rPr>
                <w:rFonts w:hint="eastAsia" w:ascii="宋体" w:hAnsi="宋体" w:eastAsia="宋体" w:cs="宋体"/>
                <w:color w:val="auto"/>
                <w:sz w:val="24"/>
                <w:highlight w:val="none"/>
              </w:rPr>
              <w:t>邀请</w:t>
            </w:r>
          </w:p>
        </w:tc>
      </w:tr>
      <w:tr w14:paraId="4FEE43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2F2E3DED">
            <w:pPr>
              <w:widowControl w:val="0"/>
              <w:kinsoku/>
              <w:spacing w:before="253" w:line="219" w:lineRule="auto"/>
              <w:ind w:left="1188"/>
              <w:rPr>
                <w:rFonts w:hint="eastAsia"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vAlign w:val="center"/>
          </w:tcPr>
          <w:p w14:paraId="24A31055">
            <w:pPr>
              <w:pStyle w:val="8"/>
              <w:widowControl w:val="0"/>
              <w:jc w:val="center"/>
              <w:rPr>
                <w:color w:val="auto"/>
                <w:highlight w:val="none"/>
              </w:rPr>
            </w:pPr>
            <w:r>
              <w:rPr>
                <w:rFonts w:hint="eastAsia" w:ascii="宋体" w:hAnsi="宋体" w:eastAsia="宋体" w:cs="宋体"/>
                <w:color w:val="auto"/>
                <w:sz w:val="24"/>
                <w:highlight w:val="none"/>
              </w:rPr>
              <w:t>1项</w:t>
            </w:r>
          </w:p>
        </w:tc>
      </w:tr>
      <w:tr w14:paraId="1DB6E1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F3BDF3D">
            <w:pPr>
              <w:widowControl w:val="0"/>
              <w:kinsoku/>
              <w:spacing w:before="253" w:line="219" w:lineRule="auto"/>
              <w:ind w:left="1071"/>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vAlign w:val="center"/>
          </w:tcPr>
          <w:p w14:paraId="1BF538C9">
            <w:pPr>
              <w:pStyle w:val="8"/>
              <w:widowControl w:val="0"/>
              <w:jc w:val="center"/>
              <w:rPr>
                <w:color w:val="auto"/>
                <w:highlight w:val="none"/>
                <w:lang w:eastAsia="zh-CN"/>
              </w:rPr>
            </w:pPr>
            <w:r>
              <w:rPr>
                <w:rFonts w:hint="eastAsia" w:ascii="宋体" w:hAnsi="宋体" w:eastAsia="宋体" w:cs="宋体"/>
                <w:color w:val="auto"/>
                <w:sz w:val="24"/>
                <w:highlight w:val="none"/>
                <w:lang w:eastAsia="zh-CN"/>
              </w:rPr>
              <w:t>详见第五章二、采购需求/（二）</w:t>
            </w:r>
            <w:r>
              <w:rPr>
                <w:rFonts w:hint="eastAsia" w:ascii="宋体" w:hAnsi="宋体" w:eastAsia="宋体" w:cs="宋体"/>
                <w:color w:val="auto"/>
                <w:sz w:val="24"/>
                <w:szCs w:val="24"/>
                <w:highlight w:val="none"/>
                <w:lang w:eastAsia="zh-CN"/>
              </w:rPr>
              <w:t>商务条款</w:t>
            </w:r>
          </w:p>
        </w:tc>
      </w:tr>
      <w:tr w14:paraId="77FEEB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D4FFFB7">
            <w:pPr>
              <w:widowControl w:val="0"/>
              <w:kinsoku/>
              <w:spacing w:before="256" w:line="219" w:lineRule="auto"/>
              <w:ind w:left="951"/>
              <w:rPr>
                <w:rFonts w:hint="eastAsia"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vAlign w:val="center"/>
          </w:tcPr>
          <w:p w14:paraId="028B2DD3">
            <w:pPr>
              <w:pStyle w:val="8"/>
              <w:widowControl w:val="0"/>
              <w:jc w:val="center"/>
              <w:rPr>
                <w:color w:val="auto"/>
                <w:highlight w:val="none"/>
                <w:lang w:eastAsia="zh-CN"/>
              </w:rPr>
            </w:pPr>
            <w:r>
              <w:rPr>
                <w:rFonts w:hint="eastAsia" w:ascii="宋体" w:hAnsi="宋体" w:eastAsia="宋体" w:cs="宋体"/>
                <w:color w:val="auto"/>
                <w:sz w:val="24"/>
                <w:highlight w:val="none"/>
                <w:lang w:eastAsia="zh-CN"/>
              </w:rPr>
              <w:t>详见第五章二、采购需求/（二）</w:t>
            </w:r>
            <w:r>
              <w:rPr>
                <w:rFonts w:hint="eastAsia" w:ascii="宋体" w:hAnsi="宋体" w:eastAsia="宋体" w:cs="宋体"/>
                <w:color w:val="auto"/>
                <w:sz w:val="24"/>
                <w:szCs w:val="24"/>
                <w:highlight w:val="none"/>
                <w:lang w:eastAsia="zh-CN"/>
              </w:rPr>
              <w:t>商务条款</w:t>
            </w:r>
          </w:p>
        </w:tc>
      </w:tr>
      <w:tr w14:paraId="276373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5AE40CC9">
            <w:pPr>
              <w:widowControl w:val="0"/>
              <w:kinsoku/>
              <w:spacing w:before="257" w:line="220" w:lineRule="auto"/>
              <w:ind w:left="951"/>
              <w:rPr>
                <w:rFonts w:hint="eastAsia" w:ascii="宋体" w:hAnsi="宋体" w:eastAsia="宋体" w:cs="宋体"/>
                <w:color w:val="auto"/>
                <w:sz w:val="24"/>
                <w:szCs w:val="24"/>
                <w:highlight w:val="none"/>
              </w:rPr>
            </w:pPr>
            <w:r>
              <w:rPr>
                <w:rFonts w:ascii="宋体" w:hAnsi="宋体" w:eastAsia="宋体" w:cs="宋体"/>
                <w:color w:val="auto"/>
                <w:spacing w:val="-4"/>
                <w:sz w:val="24"/>
                <w:szCs w:val="24"/>
                <w:highlight w:val="none"/>
              </w:rPr>
              <w:t>安装地点</w:t>
            </w:r>
          </w:p>
        </w:tc>
        <w:tc>
          <w:tcPr>
            <w:tcW w:w="6263" w:type="dxa"/>
            <w:vAlign w:val="center"/>
          </w:tcPr>
          <w:p w14:paraId="7541AB1B">
            <w:pPr>
              <w:pStyle w:val="8"/>
              <w:widowControl w:val="0"/>
              <w:jc w:val="center"/>
              <w:rPr>
                <w:color w:val="auto"/>
                <w:highlight w:val="none"/>
                <w:lang w:eastAsia="zh-CN"/>
              </w:rPr>
            </w:pPr>
            <w:r>
              <w:rPr>
                <w:rFonts w:hint="eastAsia" w:ascii="宋体" w:hAnsi="宋体" w:eastAsia="宋体" w:cs="宋体"/>
                <w:color w:val="auto"/>
                <w:sz w:val="24"/>
                <w:highlight w:val="none"/>
                <w:lang w:eastAsia="zh-CN"/>
              </w:rPr>
              <w:t>详见第五章二、采购需求/（二）</w:t>
            </w:r>
            <w:r>
              <w:rPr>
                <w:rFonts w:hint="eastAsia" w:ascii="宋体" w:hAnsi="宋体" w:eastAsia="宋体" w:cs="宋体"/>
                <w:color w:val="auto"/>
                <w:sz w:val="24"/>
                <w:szCs w:val="24"/>
                <w:highlight w:val="none"/>
                <w:lang w:eastAsia="zh-CN"/>
              </w:rPr>
              <w:t>商务条款</w:t>
            </w:r>
          </w:p>
        </w:tc>
      </w:tr>
      <w:tr w14:paraId="401A04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0B443E3B">
            <w:pPr>
              <w:widowControl w:val="0"/>
              <w:kinsoku/>
              <w:spacing w:before="256" w:line="221" w:lineRule="auto"/>
              <w:ind w:left="1189"/>
              <w:rPr>
                <w:rFonts w:hint="eastAsia"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tcPr>
          <w:p w14:paraId="39E8C5C2">
            <w:pPr>
              <w:pStyle w:val="8"/>
              <w:widowControl w:val="0"/>
              <w:kinsoku/>
              <w:rPr>
                <w:color w:val="auto"/>
                <w:highlight w:val="none"/>
              </w:rPr>
            </w:pPr>
          </w:p>
        </w:tc>
      </w:tr>
    </w:tbl>
    <w:p w14:paraId="099BF5C3">
      <w:pPr>
        <w:widowControl w:val="0"/>
        <w:kinsoku/>
        <w:rPr>
          <w:color w:val="auto"/>
          <w:highlight w:val="none"/>
        </w:rPr>
        <w:sectPr>
          <w:footerReference r:id="rId3" w:type="default"/>
          <w:pgSz w:w="11906" w:h="16839"/>
          <w:pgMar w:top="1429" w:right="1786" w:bottom="1429" w:left="1786" w:header="0" w:footer="994" w:gutter="0"/>
          <w:cols w:space="720" w:num="1"/>
        </w:sectPr>
      </w:pPr>
      <w:r>
        <w:rPr>
          <w:color w:val="auto"/>
          <w:highlight w:val="none"/>
          <w:lang w:eastAsia="zh-CN"/>
        </w:rPr>
        <w:drawing>
          <wp:anchor distT="0" distB="0" distL="0" distR="0" simplePos="0" relativeHeight="251660288" behindDoc="1" locked="0" layoutInCell="1" allowOverlap="1">
            <wp:simplePos x="0" y="0"/>
            <wp:positionH relativeFrom="column">
              <wp:posOffset>-252095</wp:posOffset>
            </wp:positionH>
            <wp:positionV relativeFrom="paragraph">
              <wp:posOffset>150495</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cstate="print"/>
                    <a:stretch>
                      <a:fillRect/>
                    </a:stretch>
                  </pic:blipFill>
                  <pic:spPr>
                    <a:xfrm>
                      <a:off x="0" y="0"/>
                      <a:ext cx="1776730" cy="1456690"/>
                    </a:xfrm>
                    <a:prstGeom prst="rect">
                      <a:avLst/>
                    </a:prstGeom>
                  </pic:spPr>
                </pic:pic>
              </a:graphicData>
            </a:graphic>
          </wp:anchor>
        </w:drawing>
      </w:r>
    </w:p>
    <w:p w14:paraId="2C04BFFA">
      <w:pPr>
        <w:widowControl w:val="0"/>
        <w:kinsoku/>
        <w:spacing w:before="47" w:line="219" w:lineRule="auto"/>
        <w:ind w:left="3805"/>
        <w:outlineLvl w:val="1"/>
        <w:rPr>
          <w:rFonts w:hint="eastAsia" w:ascii="宋体" w:hAnsi="宋体" w:eastAsia="宋体" w:cs="宋体"/>
          <w:color w:val="auto"/>
          <w:sz w:val="24"/>
          <w:szCs w:val="24"/>
          <w:highlight w:val="none"/>
        </w:rPr>
      </w:pPr>
      <w:bookmarkStart w:id="2" w:name="bookmark81"/>
      <w:bookmarkEnd w:id="2"/>
      <w:bookmarkStart w:id="3" w:name="_Toc19467"/>
      <w:r>
        <w:rPr>
          <w:rFonts w:ascii="宋体" w:hAnsi="宋体" w:eastAsia="宋体" w:cs="宋体"/>
          <w:color w:val="auto"/>
          <w:spacing w:val="-2"/>
          <w:sz w:val="24"/>
          <w:szCs w:val="24"/>
          <w:highlight w:val="none"/>
        </w:rPr>
        <w:t>二、采购</w:t>
      </w:r>
      <w:r>
        <w:rPr>
          <w:rFonts w:hint="eastAsia" w:ascii="宋体" w:hAnsi="宋体" w:eastAsia="宋体" w:cs="宋体"/>
          <w:color w:val="auto"/>
          <w:spacing w:val="-2"/>
          <w:sz w:val="24"/>
          <w:szCs w:val="24"/>
          <w:highlight w:val="none"/>
          <w:lang w:eastAsia="zh-CN"/>
        </w:rPr>
        <w:t>要</w:t>
      </w:r>
      <w:r>
        <w:rPr>
          <w:rFonts w:ascii="宋体" w:hAnsi="宋体" w:eastAsia="宋体" w:cs="宋体"/>
          <w:color w:val="auto"/>
          <w:spacing w:val="-2"/>
          <w:sz w:val="24"/>
          <w:szCs w:val="24"/>
          <w:highlight w:val="none"/>
        </w:rPr>
        <w:t>求</w:t>
      </w:r>
      <w:bookmarkEnd w:id="3"/>
    </w:p>
    <w:p w14:paraId="28FAC5D3">
      <w:pPr>
        <w:widowControl w:val="0"/>
        <w:kinsoku/>
        <w:spacing w:before="78" w:line="360" w:lineRule="auto"/>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121604DB">
      <w:pPr>
        <w:widowControl w:val="0"/>
        <w:kinsoku/>
        <w:spacing w:line="360"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1.项目概况</w:t>
      </w:r>
    </w:p>
    <w:p w14:paraId="1D9BAD52">
      <w:pPr>
        <w:widowControl w:val="0"/>
        <w:kinsoku/>
        <w:spacing w:line="360"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1</w:t>
      </w:r>
      <w:r>
        <w:rPr>
          <w:rFonts w:hint="eastAsia" w:ascii="宋体" w:hAnsi="宋体" w:eastAsia="宋体" w:cs="宋体"/>
          <w:color w:val="auto"/>
          <w:spacing w:val="-5"/>
          <w:sz w:val="24"/>
          <w:szCs w:val="24"/>
          <w:highlight w:val="none"/>
          <w:lang w:eastAsia="zh-CN"/>
        </w:rPr>
        <w:t>）本项目为江西省监狱管理局国产数据库采购项目；采购内容：基础软件，采购数量：5套，主要功能或目标：采购5套国产数据库软件，用于满足本单位业务系统的数据存储、处理和管理需求。要求数据库产品符合国家信息安全战略及信创产业发展要求，具备高可用性、高安全性、高兼容性及弹性扩展能力，保障核心业务系统稳定、高效、安全运行。</w:t>
      </w:r>
    </w:p>
    <w:p w14:paraId="41C382E0">
      <w:pPr>
        <w:widowControl w:val="0"/>
        <w:kinsoku/>
        <w:spacing w:line="360"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2</w:t>
      </w:r>
      <w:r>
        <w:rPr>
          <w:rFonts w:hint="eastAsia" w:ascii="宋体" w:hAnsi="宋体" w:eastAsia="宋体" w:cs="宋体"/>
          <w:color w:val="auto"/>
          <w:spacing w:val="-5"/>
          <w:sz w:val="24"/>
          <w:szCs w:val="24"/>
          <w:highlight w:val="none"/>
          <w:lang w:eastAsia="zh-CN"/>
        </w:rPr>
        <w:t>）需满足的要求：产品需通过中国信息安全测评中心等机构的安全可靠测评，拥有完全自主知识产权，核心代码自主研发。</w:t>
      </w:r>
    </w:p>
    <w:p w14:paraId="5EC9033B">
      <w:pPr>
        <w:widowControl w:val="0"/>
        <w:kinsoku/>
        <w:spacing w:line="242"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2.</w:t>
      </w:r>
      <w:r>
        <w:rPr>
          <w:rFonts w:hint="eastAsia" w:ascii="宋体" w:hAnsi="宋体" w:eastAsia="宋体" w:cs="宋体"/>
          <w:color w:val="auto"/>
          <w:spacing w:val="-5"/>
          <w:sz w:val="24"/>
          <w:szCs w:val="24"/>
          <w:highlight w:val="none"/>
          <w:lang w:val="en-US" w:eastAsia="zh-CN"/>
        </w:rPr>
        <w:t>技术</w:t>
      </w:r>
      <w:r>
        <w:rPr>
          <w:rFonts w:hint="eastAsia" w:ascii="宋体" w:hAnsi="宋体" w:eastAsia="宋体" w:cs="宋体"/>
          <w:color w:val="auto"/>
          <w:spacing w:val="-5"/>
          <w:sz w:val="24"/>
          <w:szCs w:val="24"/>
          <w:highlight w:val="none"/>
          <w:lang w:eastAsia="zh-CN"/>
        </w:rPr>
        <w:t>要求</w:t>
      </w:r>
    </w:p>
    <w:tbl>
      <w:tblPr>
        <w:tblStyle w:val="5"/>
        <w:tblW w:w="0" w:type="auto"/>
        <w:jc w:val="center"/>
        <w:tblLayout w:type="autofit"/>
        <w:tblCellMar>
          <w:top w:w="0" w:type="dxa"/>
          <w:left w:w="108" w:type="dxa"/>
          <w:bottom w:w="0" w:type="dxa"/>
          <w:right w:w="108" w:type="dxa"/>
        </w:tblCellMar>
      </w:tblPr>
      <w:tblGrid>
        <w:gridCol w:w="605"/>
        <w:gridCol w:w="1404"/>
        <w:gridCol w:w="5084"/>
        <w:gridCol w:w="763"/>
        <w:gridCol w:w="663"/>
      </w:tblGrid>
      <w:tr w14:paraId="117304CA">
        <w:tblPrEx>
          <w:tblCellMar>
            <w:top w:w="0" w:type="dxa"/>
            <w:left w:w="108" w:type="dxa"/>
            <w:bottom w:w="0" w:type="dxa"/>
            <w:right w:w="108" w:type="dxa"/>
          </w:tblCellMar>
        </w:tblPrEx>
        <w:trPr>
          <w:trHeight w:val="560" w:hRule="atLeast"/>
          <w:jc w:val="center"/>
        </w:trPr>
        <w:tc>
          <w:tcPr>
            <w:tcW w:w="605" w:type="dxa"/>
            <w:tcBorders>
              <w:top w:val="single" w:color="000000" w:sz="4" w:space="0"/>
              <w:left w:val="single" w:color="000000" w:sz="4" w:space="0"/>
              <w:bottom w:val="single" w:color="000000" w:sz="4" w:space="0"/>
              <w:right w:val="single" w:color="000000" w:sz="4" w:space="0"/>
            </w:tcBorders>
            <w:noWrap w:val="0"/>
            <w:vAlign w:val="center"/>
          </w:tcPr>
          <w:p w14:paraId="4FF0E22C">
            <w:pPr>
              <w:widowControl/>
              <w:spacing w:line="36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序号</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68862273">
            <w:pPr>
              <w:widowControl/>
              <w:spacing w:line="36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材料名称</w:t>
            </w:r>
          </w:p>
        </w:tc>
        <w:tc>
          <w:tcPr>
            <w:tcW w:w="5084" w:type="dxa"/>
            <w:tcBorders>
              <w:top w:val="single" w:color="000000" w:sz="4" w:space="0"/>
              <w:left w:val="single" w:color="000000" w:sz="4" w:space="0"/>
              <w:bottom w:val="single" w:color="000000" w:sz="4" w:space="0"/>
              <w:right w:val="single" w:color="000000" w:sz="4" w:space="0"/>
            </w:tcBorders>
            <w:noWrap w:val="0"/>
            <w:vAlign w:val="center"/>
          </w:tcPr>
          <w:p w14:paraId="2CDFFAA0">
            <w:pPr>
              <w:widowControl/>
              <w:spacing w:line="36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参数</w:t>
            </w:r>
          </w:p>
        </w:tc>
        <w:tc>
          <w:tcPr>
            <w:tcW w:w="763" w:type="dxa"/>
            <w:tcBorders>
              <w:top w:val="single" w:color="000000" w:sz="4" w:space="0"/>
              <w:left w:val="single" w:color="000000" w:sz="4" w:space="0"/>
              <w:bottom w:val="single" w:color="000000" w:sz="4" w:space="0"/>
              <w:right w:val="single" w:color="000000" w:sz="4" w:space="0"/>
            </w:tcBorders>
            <w:noWrap w:val="0"/>
            <w:vAlign w:val="center"/>
          </w:tcPr>
          <w:p w14:paraId="245E8126">
            <w:pPr>
              <w:widowControl/>
              <w:spacing w:line="360" w:lineRule="auto"/>
              <w:jc w:val="center"/>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数量</w:t>
            </w: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20B969B6">
            <w:pPr>
              <w:widowControl/>
              <w:spacing w:line="36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规格</w:t>
            </w:r>
          </w:p>
        </w:tc>
      </w:tr>
      <w:tr w14:paraId="2C025713">
        <w:tblPrEx>
          <w:tblCellMar>
            <w:top w:w="0" w:type="dxa"/>
            <w:left w:w="108" w:type="dxa"/>
            <w:bottom w:w="0" w:type="dxa"/>
            <w:right w:w="108" w:type="dxa"/>
          </w:tblCellMar>
        </w:tblPrEx>
        <w:trPr>
          <w:trHeight w:val="1256" w:hRule="atLeast"/>
          <w:jc w:val="center"/>
        </w:trPr>
        <w:tc>
          <w:tcPr>
            <w:tcW w:w="605" w:type="dxa"/>
            <w:tcBorders>
              <w:top w:val="single" w:color="000000" w:sz="4" w:space="0"/>
              <w:left w:val="single" w:color="000000" w:sz="4" w:space="0"/>
              <w:bottom w:val="single" w:color="000000" w:sz="4" w:space="0"/>
              <w:right w:val="single" w:color="000000" w:sz="4" w:space="0"/>
            </w:tcBorders>
            <w:noWrap w:val="0"/>
            <w:vAlign w:val="center"/>
          </w:tcPr>
          <w:p w14:paraId="30861E00">
            <w:pPr>
              <w:widowControl/>
              <w:spacing w:line="36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w:t>
            </w:r>
          </w:p>
        </w:tc>
        <w:tc>
          <w:tcPr>
            <w:tcW w:w="1404" w:type="dxa"/>
            <w:tcBorders>
              <w:top w:val="single" w:color="000000" w:sz="4" w:space="0"/>
              <w:left w:val="single" w:color="000000" w:sz="4" w:space="0"/>
              <w:bottom w:val="single" w:color="000000" w:sz="4" w:space="0"/>
              <w:right w:val="single" w:color="000000" w:sz="4" w:space="0"/>
            </w:tcBorders>
            <w:noWrap w:val="0"/>
            <w:vAlign w:val="center"/>
          </w:tcPr>
          <w:p w14:paraId="64645433">
            <w:pPr>
              <w:widowControl/>
              <w:spacing w:line="36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集中式国产数据库管理系统</w:t>
            </w:r>
          </w:p>
        </w:tc>
        <w:tc>
          <w:tcPr>
            <w:tcW w:w="5084" w:type="dxa"/>
            <w:tcBorders>
              <w:top w:val="single" w:color="000000" w:sz="4" w:space="0"/>
              <w:left w:val="single" w:color="000000" w:sz="4" w:space="0"/>
              <w:bottom w:val="single" w:color="000000" w:sz="4" w:space="0"/>
              <w:right w:val="single" w:color="000000" w:sz="4" w:space="0"/>
            </w:tcBorders>
            <w:noWrap w:val="0"/>
            <w:vAlign w:val="center"/>
          </w:tcPr>
          <w:p w14:paraId="6ACF1BA2">
            <w:pPr>
              <w:spacing w:line="360" w:lineRule="auto"/>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符合财政部、工业和信息化部关于印发《数据库政府采购需求标准(2023年版)》的通知中《集中式数据库政府采购需求标准》规定的全部标“*”指标；</w:t>
            </w:r>
          </w:p>
          <w:p w14:paraId="6B31E8E8">
            <w:pPr>
              <w:spacing w:line="360" w:lineRule="auto"/>
              <w:rPr>
                <w:rFonts w:hint="eastAsia" w:ascii="宋体" w:hAnsi="宋体" w:eastAsia="宋体"/>
                <w:sz w:val="24"/>
                <w:szCs w:val="24"/>
                <w:highlight w:val="none"/>
              </w:rPr>
            </w:pPr>
            <w:r>
              <w:rPr>
                <w:rFonts w:ascii="宋体" w:hAnsi="宋体" w:eastAsia="宋体"/>
                <w:sz w:val="24"/>
                <w:szCs w:val="24"/>
                <w:highlight w:val="none"/>
              </w:rPr>
              <w:t>2、产品支持局部索引partial Indexes，支持创建不同于数据collate的索引、支持BRIN索引、支持BLOOM索引 、支持like变量表达式索引；支持JIT功能。</w:t>
            </w:r>
          </w:p>
          <w:p w14:paraId="010E9A93">
            <w:pPr>
              <w:spacing w:line="36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、提供多种开发接口及技术框架，包括：NET(NDP、Ef6、EFCORE)、OTL、Golang、JAVA(JDBC、Hibernate、Mybatis-plus)、ESQL、NODEJS、OCI、OCCI、ODBC、PHP、Python(Python2、Python3、SQLAlchemy、Django)、QT、Ruby。</w:t>
            </w:r>
            <w:r>
              <w:rPr>
                <w:rFonts w:hint="eastAsia" w:ascii="宋体" w:hAnsi="宋体" w:eastAsia="宋体"/>
                <w:sz w:val="24"/>
                <w:szCs w:val="24"/>
                <w:highlight w:val="none"/>
              </w:rPr>
              <w:t>提供</w:t>
            </w:r>
            <w:r>
              <w:rPr>
                <w:rFonts w:ascii="宋体" w:hAnsi="宋体" w:eastAsia="宋体"/>
                <w:sz w:val="24"/>
                <w:szCs w:val="24"/>
                <w:highlight w:val="none"/>
              </w:rPr>
              <w:t>JDBC接口和原生C接口支持信息安全技术传输层密码协议（TLCP），可以在传输层上提供端到端的加密和身份认证服务，有效防止网络安全威胁。</w:t>
            </w:r>
          </w:p>
          <w:p w14:paraId="363888A3">
            <w:pPr>
              <w:spacing w:line="360" w:lineRule="auto"/>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w:t>
            </w:r>
            <w:r>
              <w:rPr>
                <w:rFonts w:hint="eastAsia" w:ascii="宋体" w:hAnsi="宋体" w:eastAsia="宋体"/>
                <w:sz w:val="24"/>
                <w:szCs w:val="24"/>
                <w:highlight w:val="none"/>
              </w:rPr>
              <w:t>支持操作系统级数据保护功能，可以防止在操作系统层面使用</w:t>
            </w:r>
            <w:r>
              <w:rPr>
                <w:rFonts w:ascii="宋体" w:hAnsi="宋体" w:eastAsia="宋体"/>
                <w:sz w:val="24"/>
                <w:szCs w:val="24"/>
                <w:highlight w:val="none"/>
              </w:rPr>
              <w:t>rm命令误删除数据表空间目录或数据文件</w:t>
            </w:r>
            <w:r>
              <w:rPr>
                <w:rFonts w:hint="eastAsia" w:ascii="宋体" w:hAnsi="宋体" w:eastAsia="宋体"/>
                <w:sz w:val="24"/>
                <w:szCs w:val="24"/>
                <w:highlight w:val="none"/>
              </w:rPr>
              <w:t>；对任意用户表、</w:t>
            </w:r>
            <w:r>
              <w:rPr>
                <w:rFonts w:ascii="宋体" w:hAnsi="宋体" w:eastAsia="宋体"/>
                <w:sz w:val="24"/>
                <w:szCs w:val="24"/>
                <w:highlight w:val="none"/>
              </w:rPr>
              <w:t>database对象做逻辑保护，不会被逻辑删除。</w:t>
            </w:r>
            <w:r>
              <w:rPr>
                <w:rFonts w:hint="eastAsia" w:ascii="宋体" w:hAnsi="宋体" w:eastAsia="宋体"/>
                <w:sz w:val="24"/>
                <w:szCs w:val="24"/>
                <w:highlight w:val="none"/>
              </w:rPr>
              <w:t>支持数据库逻辑备份和逻辑还原支持命令行下以百分比形式展示进度，展示粒度包括：总体进度展示、单个数据库对象（含表数据）的导出导入进度展示，以便准确把握较大文件备份恢复操作的完成时间以及对系统的影响。</w:t>
            </w:r>
          </w:p>
          <w:p w14:paraId="0EE14759">
            <w:pPr>
              <w:spacing w:line="360" w:lineRule="auto"/>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w:t>
            </w:r>
            <w:r>
              <w:rPr>
                <w:rFonts w:hint="eastAsia" w:ascii="宋体" w:hAnsi="宋体" w:eastAsia="宋体"/>
                <w:sz w:val="24"/>
                <w:szCs w:val="24"/>
                <w:highlight w:val="none"/>
              </w:rPr>
              <w:t>支持数据复制技术实现多节点数据同步，支持指定表、列同步，支持一对多单向同步、多对一单向同步和多节点广播式双向同步，支持跨版本同步；</w:t>
            </w:r>
          </w:p>
          <w:p w14:paraId="79A08FBA">
            <w:pPr>
              <w:spacing w:line="360" w:lineRule="auto"/>
              <w:rPr>
                <w:rFonts w:hint="eastAsia" w:ascii="宋体" w:hAnsi="宋体" w:eastAsia="宋体" w:cs="宋体"/>
                <w:color w:val="000000"/>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w:t>
            </w:r>
            <w:r>
              <w:rPr>
                <w:rFonts w:hint="eastAsia" w:ascii="宋体" w:hAnsi="宋体" w:eastAsia="宋体"/>
                <w:sz w:val="24"/>
                <w:szCs w:val="24"/>
                <w:highlight w:val="none"/>
              </w:rPr>
              <w:t>为保障数据库集群高可用需求， 数据库主备集群因意外情况中断服务（如机房整体断电），在服务器无法全部启动时，数据库可以由目前启动的服务器节点重组集群，自动启动并提供服务，满足特定场景和行业的无人值守要求同时可以避免脑裂；数据库主备集群因意外情况中断服务（如机房整体断电），可在服务器重启后自动启动，在服务器启动顺序不可预估的场景下支持节点保持原有主备角色启动，无需人工介入。</w:t>
            </w:r>
          </w:p>
        </w:tc>
        <w:tc>
          <w:tcPr>
            <w:tcW w:w="763" w:type="dxa"/>
            <w:tcBorders>
              <w:top w:val="single" w:color="000000" w:sz="4" w:space="0"/>
              <w:left w:val="single" w:color="000000" w:sz="4" w:space="0"/>
              <w:bottom w:val="single" w:color="000000" w:sz="4" w:space="0"/>
              <w:right w:val="single" w:color="000000" w:sz="4" w:space="0"/>
            </w:tcBorders>
            <w:noWrap w:val="0"/>
            <w:vAlign w:val="center"/>
          </w:tcPr>
          <w:p w14:paraId="6C8B8842">
            <w:pPr>
              <w:widowControl/>
              <w:spacing w:line="360" w:lineRule="auto"/>
              <w:jc w:val="center"/>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5</w:t>
            </w: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3346C40B">
            <w:pPr>
              <w:widowControl/>
              <w:spacing w:line="36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套</w:t>
            </w:r>
          </w:p>
        </w:tc>
      </w:tr>
    </w:tbl>
    <w:p w14:paraId="0B124605">
      <w:pPr>
        <w:widowControl w:val="0"/>
        <w:kinsoku/>
        <w:spacing w:line="242" w:lineRule="auto"/>
        <w:rPr>
          <w:color w:val="auto"/>
          <w:highlight w:val="none"/>
          <w:lang w:eastAsia="zh-CN"/>
        </w:rPr>
      </w:pPr>
    </w:p>
    <w:p w14:paraId="2FC5F9A8">
      <w:pPr>
        <w:spacing w:line="360" w:lineRule="auto"/>
        <w:rPr>
          <w:color w:val="auto"/>
          <w:highlight w:val="none"/>
          <w:lang w:eastAsia="zh-CN"/>
        </w:rPr>
      </w:pPr>
      <w:r>
        <w:rPr>
          <w:rFonts w:hint="eastAsia" w:ascii="宋体" w:hAnsi="宋体"/>
          <w:b/>
          <w:color w:val="auto"/>
          <w:sz w:val="24"/>
          <w:highlight w:val="none"/>
          <w:lang w:eastAsia="zh-CN"/>
        </w:rPr>
        <w:t>以上“参数规格”为实质性要求，必须完全满足或优于，否则响应无效。</w:t>
      </w:r>
    </w:p>
    <w:p w14:paraId="3F6F53B0">
      <w:pPr>
        <w:widowControl w:val="0"/>
        <w:kinsoku/>
        <w:spacing w:before="78" w:line="219"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0E7AEB4C">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Cs w:val="0"/>
          <w:sz w:val="24"/>
          <w:szCs w:val="24"/>
          <w:highlight w:val="none"/>
        </w:rPr>
      </w:pPr>
      <w:r>
        <w:rPr>
          <w:rStyle w:val="10"/>
          <w:rFonts w:hint="eastAsia" w:asciiTheme="minorEastAsia" w:hAnsiTheme="minorEastAsia" w:eastAsiaTheme="minorEastAsia" w:cstheme="minorEastAsia"/>
          <w:bCs w:val="0"/>
          <w:sz w:val="24"/>
          <w:szCs w:val="24"/>
          <w:highlight w:val="none"/>
          <w:lang w:val="en-US" w:eastAsia="zh-CN"/>
        </w:rPr>
        <w:t>1.</w:t>
      </w:r>
      <w:r>
        <w:rPr>
          <w:rStyle w:val="10"/>
          <w:rFonts w:hint="eastAsia" w:asciiTheme="minorEastAsia" w:hAnsiTheme="minorEastAsia" w:eastAsiaTheme="minorEastAsia" w:cstheme="minorEastAsia"/>
          <w:bCs w:val="0"/>
          <w:sz w:val="24"/>
          <w:szCs w:val="24"/>
          <w:highlight w:val="none"/>
        </w:rPr>
        <w:t>交货期限和交货地点</w:t>
      </w:r>
    </w:p>
    <w:p w14:paraId="2E4DC488">
      <w:pPr>
        <w:spacing w:line="360" w:lineRule="auto"/>
        <w:rPr>
          <w:rStyle w:val="10"/>
          <w:rFonts w:hint="eastAsia" w:asciiTheme="minorEastAsia" w:hAnsiTheme="minorEastAsia" w:eastAsiaTheme="minorEastAsia" w:cstheme="minorEastAsia"/>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1</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交货期限：合同签订后7个工作日内完成所有供货且安装调试合格，安装调试合格的日期为最终交货日期。</w:t>
      </w:r>
    </w:p>
    <w:p w14:paraId="27BEB96B">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2</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交货地点：采购单位指定地点。</w:t>
      </w:r>
    </w:p>
    <w:p w14:paraId="65E82DE9">
      <w:pPr>
        <w:pStyle w:val="9"/>
        <w:wordWrap w:val="0"/>
        <w:topLinePunct/>
        <w:spacing w:before="156" w:beforeLines="50" w:after="10" w:line="360" w:lineRule="auto"/>
        <w:ind w:right="23"/>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Cs w:val="0"/>
          <w:sz w:val="24"/>
          <w:szCs w:val="24"/>
          <w:highlight w:val="none"/>
        </w:rPr>
        <w:t>2.报价方式</w:t>
      </w:r>
      <w:r>
        <w:rPr>
          <w:rStyle w:val="10"/>
          <w:rFonts w:hint="eastAsia" w:asciiTheme="minorEastAsia" w:hAnsiTheme="minorEastAsia" w:eastAsiaTheme="minorEastAsia" w:cstheme="minorEastAsia"/>
          <w:bCs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本项目以总价方式进行报价（总报价应包含分项报价）。投报报价应包含完成本次服务项目所需的一切费用，包括但不限于终端设备租用费、服务费、税款、人工费、交通费、加班费、保险费、利润、招标代理费等所需要的所有费用。</w:t>
      </w:r>
    </w:p>
    <w:p w14:paraId="1E7A5ADE">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Cs w:val="0"/>
          <w:sz w:val="24"/>
          <w:szCs w:val="24"/>
          <w:highlight w:val="none"/>
          <w:lang w:val="en-US" w:eastAsia="zh-CN"/>
        </w:rPr>
        <w:t>3.</w:t>
      </w:r>
      <w:r>
        <w:rPr>
          <w:rStyle w:val="10"/>
          <w:rFonts w:hint="eastAsia" w:asciiTheme="minorEastAsia" w:hAnsiTheme="minorEastAsia" w:eastAsiaTheme="minorEastAsia" w:cstheme="minorEastAsia"/>
          <w:bCs w:val="0"/>
          <w:sz w:val="24"/>
          <w:szCs w:val="24"/>
          <w:highlight w:val="none"/>
        </w:rPr>
        <w:t>付款方式</w:t>
      </w:r>
      <w:r>
        <w:rPr>
          <w:rStyle w:val="10"/>
          <w:rFonts w:hint="eastAsia" w:asciiTheme="minorEastAsia" w:hAnsiTheme="minorEastAsia" w:eastAsiaTheme="minorEastAsia" w:cstheme="minorEastAsia"/>
          <w:bCs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项目验收合格后，成交供应商提交相关的验收、付款支付申请和合同金额全额税务发票等资料，采购单位根据成交供应商付款申请在</w:t>
      </w:r>
      <w:r>
        <w:rPr>
          <w:rStyle w:val="10"/>
          <w:rFonts w:hint="eastAsia" w:asciiTheme="minorEastAsia" w:hAnsiTheme="minorEastAsia" w:eastAsiaTheme="minorEastAsia" w:cstheme="minorEastAsia"/>
          <w:b w:val="0"/>
          <w:color w:val="0000FF"/>
          <w:sz w:val="24"/>
          <w:szCs w:val="24"/>
          <w:highlight w:val="none"/>
        </w:rPr>
        <w:t>1</w:t>
      </w:r>
      <w:r>
        <w:rPr>
          <w:rStyle w:val="10"/>
          <w:rFonts w:hint="eastAsia" w:asciiTheme="minorEastAsia" w:hAnsiTheme="minorEastAsia" w:eastAsiaTheme="minorEastAsia" w:cstheme="minorEastAsia"/>
          <w:b w:val="0"/>
          <w:color w:val="0000FF"/>
          <w:sz w:val="24"/>
          <w:szCs w:val="24"/>
          <w:highlight w:val="none"/>
          <w:lang w:val="en-US" w:eastAsia="zh-CN"/>
        </w:rPr>
        <w:t>0</w:t>
      </w:r>
      <w:r>
        <w:rPr>
          <w:rStyle w:val="10"/>
          <w:rFonts w:hint="eastAsia" w:asciiTheme="minorEastAsia" w:hAnsiTheme="minorEastAsia" w:eastAsiaTheme="minorEastAsia" w:cstheme="minorEastAsia"/>
          <w:b w:val="0"/>
          <w:color w:val="0000FF"/>
          <w:sz w:val="24"/>
          <w:szCs w:val="24"/>
          <w:highlight w:val="none"/>
        </w:rPr>
        <w:t>个工作日内</w:t>
      </w:r>
      <w:r>
        <w:rPr>
          <w:rStyle w:val="10"/>
          <w:rFonts w:hint="eastAsia" w:asciiTheme="minorEastAsia" w:hAnsiTheme="minorEastAsia" w:eastAsiaTheme="minorEastAsia" w:cstheme="minorEastAsia"/>
          <w:b w:val="0"/>
          <w:sz w:val="24"/>
          <w:szCs w:val="24"/>
          <w:highlight w:val="none"/>
        </w:rPr>
        <w:t>支付合同总额的100%，否则，采购单位付款期限自动顺延，且不承担任何责任。</w:t>
      </w:r>
    </w:p>
    <w:p w14:paraId="651ABB89">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sz w:val="24"/>
          <w:szCs w:val="24"/>
          <w:highlight w:val="none"/>
        </w:rPr>
      </w:pPr>
      <w:r>
        <w:rPr>
          <w:rStyle w:val="10"/>
          <w:rFonts w:hint="eastAsia" w:asciiTheme="minorEastAsia" w:hAnsiTheme="minorEastAsia" w:eastAsiaTheme="minorEastAsia" w:cstheme="minorEastAsia"/>
          <w:sz w:val="24"/>
          <w:szCs w:val="24"/>
          <w:highlight w:val="none"/>
          <w:lang w:val="en-US" w:eastAsia="zh-CN"/>
        </w:rPr>
        <w:t>4.</w:t>
      </w:r>
      <w:r>
        <w:rPr>
          <w:rStyle w:val="10"/>
          <w:rFonts w:hint="eastAsia" w:asciiTheme="minorEastAsia" w:hAnsiTheme="minorEastAsia" w:eastAsiaTheme="minorEastAsia" w:cstheme="minorEastAsia"/>
          <w:sz w:val="24"/>
          <w:szCs w:val="24"/>
          <w:highlight w:val="none"/>
        </w:rPr>
        <w:t>货物质量保证和售后服务</w:t>
      </w:r>
    </w:p>
    <w:p w14:paraId="5C12BCB6">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1</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成交供应商已获得销售货物的合法授权且须提供未经使用的全新原厂设备，承诺所有设备符合国家规定的“三包”要求，需提供至少</w:t>
      </w:r>
      <w:r>
        <w:rPr>
          <w:rStyle w:val="10"/>
          <w:rFonts w:hint="eastAsia" w:asciiTheme="minorEastAsia" w:hAnsiTheme="minorEastAsia" w:eastAsiaTheme="minorEastAsia" w:cstheme="minorEastAsia"/>
          <w:b w:val="0"/>
          <w:color w:val="FF0000"/>
          <w:sz w:val="24"/>
          <w:szCs w:val="24"/>
          <w:highlight w:val="none"/>
        </w:rPr>
        <w:t>3年</w:t>
      </w:r>
      <w:r>
        <w:rPr>
          <w:rStyle w:val="10"/>
          <w:rFonts w:hint="eastAsia" w:asciiTheme="minorEastAsia" w:hAnsiTheme="minorEastAsia" w:eastAsiaTheme="minorEastAsia" w:cstheme="minorEastAsia"/>
          <w:b w:val="0"/>
          <w:sz w:val="24"/>
          <w:szCs w:val="24"/>
          <w:highlight w:val="none"/>
        </w:rPr>
        <w:t>的免费质保期(质保期从验收合格之日算起)。</w:t>
      </w:r>
    </w:p>
    <w:p w14:paraId="11CC0983">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2</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质保期内，成交供应商提供免费的服务及技术支持，如设备发生故障，成交供应商应提供备件及时免费修复，保障系统正常运行</w:t>
      </w:r>
    </w:p>
    <w:p w14:paraId="343A03E7">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3</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所提供的设备，未使用过的并完全符合规定的质量、规格和性能要求的全新设备要求。</w:t>
      </w:r>
    </w:p>
    <w:p w14:paraId="3E5193D5">
      <w:pPr>
        <w:spacing w:line="360" w:lineRule="auto"/>
        <w:rPr>
          <w:rStyle w:val="10"/>
          <w:rFonts w:hint="eastAsia" w:asciiTheme="minorEastAsia" w:hAnsiTheme="minorEastAsia" w:eastAsiaTheme="minorEastAsia" w:cstheme="minorEastAsia"/>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4</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交货时，须提供货物的全部资料，如产品合格证、使用说明书。</w:t>
      </w:r>
    </w:p>
    <w:p w14:paraId="42DDDEBB">
      <w:pPr>
        <w:spacing w:line="360" w:lineRule="auto"/>
        <w:rPr>
          <w:rStyle w:val="10"/>
          <w:rFonts w:hint="eastAsia" w:asciiTheme="minorEastAsia" w:hAnsiTheme="minorEastAsia" w:eastAsiaTheme="minorEastAsia" w:cstheme="minorEastAsia"/>
          <w:b w:val="0"/>
          <w:color w:val="auto"/>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5</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质保期内，成交供应商提供更换和维护服务，由此发生的费用由成交供应商承担，成交供应商应该有专门的技术人员从事售后服务工</w:t>
      </w:r>
      <w:r>
        <w:rPr>
          <w:rStyle w:val="10"/>
          <w:rFonts w:hint="eastAsia" w:asciiTheme="minorEastAsia" w:hAnsiTheme="minorEastAsia" w:eastAsiaTheme="minorEastAsia" w:cstheme="minorEastAsia"/>
          <w:b w:val="0"/>
          <w:color w:val="auto"/>
          <w:sz w:val="24"/>
          <w:szCs w:val="24"/>
          <w:highlight w:val="none"/>
        </w:rPr>
        <w:t>作，提供7x24小时售后服务热线。</w:t>
      </w:r>
    </w:p>
    <w:p w14:paraId="422EE4CB">
      <w:pPr>
        <w:spacing w:line="360" w:lineRule="auto"/>
        <w:rPr>
          <w:rStyle w:val="10"/>
          <w:rFonts w:hint="eastAsia" w:asciiTheme="minorEastAsia" w:hAnsiTheme="minorEastAsia" w:eastAsiaTheme="minorEastAsia" w:cstheme="minorEastAsia"/>
          <w:b w:val="0"/>
          <w:color w:val="auto"/>
          <w:sz w:val="24"/>
          <w:szCs w:val="24"/>
          <w:highlight w:val="none"/>
        </w:rPr>
      </w:pPr>
      <w:r>
        <w:rPr>
          <w:rStyle w:val="10"/>
          <w:rFonts w:hint="eastAsia" w:asciiTheme="minorEastAsia" w:hAnsiTheme="minorEastAsia" w:eastAsiaTheme="minorEastAsia" w:cstheme="minorEastAsia"/>
          <w:b w:val="0"/>
          <w:color w:val="auto"/>
          <w:sz w:val="24"/>
          <w:szCs w:val="24"/>
          <w:highlight w:val="none"/>
          <w:lang w:eastAsia="zh-CN"/>
        </w:rPr>
        <w:t>（</w:t>
      </w:r>
      <w:r>
        <w:rPr>
          <w:rStyle w:val="10"/>
          <w:rFonts w:hint="eastAsia" w:asciiTheme="minorEastAsia" w:hAnsiTheme="minorEastAsia" w:eastAsiaTheme="minorEastAsia" w:cstheme="minorEastAsia"/>
          <w:b w:val="0"/>
          <w:color w:val="auto"/>
          <w:sz w:val="24"/>
          <w:szCs w:val="24"/>
          <w:highlight w:val="none"/>
          <w:lang w:val="en-US" w:eastAsia="zh-CN"/>
        </w:rPr>
        <w:t>6</w:t>
      </w:r>
      <w:r>
        <w:rPr>
          <w:rStyle w:val="10"/>
          <w:rFonts w:hint="eastAsia" w:asciiTheme="minorEastAsia" w:hAnsiTheme="minorEastAsia" w:eastAsiaTheme="minorEastAsia" w:cstheme="minorEastAsia"/>
          <w:b w:val="0"/>
          <w:color w:val="auto"/>
          <w:sz w:val="24"/>
          <w:szCs w:val="24"/>
          <w:highlight w:val="none"/>
          <w:lang w:eastAsia="zh-CN"/>
        </w:rPr>
        <w:t>）</w:t>
      </w:r>
      <w:r>
        <w:rPr>
          <w:rStyle w:val="10"/>
          <w:rFonts w:hint="eastAsia" w:asciiTheme="minorEastAsia" w:hAnsiTheme="minorEastAsia" w:eastAsiaTheme="minorEastAsia" w:cstheme="minorEastAsia"/>
          <w:b w:val="0"/>
          <w:color w:val="auto"/>
          <w:sz w:val="24"/>
          <w:szCs w:val="24"/>
          <w:highlight w:val="none"/>
        </w:rPr>
        <w:t>质保期内，故障响应时间，若电话等通讯工具远程不能解决故障问题的，成交供应商提供技术人员6小时到现场，以实地解决问题或提供备件更换，一般故障或更换配件的48小时内修复，重大故障96小时内修复。</w:t>
      </w:r>
    </w:p>
    <w:p w14:paraId="4B5595D3">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7</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质保期内，成交供应商提供定期巡检服务，保证系统的正常运行，如成交供应商不能在规定时限内理各种故障，采购单位有权自行处理，并且所产生的费用在履约保证金中扣除。</w:t>
      </w:r>
    </w:p>
    <w:p w14:paraId="0A8815D4">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8</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质保期满后，成交供应商提供免费的技术支持，设备升级等服务，可收取合理的硬件更换的材料费，并承诺购买设备或配件的价格不能高于本次中标价格。</w:t>
      </w:r>
    </w:p>
    <w:p w14:paraId="3606A8FC">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sz w:val="24"/>
          <w:szCs w:val="24"/>
          <w:highlight w:val="none"/>
        </w:rPr>
      </w:pPr>
      <w:r>
        <w:rPr>
          <w:rStyle w:val="10"/>
          <w:rFonts w:hint="eastAsia" w:asciiTheme="minorEastAsia" w:hAnsiTheme="minorEastAsia" w:eastAsiaTheme="minorEastAsia" w:cstheme="minorEastAsia"/>
          <w:bCs w:val="0"/>
          <w:sz w:val="24"/>
          <w:szCs w:val="24"/>
          <w:highlight w:val="none"/>
          <w:lang w:val="en-US" w:eastAsia="zh-CN"/>
        </w:rPr>
        <w:t>5.</w:t>
      </w:r>
      <w:r>
        <w:rPr>
          <w:rStyle w:val="10"/>
          <w:rFonts w:hint="eastAsia" w:asciiTheme="minorEastAsia" w:hAnsiTheme="minorEastAsia" w:eastAsiaTheme="minorEastAsia" w:cstheme="minorEastAsia"/>
          <w:sz w:val="24"/>
          <w:szCs w:val="24"/>
          <w:highlight w:val="none"/>
        </w:rPr>
        <w:t>货物包装要求</w:t>
      </w:r>
    </w:p>
    <w:p w14:paraId="5DC571A0">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1</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提供的全部设备均应按标准保护措施进行包装，这类包装应适应于远距离运输、防潮、防震、防锈和防野蛮装卸，以确保设备安全无损运抵指定现场。由于包装不善所引起的货物锈蚀、损坏和损失均由成交供应商负责。</w:t>
      </w:r>
    </w:p>
    <w:p w14:paraId="04B1F651">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2</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包装箱内应附一份详细装箱单、质量合格证书及相关材料。</w:t>
      </w:r>
    </w:p>
    <w:p w14:paraId="5C41D385">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3</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设备到货后，开箱检验、检查设备型号、配置、数量等与合同一致，签署设备交接验收单。</w:t>
      </w:r>
    </w:p>
    <w:p w14:paraId="6EA358DC">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Cs w:val="0"/>
          <w:sz w:val="24"/>
          <w:szCs w:val="24"/>
          <w:highlight w:val="none"/>
        </w:rPr>
      </w:pPr>
      <w:r>
        <w:rPr>
          <w:rStyle w:val="10"/>
          <w:rFonts w:hint="eastAsia" w:asciiTheme="minorEastAsia" w:hAnsiTheme="minorEastAsia" w:eastAsiaTheme="minorEastAsia" w:cstheme="minorEastAsia"/>
          <w:bCs w:val="0"/>
          <w:sz w:val="24"/>
          <w:szCs w:val="24"/>
          <w:highlight w:val="none"/>
          <w:lang w:val="en-US" w:eastAsia="zh-CN"/>
        </w:rPr>
        <w:t>6.</w:t>
      </w:r>
      <w:r>
        <w:rPr>
          <w:rStyle w:val="10"/>
          <w:rFonts w:hint="eastAsia" w:asciiTheme="minorEastAsia" w:hAnsiTheme="minorEastAsia" w:eastAsiaTheme="minorEastAsia" w:cstheme="minorEastAsia"/>
          <w:sz w:val="24"/>
          <w:szCs w:val="24"/>
          <w:highlight w:val="none"/>
        </w:rPr>
        <w:t>安装及验收要求</w:t>
      </w:r>
    </w:p>
    <w:p w14:paraId="03CC8972">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1</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成交供应商必须为验收提供条件和承担相关验收、检测费用。</w:t>
      </w:r>
    </w:p>
    <w:p w14:paraId="23D26C00">
      <w:pPr>
        <w:spacing w:line="360" w:lineRule="auto"/>
        <w:rPr>
          <w:rStyle w:val="10"/>
          <w:rFonts w:hint="eastAsia" w:asciiTheme="minorEastAsia" w:hAnsiTheme="minorEastAsia" w:eastAsiaTheme="minorEastAsia" w:cstheme="minorEastAsia"/>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2</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成交供应商在硬件设备到达采购单位指定地点后，还应提供装箱单据和有关技术文件和采购单位一起开箱验货，如设备型号参数不符或有明显损坏的，采购单位有权不予签收，成交供应商应重发设备。</w:t>
      </w:r>
    </w:p>
    <w:p w14:paraId="0096AC0B">
      <w:pPr>
        <w:pStyle w:val="9"/>
        <w:wordWrap w:val="0"/>
        <w:topLinePunct/>
        <w:spacing w:before="156" w:beforeLines="50" w:after="10" w:line="360" w:lineRule="auto"/>
        <w:ind w:left="23" w:right="23" w:firstLine="120" w:firstLineChars="50"/>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3</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成交供应商在设备安装现场应做好安全生产工作，落实安装生产制度，加强安装操作人员的安全教育，如涉及特种设备和特种作业的应持证上岗。</w:t>
      </w:r>
    </w:p>
    <w:p w14:paraId="6C3DA478">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4</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成交供应商安装，调试完成后，在采购单位开始试运行，设备稳定运行两周后方可组织验收。</w:t>
      </w:r>
    </w:p>
    <w:p w14:paraId="66D0EB94">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5</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所有货物必须是原厂生产的全新货物，所投货物全部送达采购单位项目实施地点并安装完毕，试用后由采购单位和成交供应商组织人员共同验收(采购单位有权将对设备进行测试，设备能够</w:t>
      </w:r>
      <w:r>
        <w:rPr>
          <w:rStyle w:val="10"/>
          <w:rFonts w:hint="eastAsia" w:asciiTheme="minorEastAsia" w:hAnsiTheme="minorEastAsia" w:eastAsiaTheme="minorEastAsia" w:cstheme="minorEastAsia"/>
          <w:b w:val="0"/>
          <w:kern w:val="2"/>
          <w:sz w:val="24"/>
          <w:szCs w:val="24"/>
          <w:highlight w:val="none"/>
        </w:rPr>
        <w:t>无缝接入到现有使用设备当中，能够兼容原有系统并且能够做双活</w:t>
      </w:r>
      <w:r>
        <w:rPr>
          <w:rStyle w:val="10"/>
          <w:rFonts w:hint="eastAsia" w:asciiTheme="minorEastAsia" w:hAnsiTheme="minorEastAsia" w:eastAsiaTheme="minorEastAsia" w:cstheme="minorEastAsia"/>
          <w:b w:val="0"/>
          <w:sz w:val="24"/>
          <w:szCs w:val="24"/>
          <w:highlight w:val="none"/>
        </w:rPr>
        <w:t>，如果检测不合格成交供应商承担测试费用，并终止采购合同)。验收合格后，由采购单位出具验收报告，验收人员和成交供应商均在验收报告上签字，并加盖相应公章。</w:t>
      </w:r>
    </w:p>
    <w:p w14:paraId="4BA8BA05">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6</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成交供应商必须将所提供货物的使用说明书，合格证，服务手册、设备IP配置等相关资料交由采购单位留存备用，如有配有专用工具，应向采购单位提供设备的专用工具。</w:t>
      </w:r>
    </w:p>
    <w:p w14:paraId="5B1D8D79">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Cs w:val="0"/>
          <w:sz w:val="24"/>
          <w:szCs w:val="24"/>
          <w:highlight w:val="none"/>
        </w:rPr>
      </w:pPr>
      <w:r>
        <w:rPr>
          <w:rStyle w:val="10"/>
          <w:rFonts w:hint="eastAsia" w:asciiTheme="minorEastAsia" w:hAnsiTheme="minorEastAsia" w:eastAsiaTheme="minorEastAsia" w:cstheme="minorEastAsia"/>
          <w:bCs w:val="0"/>
          <w:sz w:val="24"/>
          <w:szCs w:val="24"/>
          <w:highlight w:val="none"/>
          <w:lang w:val="en-US" w:eastAsia="zh-CN"/>
        </w:rPr>
        <w:t>7.</w:t>
      </w:r>
      <w:r>
        <w:rPr>
          <w:rStyle w:val="10"/>
          <w:rFonts w:hint="eastAsia" w:asciiTheme="minorEastAsia" w:hAnsiTheme="minorEastAsia" w:eastAsiaTheme="minorEastAsia" w:cstheme="minorEastAsia"/>
          <w:bCs w:val="0"/>
          <w:sz w:val="24"/>
          <w:szCs w:val="24"/>
          <w:highlight w:val="none"/>
        </w:rPr>
        <w:t>知识产权</w:t>
      </w:r>
    </w:p>
    <w:p w14:paraId="6A37F8EF">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1</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成交供应商应保证，采购单位在中华人民共和国使用该设备或设备的任何一部分时，免受第三方提出的侵犯其专利权、商标权或工业设计权的起诉。</w:t>
      </w:r>
    </w:p>
    <w:p w14:paraId="279B8B82">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2</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成交供应商应保证采购单位在使用产品和服务时，不会产生第三方提出侵犯其专利权、商标权、著作权或其他知识产权而引起的法律和经济纠纷，否则由成交供应商承担所有相关责任，并赔偿采购单位损失。</w:t>
      </w:r>
    </w:p>
    <w:p w14:paraId="570272FA">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Cs w:val="0"/>
          <w:sz w:val="24"/>
          <w:szCs w:val="24"/>
          <w:highlight w:val="none"/>
        </w:rPr>
      </w:pPr>
      <w:r>
        <w:rPr>
          <w:rStyle w:val="10"/>
          <w:rFonts w:hint="eastAsia" w:asciiTheme="minorEastAsia" w:hAnsiTheme="minorEastAsia" w:eastAsiaTheme="minorEastAsia" w:cstheme="minorEastAsia"/>
          <w:bCs w:val="0"/>
          <w:sz w:val="24"/>
          <w:szCs w:val="24"/>
          <w:highlight w:val="none"/>
          <w:lang w:val="en-US" w:eastAsia="zh-CN"/>
        </w:rPr>
        <w:t>8.</w:t>
      </w:r>
      <w:r>
        <w:rPr>
          <w:rStyle w:val="10"/>
          <w:rFonts w:hint="eastAsia" w:asciiTheme="minorEastAsia" w:hAnsiTheme="minorEastAsia" w:eastAsiaTheme="minorEastAsia" w:cstheme="minorEastAsia"/>
          <w:bCs w:val="0"/>
          <w:sz w:val="24"/>
          <w:szCs w:val="24"/>
          <w:highlight w:val="none"/>
        </w:rPr>
        <w:t>培训要求</w:t>
      </w:r>
    </w:p>
    <w:p w14:paraId="3334DB4B">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1</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免费提供不少于1人技术人员现场技术培训，内容必须包括使用方法，日常维护，一般性故障排除措施等，培训时提供中文培训资料，使用说明书，设备连接的拓扑图，注意事项，安装调试方法等材料。</w:t>
      </w:r>
    </w:p>
    <w:p w14:paraId="7D1123F4">
      <w:pPr>
        <w:pStyle w:val="9"/>
        <w:wordWrap w:val="0"/>
        <w:topLinePunct/>
        <w:spacing w:before="156" w:beforeLines="50" w:after="10" w:line="360" w:lineRule="auto"/>
        <w:ind w:right="23"/>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2</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培训期间所产生的一切费用由供应商承担。</w:t>
      </w:r>
    </w:p>
    <w:p w14:paraId="385768B0">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Cs w:val="0"/>
          <w:sz w:val="24"/>
          <w:szCs w:val="24"/>
          <w:highlight w:val="none"/>
        </w:rPr>
      </w:pPr>
      <w:r>
        <w:rPr>
          <w:rStyle w:val="10"/>
          <w:rFonts w:hint="eastAsia" w:asciiTheme="minorEastAsia" w:hAnsiTheme="minorEastAsia" w:eastAsiaTheme="minorEastAsia" w:cstheme="minorEastAsia"/>
          <w:bCs w:val="0"/>
          <w:sz w:val="24"/>
          <w:szCs w:val="24"/>
          <w:highlight w:val="none"/>
          <w:lang w:val="en-US" w:eastAsia="zh-CN"/>
        </w:rPr>
        <w:t>9.</w:t>
      </w:r>
      <w:r>
        <w:rPr>
          <w:rStyle w:val="10"/>
          <w:rFonts w:hint="eastAsia" w:asciiTheme="minorEastAsia" w:hAnsiTheme="minorEastAsia" w:eastAsiaTheme="minorEastAsia" w:cstheme="minorEastAsia"/>
          <w:bCs w:val="0"/>
          <w:sz w:val="24"/>
          <w:szCs w:val="24"/>
          <w:highlight w:val="none"/>
        </w:rPr>
        <w:t>安全要求</w:t>
      </w:r>
    </w:p>
    <w:p w14:paraId="5518380E">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1</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符合国家消防，环保，涉密等相关法律法规规定，</w:t>
      </w:r>
    </w:p>
    <w:p w14:paraId="120D26A3">
      <w:pPr>
        <w:spacing w:line="360" w:lineRule="auto"/>
        <w:rPr>
          <w:rFonts w:hint="eastAsia" w:asciiTheme="minorEastAsia" w:hAnsiTheme="minorEastAsia" w:eastAsiaTheme="minorEastAsia" w:cstheme="minorEastAsia"/>
          <w:bCs/>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2</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本项目合同履行过程中和本项目施工过程中发生生产安全事故或意外事件，均由成交供应商承担全部费用及责任。</w:t>
      </w:r>
    </w:p>
    <w:p w14:paraId="72316044">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Cs w:val="0"/>
          <w:sz w:val="24"/>
          <w:szCs w:val="24"/>
          <w:highlight w:val="none"/>
        </w:rPr>
      </w:pPr>
      <w:r>
        <w:rPr>
          <w:rStyle w:val="10"/>
          <w:rFonts w:hint="eastAsia" w:asciiTheme="minorEastAsia" w:hAnsiTheme="minorEastAsia" w:eastAsiaTheme="minorEastAsia" w:cstheme="minorEastAsia"/>
          <w:bCs w:val="0"/>
          <w:sz w:val="24"/>
          <w:szCs w:val="24"/>
          <w:highlight w:val="none"/>
          <w:lang w:val="en-US" w:eastAsia="zh-CN"/>
        </w:rPr>
        <w:t>10.</w:t>
      </w:r>
      <w:r>
        <w:rPr>
          <w:rStyle w:val="10"/>
          <w:rFonts w:hint="eastAsia" w:asciiTheme="minorEastAsia" w:hAnsiTheme="minorEastAsia" w:eastAsiaTheme="minorEastAsia" w:cstheme="minorEastAsia"/>
          <w:bCs w:val="0"/>
          <w:sz w:val="24"/>
          <w:szCs w:val="24"/>
          <w:highlight w:val="none"/>
        </w:rPr>
        <w:t>特殊要求</w:t>
      </w:r>
    </w:p>
    <w:p w14:paraId="0F27207A">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1</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采购单位是特殊性质的单位，成交供应商必须要严格遵守采购单位的各项规定，并服从采购单位工作人员的指挥和安排，如有违反采购单位保密等管理规定，采购单位有权终止合同，损失由成交供应商承担，造成严重后果的，将依法追究其法律责任。</w:t>
      </w:r>
    </w:p>
    <w:p w14:paraId="382421EC">
      <w:pPr>
        <w:spacing w:line="360" w:lineRule="auto"/>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lang w:val="en-US" w:eastAsia="zh-CN"/>
        </w:rPr>
        <w:t>2</w:t>
      </w:r>
      <w:r>
        <w:rPr>
          <w:rStyle w:val="10"/>
          <w:rFonts w:hint="eastAsia" w:asciiTheme="minorEastAsia" w:hAnsiTheme="minorEastAsia" w:eastAsiaTheme="minorEastAsia" w:cstheme="minorEastAsia"/>
          <w:b w:val="0"/>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采购单位是特殊性质的单位，成交供应商提供的所有设备在质保期内存储介质(如硬盘等)有故障不能使用的，成交供应商应直接提供新的存储介质替代，换下的存储介质由采购单位自行处理，不予退还。</w:t>
      </w:r>
    </w:p>
    <w:p w14:paraId="29B563E2">
      <w:pPr>
        <w:pStyle w:val="9"/>
        <w:wordWrap w:val="0"/>
        <w:topLinePunct/>
        <w:spacing w:before="156" w:beforeLines="50" w:after="10" w:line="360" w:lineRule="auto"/>
        <w:ind w:left="23" w:right="23"/>
        <w:rPr>
          <w:rStyle w:val="10"/>
          <w:rFonts w:hint="eastAsia" w:asciiTheme="minorEastAsia" w:hAnsiTheme="minorEastAsia" w:eastAsiaTheme="minorEastAsia" w:cstheme="minorEastAsia"/>
          <w:b w:val="0"/>
          <w:sz w:val="24"/>
          <w:szCs w:val="24"/>
          <w:highlight w:val="none"/>
        </w:rPr>
      </w:pPr>
      <w:r>
        <w:rPr>
          <w:rStyle w:val="10"/>
          <w:rFonts w:hint="eastAsia" w:asciiTheme="minorEastAsia" w:hAnsiTheme="minorEastAsia" w:eastAsiaTheme="minorEastAsia" w:cstheme="minorEastAsia"/>
          <w:sz w:val="24"/>
          <w:szCs w:val="24"/>
          <w:highlight w:val="none"/>
          <w:lang w:val="en-US" w:eastAsia="zh-CN"/>
        </w:rPr>
        <w:t>11.</w:t>
      </w:r>
      <w:r>
        <w:rPr>
          <w:rStyle w:val="10"/>
          <w:rFonts w:hint="eastAsia" w:asciiTheme="minorEastAsia" w:hAnsiTheme="minorEastAsia" w:eastAsiaTheme="minorEastAsia" w:cstheme="minorEastAsia"/>
          <w:sz w:val="24"/>
          <w:szCs w:val="24"/>
          <w:highlight w:val="none"/>
        </w:rPr>
        <w:t>保密要求</w:t>
      </w:r>
      <w:r>
        <w:rPr>
          <w:rStyle w:val="10"/>
          <w:rFonts w:hint="eastAsia" w:asciiTheme="minorEastAsia" w:hAnsiTheme="minorEastAsia" w:eastAsiaTheme="minorEastAsia" w:cstheme="minorEastAsia"/>
          <w:sz w:val="24"/>
          <w:szCs w:val="24"/>
          <w:highlight w:val="none"/>
          <w:lang w:eastAsia="zh-CN"/>
        </w:rPr>
        <w:t>：</w:t>
      </w:r>
      <w:r>
        <w:rPr>
          <w:rStyle w:val="10"/>
          <w:rFonts w:hint="eastAsia" w:asciiTheme="minorEastAsia" w:hAnsiTheme="minorEastAsia" w:eastAsiaTheme="minorEastAsia" w:cstheme="minorEastAsia"/>
          <w:b w:val="0"/>
          <w:sz w:val="24"/>
          <w:szCs w:val="24"/>
          <w:highlight w:val="none"/>
        </w:rPr>
        <w:t>成交供应商应对本项目履行而获得与项目有关的信息(以下简称“保密信息”)予以保密，不得向第三方披露保密信息或将保密信息用于本项目以外的其他用途。若信息被泄漏所引起的一切不良后果，由成交供应商承担。</w:t>
      </w:r>
    </w:p>
    <w:p w14:paraId="322FC0AD">
      <w:pPr>
        <w:spacing w:line="360" w:lineRule="auto"/>
        <w:rPr>
          <w:rStyle w:val="10"/>
          <w:rFonts w:hint="eastAsia" w:asciiTheme="minorEastAsia" w:hAnsiTheme="minorEastAsia" w:eastAsiaTheme="minorEastAsia" w:cstheme="minorEastAsia"/>
          <w:color w:val="auto"/>
          <w:sz w:val="24"/>
          <w:szCs w:val="24"/>
          <w:highlight w:val="none"/>
        </w:rPr>
      </w:pPr>
      <w:r>
        <w:rPr>
          <w:rStyle w:val="10"/>
          <w:rFonts w:hint="eastAsia" w:asciiTheme="minorEastAsia" w:hAnsiTheme="minorEastAsia" w:eastAsiaTheme="minorEastAsia" w:cstheme="minorEastAsia"/>
          <w:color w:val="auto"/>
          <w:sz w:val="24"/>
          <w:szCs w:val="24"/>
          <w:highlight w:val="none"/>
          <w:lang w:val="en-US" w:eastAsia="zh-CN"/>
        </w:rPr>
        <w:t>12.其它要求：</w:t>
      </w:r>
      <w:r>
        <w:rPr>
          <w:rStyle w:val="10"/>
          <w:rFonts w:hint="eastAsia" w:asciiTheme="minorEastAsia" w:hAnsiTheme="minorEastAsia" w:eastAsiaTheme="minorEastAsia" w:cstheme="minorEastAsia"/>
          <w:color w:val="auto"/>
          <w:sz w:val="24"/>
          <w:szCs w:val="24"/>
          <w:highlight w:val="none"/>
        </w:rPr>
        <w:t>采购人有权要求中标供应商提供评审需要的第三方出具的检测报告原件进行核查。以上材料若有虚假情况，</w:t>
      </w:r>
      <w:r>
        <w:rPr>
          <w:rStyle w:val="10"/>
          <w:rFonts w:hint="eastAsia" w:asciiTheme="minorEastAsia" w:hAnsiTheme="minorEastAsia" w:eastAsiaTheme="minorEastAsia" w:cstheme="minorEastAsia"/>
          <w:color w:val="auto"/>
          <w:sz w:val="24"/>
          <w:szCs w:val="24"/>
          <w:highlight w:val="none"/>
          <w:lang w:val="en-US" w:eastAsia="zh-CN"/>
        </w:rPr>
        <w:t>报财政监督部门严肃处理</w:t>
      </w:r>
      <w:r>
        <w:rPr>
          <w:rStyle w:val="10"/>
          <w:rFonts w:hint="eastAsia" w:asciiTheme="minorEastAsia" w:hAnsiTheme="minorEastAsia" w:eastAsiaTheme="minorEastAsia" w:cstheme="minorEastAsia"/>
          <w:color w:val="auto"/>
          <w:sz w:val="24"/>
          <w:szCs w:val="24"/>
          <w:highlight w:val="none"/>
        </w:rPr>
        <w:t>。</w:t>
      </w:r>
    </w:p>
    <w:p w14:paraId="56DD8A96">
      <w:pPr>
        <w:pStyle w:val="2"/>
        <w:numPr>
          <w:ilvl w:val="0"/>
          <w:numId w:val="0"/>
        </w:numPr>
        <w:rPr>
          <w:rFonts w:hint="eastAsia"/>
          <w:highlight w:val="none"/>
          <w:lang w:eastAsia="zh-CN"/>
        </w:rPr>
      </w:pPr>
    </w:p>
    <w:p w14:paraId="732956E2">
      <w:r>
        <w:rPr>
          <w:rFonts w:hint="eastAsia" w:ascii="宋体" w:hAnsi="宋体" w:cs="宋体"/>
          <w:b/>
          <w:bCs/>
          <w:color w:val="auto"/>
          <w:sz w:val="24"/>
          <w:szCs w:val="24"/>
          <w:highlight w:val="none"/>
          <w:lang w:eastAsia="zh-CN"/>
        </w:rPr>
        <w:t>注：以上商务要求均须完全满足，否则视为无效响应。</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772CF">
    <w:pPr>
      <w:pStyle w:val="4"/>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4C3DA08">
                          <w:pPr>
                            <w:pStyle w:val="4"/>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xmFPozAgAAZQ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xmFPozAgAAZQQAAA4AAAAAAAAAAQAgAAAAHwEAAGRycy9lMm9Eb2MueG1sUEsF&#10;BgAAAAAGAAYAWQEAAMQFAAAAAA==&#10;">
              <v:fill on="f" focussize="0,0"/>
              <v:stroke on="f" weight="0.5pt"/>
              <v:imagedata o:title=""/>
              <o:lock v:ext="edit" aspectratio="f"/>
              <v:textbox inset="0mm,0mm,0mm,0mm" style="mso-fit-shape-to-text:t;">
                <w:txbxContent>
                  <w:p w14:paraId="14C3DA08">
                    <w:pPr>
                      <w:pStyle w:val="4"/>
                    </w:pPr>
                    <w:r>
                      <w:fldChar w:fldCharType="begin"/>
                    </w:r>
                    <w:r>
                      <w:instrText xml:space="preserve"> PAGE  \* MERGEFORMAT </w:instrText>
                    </w:r>
                    <w:r>
                      <w:fldChar w:fldCharType="separate"/>
                    </w:r>
                    <w:r>
                      <w:t>63</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1B7B0A"/>
    <w:rsid w:val="361B7B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paragraph" w:customStyle="1" w:styleId="9">
    <w:name w:val="MSG_EN_FONT_STYLE_NAME_TEMPLATE_ROLE MSG_EN_FONT_STYLE_NAME_BY_ROLE_TEXT20"/>
    <w:basedOn w:val="1"/>
    <w:qFormat/>
    <w:uiPriority w:val="0"/>
    <w:pPr>
      <w:spacing w:after="567" w:line="466" w:lineRule="exact"/>
      <w:ind w:left="20" w:right="20"/>
    </w:pPr>
    <w:rPr>
      <w:rFonts w:ascii="宋体" w:hAnsi="宋体"/>
      <w:kern w:val="0"/>
      <w:sz w:val="22"/>
    </w:rPr>
  </w:style>
  <w:style w:type="character" w:customStyle="1" w:styleId="10">
    <w:name w:val="MSG_EN_FONT_STYLE_NAME_TEMPLATE_ROLE_NUMBER MSG_EN_FONT_STYLE_NAME_BY_ROLE_TABLE_CAPTION 2_"/>
    <w:link w:val="11"/>
    <w:qFormat/>
    <w:uiPriority w:val="0"/>
    <w:rPr>
      <w:rFonts w:ascii="宋体" w:hAnsi="宋体"/>
      <w:b/>
      <w:bCs/>
      <w:kern w:val="0"/>
      <w:sz w:val="22"/>
    </w:rPr>
  </w:style>
  <w:style w:type="paragraph" w:customStyle="1" w:styleId="11">
    <w:name w:val="MSG_EN_FONT_STYLE_NAME_TEMPLATE_ROLE_NUMBER MSG_EN_FONT_STYLE_NAME_BY_ROLE_TABLE_CAPTION 2"/>
    <w:basedOn w:val="1"/>
    <w:link w:val="10"/>
    <w:qFormat/>
    <w:uiPriority w:val="0"/>
    <w:pPr>
      <w:shd w:val="clear" w:color="auto" w:fill="FFFFFF"/>
      <w:spacing w:line="0" w:lineRule="atLeast"/>
    </w:pPr>
    <w:rPr>
      <w:rFonts w:ascii="宋体" w:hAnsi="宋体"/>
      <w:b/>
      <w:bCs/>
      <w:kern w:val="0"/>
      <w:sz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2026-06-15T09:20:00Z</dcterms:created>
  <dc:creator>大毛</dc:creator>
  <cp:lastModifiedBy>大毛</cp:lastModifiedBy>
  <dcterms:modified xsi:type="dcterms:W3CDTF">2026-06-15T09:20:23Z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94472F78574B4C49B189C102877F276C_11</vt:lpwstr>
  </property>
  <property fmtid="{D5CDD505-2E9C-101B-9397-08002B2CF9AE}" pid="4" name="KSOTemplateDocerSaveRecord">
    <vt:lpwstr>eyJoZGlkIjoiZWYyYjI5MjIzYjkwNjliNWU4OWRiZWNmNWIzMmUyZWIiLCJ1c2VySWQiOiI0MDE4MDE0MzQifQ==</vt:lpwstr>
  </property>
</Properties>
</file>