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08F34CA5">
      <w:pPr>
        <w:pageBreakBefore w:val="0"/>
        <w:widowControl w:val="0"/>
        <w:wordWrap/>
        <w:overflowPunct/>
        <w:topLinePunct w:val="0"/>
        <w:bidi w:val="0"/>
        <w:spacing w:line="257" w:lineRule="auto"/>
        <w:rPr>
          <w:color w:val="auto"/>
          <w:highlight w:val="none"/>
        </w:rPr>
      </w:pPr>
    </w:p>
    <w:p w14:paraId="18C8A55F">
      <w:pPr>
        <w:pageBreakBefore w:val="0"/>
        <w:widowControl w:val="0"/>
        <w:wordWrap/>
        <w:overflowPunct/>
        <w:topLinePunct w:val="0"/>
        <w:bidi w:val="0"/>
        <w:spacing w:line="258" w:lineRule="auto"/>
        <w:rPr>
          <w:color w:val="auto"/>
          <w:highlight w:val="none"/>
        </w:rPr>
      </w:pPr>
    </w:p>
    <w:p w14:paraId="77D21B48">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ascii="宋体" w:hAnsi="宋体" w:eastAsia="宋体" w:cs="宋体"/>
          <w:b/>
          <w:bCs/>
          <w:color w:val="auto"/>
          <w:spacing w:val="-5"/>
          <w:sz w:val="24"/>
          <w:szCs w:val="24"/>
          <w:highlight w:val="none"/>
        </w:rPr>
        <w:t>技术需求</w:t>
      </w:r>
    </w:p>
    <w:tbl>
      <w:tblPr>
        <w:tblStyle w:val="6"/>
        <w:tblW w:w="5000" w:type="pct"/>
        <w:tblInd w:w="0" w:type="dxa"/>
        <w:tblLayout w:type="autofit"/>
        <w:tblCellMar>
          <w:top w:w="0" w:type="dxa"/>
          <w:left w:w="108" w:type="dxa"/>
          <w:bottom w:w="0" w:type="dxa"/>
          <w:right w:w="108" w:type="dxa"/>
        </w:tblCellMar>
      </w:tblPr>
      <w:tblGrid>
        <w:gridCol w:w="397"/>
        <w:gridCol w:w="592"/>
        <w:gridCol w:w="2690"/>
        <w:gridCol w:w="7656"/>
        <w:gridCol w:w="2196"/>
        <w:gridCol w:w="666"/>
      </w:tblGrid>
      <w:tr w14:paraId="59A58F99">
        <w:tblPrEx>
          <w:tblCellMar>
            <w:top w:w="0" w:type="dxa"/>
            <w:left w:w="108" w:type="dxa"/>
            <w:bottom w:w="0" w:type="dxa"/>
            <w:right w:w="108" w:type="dxa"/>
          </w:tblCellMar>
        </w:tblPrEx>
        <w:trPr>
          <w:trHeight w:val="360" w:hRule="atLeast"/>
        </w:trPr>
        <w:tc>
          <w:tcPr>
            <w:tcW w:w="5000" w:type="pct"/>
            <w:gridSpan w:val="6"/>
            <w:tcBorders>
              <w:top w:val="nil"/>
              <w:left w:val="nil"/>
              <w:bottom w:val="nil"/>
              <w:right w:val="nil"/>
            </w:tcBorders>
            <w:noWrap/>
            <w:vAlign w:val="center"/>
          </w:tcPr>
          <w:p w14:paraId="3732502E">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江西艺术职业学院公寓组合床柜清单</w:t>
            </w:r>
          </w:p>
        </w:tc>
      </w:tr>
      <w:tr w14:paraId="3375A421">
        <w:tblPrEx>
          <w:tblCellMar>
            <w:top w:w="0" w:type="dxa"/>
            <w:left w:w="108" w:type="dxa"/>
            <w:bottom w:w="0" w:type="dxa"/>
            <w:right w:w="108" w:type="dxa"/>
          </w:tblCellMar>
        </w:tblPrEx>
        <w:trPr>
          <w:trHeight w:val="38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497A91D1">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序号</w:t>
            </w:r>
          </w:p>
        </w:tc>
        <w:tc>
          <w:tcPr>
            <w:tcW w:w="239" w:type="pct"/>
            <w:tcBorders>
              <w:top w:val="single" w:color="000000" w:sz="4" w:space="0"/>
              <w:left w:val="single" w:color="000000" w:sz="4" w:space="0"/>
              <w:bottom w:val="single" w:color="000000" w:sz="4" w:space="0"/>
              <w:right w:val="single" w:color="000000" w:sz="4" w:space="0"/>
            </w:tcBorders>
            <w:vAlign w:val="center"/>
          </w:tcPr>
          <w:p w14:paraId="2ABAE2BA">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设备名称</w:t>
            </w:r>
          </w:p>
        </w:tc>
        <w:tc>
          <w:tcPr>
            <w:tcW w:w="978" w:type="pct"/>
            <w:tcBorders>
              <w:top w:val="single" w:color="000000" w:sz="4" w:space="0"/>
              <w:left w:val="single" w:color="000000" w:sz="4" w:space="0"/>
              <w:bottom w:val="single" w:color="000000" w:sz="4" w:space="0"/>
              <w:right w:val="single" w:color="000000" w:sz="4" w:space="0"/>
            </w:tcBorders>
            <w:vAlign w:val="center"/>
          </w:tcPr>
          <w:p w14:paraId="5D51FC6E">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参考图片</w:t>
            </w:r>
          </w:p>
        </w:tc>
        <w:tc>
          <w:tcPr>
            <w:tcW w:w="2727" w:type="pct"/>
            <w:tcBorders>
              <w:top w:val="single" w:color="000000" w:sz="4" w:space="0"/>
              <w:left w:val="single" w:color="000000" w:sz="4" w:space="0"/>
              <w:bottom w:val="single" w:color="000000" w:sz="4" w:space="0"/>
              <w:right w:val="single" w:color="000000" w:sz="4" w:space="0"/>
            </w:tcBorders>
            <w:vAlign w:val="center"/>
          </w:tcPr>
          <w:p w14:paraId="370070D9">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技术参数</w:t>
            </w:r>
          </w:p>
        </w:tc>
        <w:tc>
          <w:tcPr>
            <w:tcW w:w="701" w:type="pct"/>
            <w:tcBorders>
              <w:top w:val="single" w:color="000000" w:sz="4" w:space="0"/>
              <w:left w:val="single" w:color="000000" w:sz="4" w:space="0"/>
              <w:bottom w:val="single" w:color="000000" w:sz="4" w:space="0"/>
              <w:right w:val="single" w:color="000000" w:sz="4" w:space="0"/>
            </w:tcBorders>
            <w:vAlign w:val="center"/>
          </w:tcPr>
          <w:p w14:paraId="4A2DDD48">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外形尺寸（mm）</w:t>
            </w:r>
          </w:p>
        </w:tc>
        <w:tc>
          <w:tcPr>
            <w:tcW w:w="214" w:type="pct"/>
            <w:tcBorders>
              <w:top w:val="single" w:color="000000" w:sz="4" w:space="0"/>
              <w:left w:val="single" w:color="000000" w:sz="4" w:space="0"/>
              <w:bottom w:val="single" w:color="000000" w:sz="4" w:space="0"/>
              <w:right w:val="single" w:color="000000" w:sz="4" w:space="0"/>
            </w:tcBorders>
            <w:vAlign w:val="center"/>
          </w:tcPr>
          <w:p w14:paraId="18FED722">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lang w:eastAsia="zh-CN" w:bidi="ar"/>
              </w:rPr>
              <w:t>数量</w:t>
            </w:r>
          </w:p>
        </w:tc>
      </w:tr>
      <w:tr w14:paraId="401AD18F">
        <w:tblPrEx>
          <w:tblCellMar>
            <w:top w:w="0" w:type="dxa"/>
            <w:left w:w="108" w:type="dxa"/>
            <w:bottom w:w="0" w:type="dxa"/>
            <w:right w:w="108" w:type="dxa"/>
          </w:tblCellMar>
        </w:tblPrEx>
        <w:trPr>
          <w:trHeight w:val="26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775137B5">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庐山中大道校区6栋学生公寓（27间）</w:t>
            </w:r>
          </w:p>
        </w:tc>
      </w:tr>
      <w:tr w14:paraId="1C719DF0">
        <w:tblPrEx>
          <w:tblCellMar>
            <w:top w:w="0" w:type="dxa"/>
            <w:left w:w="108" w:type="dxa"/>
            <w:bottom w:w="0" w:type="dxa"/>
            <w:right w:w="108" w:type="dxa"/>
          </w:tblCellMar>
        </w:tblPrEx>
        <w:trPr>
          <w:trHeight w:val="788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52715C2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tcBorders>
              <w:top w:val="single" w:color="000000" w:sz="4" w:space="0"/>
              <w:left w:val="single" w:color="000000" w:sz="4" w:space="0"/>
              <w:bottom w:val="single" w:color="000000" w:sz="4" w:space="0"/>
              <w:right w:val="single" w:color="000000" w:sz="4" w:space="0"/>
            </w:tcBorders>
            <w:vAlign w:val="center"/>
          </w:tcPr>
          <w:p w14:paraId="61FFF9E1">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两连体三人位学生公寓钢木连体床（含床板、爬梯、蚊帐杆）</w:t>
            </w:r>
          </w:p>
        </w:tc>
        <w:tc>
          <w:tcPr>
            <w:tcW w:w="978" w:type="pct"/>
            <w:tcBorders>
              <w:top w:val="single" w:color="000000" w:sz="4" w:space="0"/>
              <w:left w:val="single" w:color="000000" w:sz="4" w:space="0"/>
              <w:bottom w:val="single" w:color="000000" w:sz="4" w:space="0"/>
              <w:right w:val="single" w:color="000000" w:sz="4" w:space="0"/>
            </w:tcBorders>
            <w:vAlign w:val="center"/>
          </w:tcPr>
          <w:p w14:paraId="4D3BD8E8">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bdr w:val="single" w:color="000000" w:sz="4" w:space="0"/>
                <w:lang w:eastAsia="zh-CN" w:bidi="ar"/>
              </w:rPr>
              <w:drawing>
                <wp:anchor distT="0" distB="0" distL="114300" distR="114300" simplePos="0" relativeHeight="251661312" behindDoc="0" locked="0" layoutInCell="1" allowOverlap="1">
                  <wp:simplePos x="0" y="0"/>
                  <wp:positionH relativeFrom="column">
                    <wp:posOffset>7620</wp:posOffset>
                  </wp:positionH>
                  <wp:positionV relativeFrom="paragraph">
                    <wp:posOffset>1700530</wp:posOffset>
                  </wp:positionV>
                  <wp:extent cx="1505585" cy="1671320"/>
                  <wp:effectExtent l="0" t="0" r="18415" b="5080"/>
                  <wp:wrapNone/>
                  <wp:docPr id="27" name="图片_2"/>
                  <wp:cNvGraphicFramePr/>
                  <a:graphic xmlns:a="http://schemas.openxmlformats.org/drawingml/2006/main">
                    <a:graphicData uri="http://schemas.openxmlformats.org/drawingml/2006/picture">
                      <pic:pic xmlns:pic="http://schemas.openxmlformats.org/drawingml/2006/picture">
                        <pic:nvPicPr>
                          <pic:cNvPr id="27" name="图片_2"/>
                          <pic:cNvPicPr/>
                        </pic:nvPicPr>
                        <pic:blipFill>
                          <a:blip r:embed="rId5"/>
                          <a:stretch>
                            <a:fillRect/>
                          </a:stretch>
                        </pic:blipFill>
                        <pic:spPr>
                          <a:xfrm>
                            <a:off x="0" y="0"/>
                            <a:ext cx="1505585" cy="167132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tcPr>
          <w:p w14:paraId="0A2428B2">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床爬梯：采用20mm*40mm*1.2mm优质方管，踏板长400×最宽处90mm（最窄处68mm）*厚25mm（靠内侧15mm厚）*壁厚度1.5mm，左右脚踏位置各镶嵌一块箭头荧光条，四周应有模具冲压成型的防滑凸纹，踏步靠外一侧镶嵌一条荧光条（以起到夜间学生识别踏步位置，保证夜间上下楼梯的安全），踏板经模具冲压成型，爬梯与上长横梁采用螺丝连接，床爬梯脚下与床中立柱连接固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10、床桓：采用≥1.0mm优质冷轧钢板一次成型工艺，成型尺寸39*30闭合管，材料厚度≥1.2mm；每根承重力≥280kg，整体床铺横梁数量≥5根，间隙≤400mm。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11、床后拉杆：采用30mm*60mm方管，材料厚度≥1.2mm。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12、床板：采用≥16mm 厚杉木板拼接而成，经烘干、抛光处理， 木材进行防虫、除脂、干燥处理，产品结构强度好和外观牢固， 材质符合国家标准要求，拼接及铺装缝隙应小于 2mm，不得多于8块拼接，床板背面采用 4 根30×30mm实木方条用地板钉加固。</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13、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tcBorders>
              <w:top w:val="single" w:color="000000" w:sz="4" w:space="0"/>
              <w:left w:val="single" w:color="000000" w:sz="4" w:space="0"/>
              <w:bottom w:val="single" w:color="000000" w:sz="4" w:space="0"/>
              <w:right w:val="single" w:color="000000" w:sz="4" w:space="0"/>
            </w:tcBorders>
            <w:vAlign w:val="center"/>
          </w:tcPr>
          <w:p w14:paraId="0A81B718">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4000*900*2200/2900(mm)（整体规格允许正负偏差10mm）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2193BE7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54套</w:t>
            </w:r>
          </w:p>
        </w:tc>
      </w:tr>
      <w:tr w14:paraId="2923B1C2">
        <w:tblPrEx>
          <w:tblCellMar>
            <w:top w:w="0" w:type="dxa"/>
            <w:left w:w="108" w:type="dxa"/>
            <w:bottom w:w="0" w:type="dxa"/>
            <w:right w:w="108" w:type="dxa"/>
          </w:tblCellMar>
        </w:tblPrEx>
        <w:trPr>
          <w:trHeight w:val="3565"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1D30D77">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705B83A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储物柜</w:t>
            </w:r>
          </w:p>
        </w:tc>
        <w:tc>
          <w:tcPr>
            <w:tcW w:w="978" w:type="pct"/>
            <w:tcBorders>
              <w:top w:val="single" w:color="000000" w:sz="4" w:space="0"/>
              <w:left w:val="single" w:color="000000" w:sz="4" w:space="0"/>
              <w:bottom w:val="single" w:color="000000" w:sz="4" w:space="0"/>
              <w:right w:val="single" w:color="000000" w:sz="4" w:space="0"/>
            </w:tcBorders>
            <w:vAlign w:val="center"/>
          </w:tcPr>
          <w:p w14:paraId="4EE116CB">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5408" behindDoc="0" locked="0" layoutInCell="1" allowOverlap="1">
                  <wp:simplePos x="0" y="0"/>
                  <wp:positionH relativeFrom="column">
                    <wp:posOffset>-58420</wp:posOffset>
                  </wp:positionH>
                  <wp:positionV relativeFrom="paragraph">
                    <wp:posOffset>15240</wp:posOffset>
                  </wp:positionV>
                  <wp:extent cx="1643380" cy="1922780"/>
                  <wp:effectExtent l="0" t="0" r="13970" b="1270"/>
                  <wp:wrapNone/>
                  <wp:docPr id="31" name="图片_7"/>
                  <wp:cNvGraphicFramePr/>
                  <a:graphic xmlns:a="http://schemas.openxmlformats.org/drawingml/2006/main">
                    <a:graphicData uri="http://schemas.openxmlformats.org/drawingml/2006/picture">
                      <pic:pic xmlns:pic="http://schemas.openxmlformats.org/drawingml/2006/picture">
                        <pic:nvPicPr>
                          <pic:cNvPr id="31" name="图片_7"/>
                          <pic:cNvPicPr/>
                        </pic:nvPicPr>
                        <pic:blipFill>
                          <a:blip r:embed="rId6"/>
                          <a:stretch>
                            <a:fillRect/>
                          </a:stretch>
                        </pic:blipFill>
                        <pic:spPr>
                          <a:xfrm>
                            <a:off x="0" y="0"/>
                            <a:ext cx="1643380" cy="192278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1FB458DF">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1、基材：柜体采用≥17mm厚ENF级实木多层板，背板采用≥7mm厚ENF级实木多层板，所有板材均经过防虫、抗菌防霉化学处理，强度高、刚性好、不变形、比重合理；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3、封边：采用同色1.0mmPVC封边条，所有板材均四周封边，防止潮湿空气进入，保证台面永不变形，封边牢固平直、无缺口、毛刺自然；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4、五金件：采用五金配件，缓冲铰链、不锈钢挂衣杆、拉手、三合一连接件，整体五金配件紧密拼接，线条均匀，转角过渡自然，间隙细小且均等，经防锈处理.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5、结构设计：整体均分六个储物区；储物区内置一根不锈钢挂衣杆用于挂放衣物，柜门带挂锁锁片，开门方式为单门单向侧开，门侧带条型拉手，底部设置回形防潮钢架，采用20mm*20mm矩形管焊接制作。</w:t>
            </w:r>
          </w:p>
        </w:tc>
        <w:tc>
          <w:tcPr>
            <w:tcW w:w="701" w:type="pct"/>
            <w:tcBorders>
              <w:top w:val="single" w:color="000000" w:sz="4" w:space="0"/>
              <w:left w:val="single" w:color="000000" w:sz="4" w:space="0"/>
              <w:bottom w:val="single" w:color="000000" w:sz="4" w:space="0"/>
              <w:right w:val="single" w:color="000000" w:sz="4" w:space="0"/>
            </w:tcBorders>
            <w:vAlign w:val="center"/>
          </w:tcPr>
          <w:p w14:paraId="2A9F64FD">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1350*600*2000（±5mm）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68E6921D">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27个</w:t>
            </w:r>
          </w:p>
        </w:tc>
      </w:tr>
      <w:tr w14:paraId="687B00B2">
        <w:tblPrEx>
          <w:tblCellMar>
            <w:top w:w="0" w:type="dxa"/>
            <w:left w:w="108" w:type="dxa"/>
            <w:bottom w:w="0" w:type="dxa"/>
            <w:right w:w="108" w:type="dxa"/>
          </w:tblCellMar>
        </w:tblPrEx>
        <w:trPr>
          <w:trHeight w:val="396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6F2A7E5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w:t>
            </w:r>
          </w:p>
        </w:tc>
        <w:tc>
          <w:tcPr>
            <w:tcW w:w="239" w:type="pct"/>
            <w:tcBorders>
              <w:top w:val="single" w:color="000000" w:sz="4" w:space="0"/>
              <w:left w:val="single" w:color="000000" w:sz="4" w:space="0"/>
              <w:bottom w:val="single" w:color="000000" w:sz="4" w:space="0"/>
              <w:right w:val="single" w:color="000000" w:sz="4" w:space="0"/>
            </w:tcBorders>
            <w:vAlign w:val="center"/>
          </w:tcPr>
          <w:p w14:paraId="6573BE8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7D79B26F">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3360" behindDoc="0" locked="0" layoutInCell="1" allowOverlap="1">
                  <wp:simplePos x="0" y="0"/>
                  <wp:positionH relativeFrom="column">
                    <wp:posOffset>29845</wp:posOffset>
                  </wp:positionH>
                  <wp:positionV relativeFrom="paragraph">
                    <wp:posOffset>177165</wp:posOffset>
                  </wp:positionV>
                  <wp:extent cx="1316355" cy="1958975"/>
                  <wp:effectExtent l="0" t="0" r="17145" b="3175"/>
                  <wp:wrapNone/>
                  <wp:docPr id="29" name="图片_1"/>
                  <wp:cNvGraphicFramePr/>
                  <a:graphic xmlns:a="http://schemas.openxmlformats.org/drawingml/2006/main">
                    <a:graphicData uri="http://schemas.openxmlformats.org/drawingml/2006/picture">
                      <pic:pic xmlns:pic="http://schemas.openxmlformats.org/drawingml/2006/picture">
                        <pic:nvPicPr>
                          <pic:cNvPr id="29" name="图片_1"/>
                          <pic:cNvPicPr/>
                        </pic:nvPicPr>
                        <pic:blipFill>
                          <a:blip r:embed="rId7"/>
                          <a:stretch>
                            <a:fillRect/>
                          </a:stretch>
                        </pic:blipFill>
                        <pic:spPr>
                          <a:xfrm>
                            <a:off x="0" y="0"/>
                            <a:ext cx="1316355" cy="195897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449BE483">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2.靠背板：规格为宽410mm*高245mm。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采用优质PP塑料材料吹塑一次成型，表面防滑设计，造型符合人体工程学，坐靠舒适，吹塑坐背板与铁架吻合，椅坐背板使用螺栓固定。配件使用增强塑料，耐寒耐磨，背板有扶手口，易于搬动，靠背与坐板材料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架：座板支撑采用椭圆钢管15mm*30mm*1.2mm（厚），上椅腿采用椭圆钢管20mm*40mm*1.2mm（厚），下椅腿采用椭圆钢管30mm*50mm*1.2mm（厚），椅脚两端配置高强度增强塑料脚套，螺丝固定，以防脱落。后脚套尺寸：≥217mm*90mm*35mm，增大受力面防止椅子后到。两椅腿间设有横档，横档采用椭圆钢管，尺寸为30mm*50mm*1.2mm（厚）焊接。焊接部位应牢固，应无脱焊、虚焊、焊穿，焊缝均匀、应无毛刺、锐棱、飞溅、裂纹等缺陷。</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7EE023D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91D9AC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162张</w:t>
            </w:r>
          </w:p>
        </w:tc>
      </w:tr>
      <w:tr w14:paraId="2865EB0C">
        <w:tblPrEx>
          <w:tblCellMar>
            <w:top w:w="0" w:type="dxa"/>
            <w:left w:w="108" w:type="dxa"/>
            <w:bottom w:w="0" w:type="dxa"/>
            <w:right w:w="108" w:type="dxa"/>
          </w:tblCellMar>
        </w:tblPrEx>
        <w:trPr>
          <w:trHeight w:val="352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151B4AA3">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w:t>
            </w:r>
          </w:p>
        </w:tc>
        <w:tc>
          <w:tcPr>
            <w:tcW w:w="239" w:type="pct"/>
            <w:tcBorders>
              <w:top w:val="single" w:color="000000" w:sz="4" w:space="0"/>
              <w:left w:val="single" w:color="000000" w:sz="4" w:space="0"/>
              <w:bottom w:val="single" w:color="000000" w:sz="4" w:space="0"/>
              <w:right w:val="single" w:color="000000" w:sz="4" w:space="0"/>
            </w:tcBorders>
            <w:vAlign w:val="center"/>
          </w:tcPr>
          <w:p w14:paraId="0E4F50D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三人组合桌</w:t>
            </w:r>
          </w:p>
        </w:tc>
        <w:tc>
          <w:tcPr>
            <w:tcW w:w="978" w:type="pct"/>
            <w:tcBorders>
              <w:top w:val="single" w:color="000000" w:sz="4" w:space="0"/>
              <w:left w:val="single" w:color="000000" w:sz="4" w:space="0"/>
              <w:bottom w:val="single" w:color="000000" w:sz="4" w:space="0"/>
              <w:right w:val="single" w:color="000000" w:sz="4" w:space="0"/>
            </w:tcBorders>
            <w:vAlign w:val="center"/>
          </w:tcPr>
          <w:p w14:paraId="764563C5">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2336" behindDoc="0" locked="0" layoutInCell="1" allowOverlap="1">
                  <wp:simplePos x="0" y="0"/>
                  <wp:positionH relativeFrom="column">
                    <wp:posOffset>158115</wp:posOffset>
                  </wp:positionH>
                  <wp:positionV relativeFrom="paragraph">
                    <wp:posOffset>227965</wp:posOffset>
                  </wp:positionV>
                  <wp:extent cx="1391285" cy="1685925"/>
                  <wp:effectExtent l="0" t="0" r="18415" b="9525"/>
                  <wp:wrapNone/>
                  <wp:docPr id="28" name="图片_8"/>
                  <wp:cNvGraphicFramePr/>
                  <a:graphic xmlns:a="http://schemas.openxmlformats.org/drawingml/2006/main">
                    <a:graphicData uri="http://schemas.openxmlformats.org/drawingml/2006/picture">
                      <pic:pic xmlns:pic="http://schemas.openxmlformats.org/drawingml/2006/picture">
                        <pic:nvPicPr>
                          <pic:cNvPr id="28" name="图片_8"/>
                          <pic:cNvPicPr/>
                        </pic:nvPicPr>
                        <pic:blipFill>
                          <a:blip r:embed="rId8"/>
                          <a:stretch>
                            <a:fillRect/>
                          </a:stretch>
                        </pic:blipFill>
                        <pic:spPr>
                          <a:xfrm>
                            <a:off x="0" y="0"/>
                            <a:ext cx="1391285" cy="168592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34C51EAB">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1、基材：台面板采用≥25mm厚优质 ENF 级实木多层板，桌体采用≥15mm厚优质 ENF 级实木多层板，背板采用≥7mm厚ENF级实木多层板，所有板材为优质 ENF 级实木多层板，均经过防虫、抗菌防霉化学处理，强度高、刚性好、不变形、比重合理；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3、封边：采用PVC封边条，厚度≥1.2mm，所有板材均四周封边，防止潮湿空气进入，保证台面永不变形，封边牢固平直、无缺口、毛刺自然；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4、脚架：采用碳素钢管40mm*40mm，材料厚度≥1.2mm。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5、五金件：采用五金配件，缓冲导轨，缓冲铰链，三合一连接件，整体五金配件紧密拼接，线条均匀，转角过渡自然，间隙细小且均等，经防锈处理。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6、结构设计：整体分学习区及储物区；书桌上方3组双开掩门柜，桌面下方配置三个抽屉，柜门及抽面均带挂锁锁片，柜门侧带优质铝合金拉手。</w:t>
            </w:r>
          </w:p>
        </w:tc>
        <w:tc>
          <w:tcPr>
            <w:tcW w:w="701" w:type="pct"/>
            <w:tcBorders>
              <w:top w:val="single" w:color="000000" w:sz="4" w:space="0"/>
              <w:left w:val="single" w:color="000000" w:sz="4" w:space="0"/>
              <w:bottom w:val="single" w:color="000000" w:sz="4" w:space="0"/>
              <w:right w:val="single" w:color="000000" w:sz="4" w:space="0"/>
            </w:tcBorders>
            <w:vAlign w:val="center"/>
          </w:tcPr>
          <w:p w14:paraId="700C0D0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1840*600*1780（±5mm）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7B8C2B8E">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54个</w:t>
            </w:r>
          </w:p>
        </w:tc>
      </w:tr>
      <w:tr w14:paraId="7EE0DF8A">
        <w:tblPrEx>
          <w:tblCellMar>
            <w:top w:w="0" w:type="dxa"/>
            <w:left w:w="108" w:type="dxa"/>
            <w:bottom w:w="0" w:type="dxa"/>
            <w:right w:w="108" w:type="dxa"/>
          </w:tblCellMar>
        </w:tblPrEx>
        <w:trPr>
          <w:trHeight w:val="74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53383263">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庐山中大道校区3栋学生公寓（1间）</w:t>
            </w:r>
          </w:p>
        </w:tc>
      </w:tr>
      <w:tr w14:paraId="1CD545F1">
        <w:tblPrEx>
          <w:tblCellMar>
            <w:top w:w="0" w:type="dxa"/>
            <w:left w:w="108" w:type="dxa"/>
            <w:bottom w:w="0" w:type="dxa"/>
            <w:right w:w="108" w:type="dxa"/>
          </w:tblCellMar>
        </w:tblPrEx>
        <w:trPr>
          <w:trHeight w:val="790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FA9376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tcBorders>
              <w:top w:val="single" w:color="000000" w:sz="4" w:space="0"/>
              <w:left w:val="single" w:color="000000" w:sz="4" w:space="0"/>
              <w:bottom w:val="single" w:color="000000" w:sz="4" w:space="0"/>
              <w:right w:val="single" w:color="000000" w:sz="4" w:space="0"/>
            </w:tcBorders>
            <w:vAlign w:val="center"/>
          </w:tcPr>
          <w:p w14:paraId="2E81A5F6">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两连体三人位学生公寓钢木连体床（含床板、中梯、蚊帐杆）</w:t>
            </w:r>
          </w:p>
        </w:tc>
        <w:tc>
          <w:tcPr>
            <w:tcW w:w="978" w:type="pct"/>
            <w:tcBorders>
              <w:top w:val="single" w:color="000000" w:sz="4" w:space="0"/>
              <w:left w:val="single" w:color="000000" w:sz="4" w:space="0"/>
              <w:bottom w:val="single" w:color="000000" w:sz="4" w:space="0"/>
              <w:right w:val="single" w:color="000000" w:sz="4" w:space="0"/>
            </w:tcBorders>
            <w:vAlign w:val="center"/>
          </w:tcPr>
          <w:p w14:paraId="3CE7C374">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bdr w:val="single" w:color="000000" w:sz="4" w:space="0"/>
                <w:lang w:eastAsia="zh-CN" w:bidi="ar"/>
              </w:rPr>
              <w:drawing>
                <wp:anchor distT="0" distB="0" distL="114300" distR="114300" simplePos="0" relativeHeight="251664384" behindDoc="0" locked="0" layoutInCell="1" allowOverlap="1">
                  <wp:simplePos x="0" y="0"/>
                  <wp:positionH relativeFrom="column">
                    <wp:posOffset>33655</wp:posOffset>
                  </wp:positionH>
                  <wp:positionV relativeFrom="paragraph">
                    <wp:posOffset>1956435</wp:posOffset>
                  </wp:positionV>
                  <wp:extent cx="1501140" cy="1493520"/>
                  <wp:effectExtent l="0" t="0" r="3810" b="11430"/>
                  <wp:wrapNone/>
                  <wp:docPr id="30" name="图片_9"/>
                  <wp:cNvGraphicFramePr/>
                  <a:graphic xmlns:a="http://schemas.openxmlformats.org/drawingml/2006/main">
                    <a:graphicData uri="http://schemas.openxmlformats.org/drawingml/2006/picture">
                      <pic:pic xmlns:pic="http://schemas.openxmlformats.org/drawingml/2006/picture">
                        <pic:nvPicPr>
                          <pic:cNvPr id="30" name="图片_9"/>
                          <pic:cNvPicPr/>
                        </pic:nvPicPr>
                        <pic:blipFill>
                          <a:blip r:embed="rId9"/>
                          <a:stretch>
                            <a:fillRect/>
                          </a:stretch>
                        </pic:blipFill>
                        <pic:spPr>
                          <a:xfrm>
                            <a:off x="0" y="0"/>
                            <a:ext cx="1501140" cy="149352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tcPr>
          <w:p w14:paraId="2EC3C5F6">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床中梯：中梯正面扶手（即床位连接杆）为20mm*40mm*1.2mm方管，拉手采用φ19mm*1.0mm厚优质圆管弯曲而成。中梯下边合理设计四层储物柜，板材均采用17mm厚ENF级实木多层板制作，板露边处选用同色PVC加热熔胶封边，做到平整，不炝边、受热受冻不会脱胶开裂，中梯背板选用≥7mm厚ENF级环保双饰面实木多层板，双面平整度好制作，带优质门链及拉手，便于学生放置物品，使用下翻式开门，踏板为规格500mm*220mm*≥厚25mm，采用优质ENF级实木多层板制作。</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10、床桓：采用≥1.0mm优质冷轧钢板一次成型工艺，成型尺寸39*30闭合管，材料厚度≥1.2mm；每根承重力≥280kg，整体床铺横梁数量≥5根，间隙≤400mm。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11、床后拉杆：采用30mm*60mm方管，材料厚度≥1.2mm。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12、床板：根据实际尺寸制作，杉木板要双面抛光，用手抚摸无毛刺，干燥、无腐烂的、新原木材质。不得多于8块拼接，床板背面采用30×30mm木托方4条。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13、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tcBorders>
              <w:top w:val="single" w:color="000000" w:sz="4" w:space="0"/>
              <w:left w:val="single" w:color="000000" w:sz="4" w:space="0"/>
              <w:bottom w:val="single" w:color="000000" w:sz="4" w:space="0"/>
              <w:right w:val="single" w:color="000000" w:sz="4" w:space="0"/>
            </w:tcBorders>
            <w:vAlign w:val="center"/>
          </w:tcPr>
          <w:p w14:paraId="6265D205">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4550*900*2200/2900(mm)（整体规格允许正负偏差10mm）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7585B3C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2套</w:t>
            </w:r>
          </w:p>
        </w:tc>
      </w:tr>
      <w:tr w14:paraId="429DE7FB">
        <w:tblPrEx>
          <w:tblCellMar>
            <w:top w:w="0" w:type="dxa"/>
            <w:left w:w="108" w:type="dxa"/>
            <w:bottom w:w="0" w:type="dxa"/>
            <w:right w:w="108" w:type="dxa"/>
          </w:tblCellMar>
        </w:tblPrEx>
        <w:trPr>
          <w:trHeight w:val="352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78060EB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6B90E2A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7C8BF4E7">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6432" behindDoc="0" locked="0" layoutInCell="1" allowOverlap="1">
                  <wp:simplePos x="0" y="0"/>
                  <wp:positionH relativeFrom="column">
                    <wp:posOffset>230505</wp:posOffset>
                  </wp:positionH>
                  <wp:positionV relativeFrom="paragraph">
                    <wp:posOffset>139065</wp:posOffset>
                  </wp:positionV>
                  <wp:extent cx="1344930" cy="1958975"/>
                  <wp:effectExtent l="0" t="0" r="7620" b="3175"/>
                  <wp:wrapNone/>
                  <wp:docPr id="32" name="图片_5"/>
                  <wp:cNvGraphicFramePr/>
                  <a:graphic xmlns:a="http://schemas.openxmlformats.org/drawingml/2006/main">
                    <a:graphicData uri="http://schemas.openxmlformats.org/drawingml/2006/picture">
                      <pic:pic xmlns:pic="http://schemas.openxmlformats.org/drawingml/2006/picture">
                        <pic:nvPicPr>
                          <pic:cNvPr id="32" name="图片_5"/>
                          <pic:cNvPicPr/>
                        </pic:nvPicPr>
                        <pic:blipFill>
                          <a:blip r:embed="rId10"/>
                          <a:stretch>
                            <a:fillRect/>
                          </a:stretch>
                        </pic:blipFill>
                        <pic:spPr>
                          <a:xfrm>
                            <a:off x="0" y="0"/>
                            <a:ext cx="1344930" cy="195897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1941ECB4">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 xml:space="preserve">） </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2.靠背板：规格为宽410mm*高245mm。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采用优质PP塑料材料吹塑一次成型，表面防滑设计，造型符合人体工程学，坐靠舒适，吹塑坐背板与铁架吻合，椅坐背板使用螺栓固定。配件使用增强塑料，耐寒耐磨，背板有扶手口，易于搬动，靠背与坐板材料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架：座板支撑采用椭圆钢管15mm*30mm*1.2mm（厚），上椅腿采用椭圆钢管20mm*40mm*1.2mm（厚），下椅腿采用椭圆钢管30mm*50mm*1.2mm（厚），椅脚两端配置高强度增强塑料脚套，螺丝固定，以防脱落。后脚套尺寸：≥217mm*90mm*35mm，增大受力面防止椅子后到。两椅腿间设有横档，横档采用椭圆钢管，尺寸为30mm*50mm*1.2mm（厚）焊接。焊接部位应牢固，应无脱焊、虚焊、焊穿，焊缝均匀、应无毛刺、锐棱、飞溅、裂纹等缺陷。</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061A9F4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3165B9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6张</w:t>
            </w:r>
          </w:p>
        </w:tc>
      </w:tr>
      <w:tr w14:paraId="63DF071D">
        <w:tblPrEx>
          <w:tblCellMar>
            <w:top w:w="0" w:type="dxa"/>
            <w:left w:w="108" w:type="dxa"/>
            <w:bottom w:w="0" w:type="dxa"/>
            <w:right w:w="108" w:type="dxa"/>
          </w:tblCellMar>
        </w:tblPrEx>
        <w:trPr>
          <w:trHeight w:val="334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128C02DC">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w:t>
            </w:r>
          </w:p>
        </w:tc>
        <w:tc>
          <w:tcPr>
            <w:tcW w:w="239" w:type="pct"/>
            <w:tcBorders>
              <w:top w:val="single" w:color="000000" w:sz="4" w:space="0"/>
              <w:left w:val="single" w:color="000000" w:sz="4" w:space="0"/>
              <w:bottom w:val="single" w:color="000000" w:sz="4" w:space="0"/>
              <w:right w:val="single" w:color="000000" w:sz="4" w:space="0"/>
            </w:tcBorders>
            <w:vAlign w:val="center"/>
          </w:tcPr>
          <w:p w14:paraId="7F4E62C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三人组合桌</w:t>
            </w:r>
          </w:p>
        </w:tc>
        <w:tc>
          <w:tcPr>
            <w:tcW w:w="978" w:type="pct"/>
            <w:tcBorders>
              <w:top w:val="single" w:color="000000" w:sz="4" w:space="0"/>
              <w:left w:val="single" w:color="000000" w:sz="4" w:space="0"/>
              <w:bottom w:val="single" w:color="000000" w:sz="4" w:space="0"/>
              <w:right w:val="single" w:color="000000" w:sz="4" w:space="0"/>
            </w:tcBorders>
            <w:vAlign w:val="center"/>
          </w:tcPr>
          <w:p w14:paraId="46E857D3">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0288" behindDoc="0" locked="0" layoutInCell="1" allowOverlap="1">
                  <wp:simplePos x="0" y="0"/>
                  <wp:positionH relativeFrom="column">
                    <wp:posOffset>136525</wp:posOffset>
                  </wp:positionH>
                  <wp:positionV relativeFrom="paragraph">
                    <wp:posOffset>135890</wp:posOffset>
                  </wp:positionV>
                  <wp:extent cx="1457960" cy="1685925"/>
                  <wp:effectExtent l="0" t="0" r="8890" b="9525"/>
                  <wp:wrapNone/>
                  <wp:docPr id="26" name="图片_10"/>
                  <wp:cNvGraphicFramePr/>
                  <a:graphic xmlns:a="http://schemas.openxmlformats.org/drawingml/2006/main">
                    <a:graphicData uri="http://schemas.openxmlformats.org/drawingml/2006/picture">
                      <pic:pic xmlns:pic="http://schemas.openxmlformats.org/drawingml/2006/picture">
                        <pic:nvPicPr>
                          <pic:cNvPr id="26" name="图片_10"/>
                          <pic:cNvPicPr/>
                        </pic:nvPicPr>
                        <pic:blipFill>
                          <a:blip r:embed="rId11"/>
                          <a:stretch>
                            <a:fillRect/>
                          </a:stretch>
                        </pic:blipFill>
                        <pic:spPr>
                          <a:xfrm>
                            <a:off x="0" y="0"/>
                            <a:ext cx="1457960" cy="168592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3434B8A9">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1、基材：台面板采用≥25mm厚优质 ENF 级实木多层板，桌体采用≥15mm厚优质 ENF 级实木多层板，背板采用≥7mm厚ENF级实木多层板，所有板材为优质 ENF 级实木多层板，均经过防虫、抗菌防霉化学处理，强度高、刚性好、不变形、比重合理；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3、封边：采用PVC封边条，厚度≥1.2mm，所有板材均四周封边，防止潮湿空气进入，保证台面永不变形，封边牢固平直、无缺口、毛刺自然；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4、脚架：采用碳素钢管40mm*40mm，材料厚度≥1.2mm。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5、五金件：采用五金配件，缓冲导轨，缓冲铰链，三合一连接件，整体五金配件紧密拼接，线条均匀，转角过渡自然，间隙细小且均等，经防锈处理。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6、结构设计：整体分学习区及储物区；书桌上方3组双开掩门柜，桌面下方配置三个抽屉，柜门及抽面均带挂锁锁片，柜门侧带优质铝合金拉手。</w:t>
            </w:r>
          </w:p>
        </w:tc>
        <w:tc>
          <w:tcPr>
            <w:tcW w:w="701" w:type="pct"/>
            <w:tcBorders>
              <w:top w:val="single" w:color="000000" w:sz="4" w:space="0"/>
              <w:left w:val="single" w:color="000000" w:sz="4" w:space="0"/>
              <w:bottom w:val="single" w:color="000000" w:sz="4" w:space="0"/>
              <w:right w:val="single" w:color="000000" w:sz="4" w:space="0"/>
            </w:tcBorders>
            <w:vAlign w:val="center"/>
          </w:tcPr>
          <w:p w14:paraId="5C253D61">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1840*600*1780（±5mm）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0549F63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2个</w:t>
            </w:r>
          </w:p>
        </w:tc>
      </w:tr>
      <w:tr w14:paraId="76B2D759">
        <w:tblPrEx>
          <w:tblCellMar>
            <w:top w:w="0" w:type="dxa"/>
            <w:left w:w="108" w:type="dxa"/>
            <w:bottom w:w="0" w:type="dxa"/>
            <w:right w:w="108" w:type="dxa"/>
          </w:tblCellMar>
        </w:tblPrEx>
        <w:trPr>
          <w:trHeight w:val="360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62F5F81B">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w:t>
            </w:r>
          </w:p>
        </w:tc>
        <w:tc>
          <w:tcPr>
            <w:tcW w:w="239" w:type="pct"/>
            <w:tcBorders>
              <w:top w:val="single" w:color="000000" w:sz="4" w:space="0"/>
              <w:left w:val="single" w:color="000000" w:sz="4" w:space="0"/>
              <w:bottom w:val="single" w:color="000000" w:sz="4" w:space="0"/>
              <w:right w:val="single" w:color="000000" w:sz="4" w:space="0"/>
            </w:tcBorders>
            <w:vAlign w:val="center"/>
          </w:tcPr>
          <w:p w14:paraId="39DB68C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储物柜</w:t>
            </w:r>
          </w:p>
        </w:tc>
        <w:tc>
          <w:tcPr>
            <w:tcW w:w="978" w:type="pct"/>
            <w:tcBorders>
              <w:top w:val="single" w:color="000000" w:sz="4" w:space="0"/>
              <w:left w:val="single" w:color="000000" w:sz="4" w:space="0"/>
              <w:bottom w:val="single" w:color="000000" w:sz="4" w:space="0"/>
              <w:right w:val="single" w:color="000000" w:sz="4" w:space="0"/>
            </w:tcBorders>
            <w:vAlign w:val="center"/>
          </w:tcPr>
          <w:p w14:paraId="4D2A98D7">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4624" behindDoc="0" locked="0" layoutInCell="1" allowOverlap="1">
                  <wp:simplePos x="0" y="0"/>
                  <wp:positionH relativeFrom="column">
                    <wp:posOffset>860425</wp:posOffset>
                  </wp:positionH>
                  <wp:positionV relativeFrom="paragraph">
                    <wp:posOffset>36830</wp:posOffset>
                  </wp:positionV>
                  <wp:extent cx="732790" cy="1983740"/>
                  <wp:effectExtent l="0" t="0" r="10160" b="16510"/>
                  <wp:wrapNone/>
                  <wp:docPr id="62" name="图片_6"/>
                  <wp:cNvGraphicFramePr/>
                  <a:graphic xmlns:a="http://schemas.openxmlformats.org/drawingml/2006/main">
                    <a:graphicData uri="http://schemas.openxmlformats.org/drawingml/2006/picture">
                      <pic:pic xmlns:pic="http://schemas.openxmlformats.org/drawingml/2006/picture">
                        <pic:nvPicPr>
                          <pic:cNvPr id="62" name="图片_6"/>
                          <pic:cNvPicPr/>
                        </pic:nvPicPr>
                        <pic:blipFill>
                          <a:blip r:embed="rId12"/>
                          <a:stretch>
                            <a:fillRect/>
                          </a:stretch>
                        </pic:blipFill>
                        <pic:spPr>
                          <a:xfrm>
                            <a:off x="0" y="0"/>
                            <a:ext cx="732790" cy="198374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75CB4907">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1、基材：柜体采用≥17mm厚ENF级实木多层板，背板采用≥7mm厚ENF级实木多层板，所有板材均经过防虫、抗菌防霉化学处理，强度高、刚性好、不变形、比重合理；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4、五金件：采用五金配件，缓冲铰链、不锈钢挂衣杆、拉手、三合一连接件，整体五金配件紧密拼接，线条均匀，转角过渡自然，间隙细小且均等，经防锈处理.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5、结构设计：整体分三层挂衣区，挂衣区内置一根不锈钢挂衣杆用于挂放衣物，柜门带挂锁锁片，开门方式为单门单向侧开，门侧带条型拉手，底部设置回形防潮钢架，采用20mm*20mm矩形管焊接制作。</w:t>
            </w:r>
          </w:p>
        </w:tc>
        <w:tc>
          <w:tcPr>
            <w:tcW w:w="701" w:type="pct"/>
            <w:tcBorders>
              <w:top w:val="single" w:color="000000" w:sz="4" w:space="0"/>
              <w:left w:val="single" w:color="000000" w:sz="4" w:space="0"/>
              <w:bottom w:val="single" w:color="000000" w:sz="4" w:space="0"/>
              <w:right w:val="single" w:color="000000" w:sz="4" w:space="0"/>
            </w:tcBorders>
            <w:vAlign w:val="center"/>
          </w:tcPr>
          <w:p w14:paraId="111E15B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450*600*2000（±5mm）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6BE3EDC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2个</w:t>
            </w:r>
          </w:p>
        </w:tc>
      </w:tr>
      <w:tr w14:paraId="7402A938">
        <w:tblPrEx>
          <w:tblCellMar>
            <w:top w:w="0" w:type="dxa"/>
            <w:left w:w="108" w:type="dxa"/>
            <w:bottom w:w="0" w:type="dxa"/>
            <w:right w:w="108" w:type="dxa"/>
          </w:tblCellMar>
        </w:tblPrEx>
        <w:trPr>
          <w:trHeight w:val="64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2DAC9D26">
            <w:pPr>
              <w:jc w:val="center"/>
              <w:textAlignment w:val="center"/>
              <w:rPr>
                <w:rFonts w:hint="eastAsia" w:ascii="宋体" w:hAnsi="宋体" w:eastAsia="宋体" w:cs="宋体"/>
                <w:b/>
                <w:bCs/>
                <w:sz w:val="18"/>
                <w:szCs w:val="18"/>
                <w:lang w:eastAsia="zh-CN"/>
              </w:rPr>
            </w:pPr>
            <w:bookmarkStart w:id="1" w:name="auto_fouce_21"/>
            <w:r>
              <w:rPr>
                <w:rFonts w:hint="eastAsia" w:ascii="宋体" w:hAnsi="宋体" w:eastAsia="宋体" w:cs="宋体"/>
                <w:b/>
                <w:bCs/>
                <w:sz w:val="18"/>
                <w:szCs w:val="18"/>
                <w:lang w:eastAsia="zh-CN" w:bidi="ar"/>
              </w:rPr>
              <w:t>方志敏大道校区14号学生公寓（99间）</w:t>
            </w:r>
            <w:bookmarkEnd w:id="1"/>
          </w:p>
        </w:tc>
      </w:tr>
      <w:tr w14:paraId="1116CA66">
        <w:tblPrEx>
          <w:tblCellMar>
            <w:top w:w="0" w:type="dxa"/>
            <w:left w:w="108" w:type="dxa"/>
            <w:bottom w:w="0" w:type="dxa"/>
            <w:right w:w="108" w:type="dxa"/>
          </w:tblCellMar>
        </w:tblPrEx>
        <w:trPr>
          <w:trHeight w:val="738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7F9954D">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tcBorders>
              <w:top w:val="single" w:color="000000" w:sz="4" w:space="0"/>
              <w:left w:val="single" w:color="000000" w:sz="4" w:space="0"/>
              <w:bottom w:val="single" w:color="000000" w:sz="4" w:space="0"/>
              <w:right w:val="single" w:color="000000" w:sz="4" w:space="0"/>
            </w:tcBorders>
            <w:vAlign w:val="center"/>
          </w:tcPr>
          <w:p w14:paraId="6404D2BE">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两连体四人位学生公寓钢木连体床（含床板、爬梯、蚊帐杆）</w:t>
            </w:r>
          </w:p>
        </w:tc>
        <w:tc>
          <w:tcPr>
            <w:tcW w:w="978" w:type="pct"/>
            <w:tcBorders>
              <w:top w:val="single" w:color="000000" w:sz="4" w:space="0"/>
              <w:left w:val="single" w:color="000000" w:sz="4" w:space="0"/>
              <w:bottom w:val="single" w:color="000000" w:sz="4" w:space="0"/>
              <w:right w:val="single" w:color="000000" w:sz="4" w:space="0"/>
            </w:tcBorders>
            <w:vAlign w:val="center"/>
          </w:tcPr>
          <w:p w14:paraId="499FD51E">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bdr w:val="single" w:color="000000" w:sz="4" w:space="0"/>
                <w:lang w:eastAsia="zh-CN" w:bidi="ar"/>
              </w:rPr>
              <w:drawing>
                <wp:anchor distT="0" distB="0" distL="114300" distR="114300" simplePos="0" relativeHeight="251679744" behindDoc="0" locked="0" layoutInCell="1" allowOverlap="1">
                  <wp:simplePos x="0" y="0"/>
                  <wp:positionH relativeFrom="column">
                    <wp:posOffset>58420</wp:posOffset>
                  </wp:positionH>
                  <wp:positionV relativeFrom="paragraph">
                    <wp:posOffset>1543685</wp:posOffset>
                  </wp:positionV>
                  <wp:extent cx="1432560" cy="1741170"/>
                  <wp:effectExtent l="0" t="0" r="15240" b="11430"/>
                  <wp:wrapNone/>
                  <wp:docPr id="67" name="图片_3"/>
                  <wp:cNvGraphicFramePr/>
                  <a:graphic xmlns:a="http://schemas.openxmlformats.org/drawingml/2006/main">
                    <a:graphicData uri="http://schemas.openxmlformats.org/drawingml/2006/picture">
                      <pic:pic xmlns:pic="http://schemas.openxmlformats.org/drawingml/2006/picture">
                        <pic:nvPicPr>
                          <pic:cNvPr id="67" name="图片_3"/>
                          <pic:cNvPicPr/>
                        </pic:nvPicPr>
                        <pic:blipFill>
                          <a:blip r:embed="rId13"/>
                          <a:stretch>
                            <a:fillRect/>
                          </a:stretch>
                        </pic:blipFill>
                        <pic:spPr>
                          <a:xfrm>
                            <a:off x="0" y="0"/>
                            <a:ext cx="1432560" cy="174117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tcPr>
          <w:p w14:paraId="5E375ED1">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床爬梯：采用20mm*40mm*1.2mm优质方管，踏板长400×最宽处90mm（最窄处68mm）*厚25mm（靠内侧15mm厚）*壁厚度1.5mm，左右脚踏位置各镶嵌一块箭头荧光条，四周应有模具冲压成型的防滑凸纹，踏步靠外一侧镶嵌一条荧光条（以起到夜间学生识别踏步位置，保证夜间上下楼梯的安全），踏板经模具冲压成型，爬梯与上长横梁采用螺丝连接，床爬梯脚下与床中立柱连接固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10、床桓：采用≥1.0mm优质冷轧钢板一次成型工艺，成型尺寸39*30闭合管，材料厚度≥1.2mm；每根承重力≥280kg，整体床铺横梁数量≥5根，间隙≤400mm。                                                        11、床后拉杆：采用30mm*60mm方管，材料厚度≥1.2mm。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12、床板：根据实际尺寸制作，杉木板要双面抛光，用手抚摸无毛刺，干燥、无腐烂的、新原木材质。不得多于8块拼接，床板背面采用30×30mm木托方4条。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13、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tcBorders>
              <w:top w:val="single" w:color="000000" w:sz="4" w:space="0"/>
              <w:left w:val="single" w:color="000000" w:sz="4" w:space="0"/>
              <w:bottom w:val="single" w:color="000000" w:sz="4" w:space="0"/>
              <w:right w:val="single" w:color="000000" w:sz="4" w:space="0"/>
            </w:tcBorders>
            <w:vAlign w:val="center"/>
          </w:tcPr>
          <w:p w14:paraId="66924E67">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3800*900*2200/2900(mm)（整体规格允许正负偏差10mm）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0B7D236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99套</w:t>
            </w:r>
          </w:p>
        </w:tc>
      </w:tr>
      <w:tr w14:paraId="4595807C">
        <w:tblPrEx>
          <w:tblCellMar>
            <w:top w:w="0" w:type="dxa"/>
            <w:left w:w="108" w:type="dxa"/>
            <w:bottom w:w="0" w:type="dxa"/>
            <w:right w:w="108" w:type="dxa"/>
          </w:tblCellMar>
        </w:tblPrEx>
        <w:trPr>
          <w:trHeight w:val="3275"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546AC48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25597B3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3A90883C">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80768" behindDoc="0" locked="0" layoutInCell="1" allowOverlap="1">
                  <wp:simplePos x="0" y="0"/>
                  <wp:positionH relativeFrom="column">
                    <wp:posOffset>36195</wp:posOffset>
                  </wp:positionH>
                  <wp:positionV relativeFrom="paragraph">
                    <wp:posOffset>164465</wp:posOffset>
                  </wp:positionV>
                  <wp:extent cx="1391285" cy="1814195"/>
                  <wp:effectExtent l="0" t="0" r="18415" b="14605"/>
                  <wp:wrapNone/>
                  <wp:docPr id="68" name="图片_4"/>
                  <wp:cNvGraphicFramePr/>
                  <a:graphic xmlns:a="http://schemas.openxmlformats.org/drawingml/2006/main">
                    <a:graphicData uri="http://schemas.openxmlformats.org/drawingml/2006/picture">
                      <pic:pic xmlns:pic="http://schemas.openxmlformats.org/drawingml/2006/picture">
                        <pic:nvPicPr>
                          <pic:cNvPr id="68" name="图片_4"/>
                          <pic:cNvPicPr/>
                        </pic:nvPicPr>
                        <pic:blipFill>
                          <a:blip r:embed="rId14"/>
                          <a:stretch>
                            <a:fillRect/>
                          </a:stretch>
                        </pic:blipFill>
                        <pic:spPr>
                          <a:xfrm>
                            <a:off x="0" y="0"/>
                            <a:ext cx="1391285" cy="181419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6C2A1905">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椅子脚采用截面：≥（长50mm*宽25mm*厚1.5mm）厚椭圆钢管折弯成型，*整体呈C型结构。全部钢管都用液压一次抽芯成型，富有流线感。钢管焊接处采用二氧化碳保护焊接工艺，焊接需要达到满焊要求，焊接表面波纹均匀，焊接处无夹渣、气孔、焊瘤，焊丝咬边和飞溅，无脱焊、虚焊和焊空的现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坐背板：选全新PP材料，用吹塑模具中空吹塑一次成型，颜色为灰白色。表面有防滑设计，造型符合人体工程学，坐靠舒适。坐板采用PP中空吹塑一次注塑成型外形尺寸坐板:≥(宽410mmx深465mm)(宽深±3mm)，靠背板采用 PP中空吹塑一次注塑成型外形尺寸≥(长460mmx高320mm)(长高±3 mm),（坐板、背板允许±5mm）。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47E53037">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4B4F178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396张</w:t>
            </w:r>
          </w:p>
        </w:tc>
      </w:tr>
      <w:tr w14:paraId="6F3D7364">
        <w:tblPrEx>
          <w:tblCellMar>
            <w:top w:w="0" w:type="dxa"/>
            <w:left w:w="108" w:type="dxa"/>
            <w:bottom w:w="0" w:type="dxa"/>
            <w:right w:w="108" w:type="dxa"/>
          </w:tblCellMar>
        </w:tblPrEx>
        <w:trPr>
          <w:trHeight w:val="3235"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51F52D9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w:t>
            </w:r>
          </w:p>
        </w:tc>
        <w:tc>
          <w:tcPr>
            <w:tcW w:w="239" w:type="pct"/>
            <w:tcBorders>
              <w:top w:val="single" w:color="000000" w:sz="4" w:space="0"/>
              <w:left w:val="single" w:color="000000" w:sz="4" w:space="0"/>
              <w:bottom w:val="single" w:color="000000" w:sz="4" w:space="0"/>
              <w:right w:val="single" w:color="000000" w:sz="4" w:space="0"/>
            </w:tcBorders>
            <w:vAlign w:val="center"/>
          </w:tcPr>
          <w:p w14:paraId="218ADEB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学习桌</w:t>
            </w:r>
          </w:p>
        </w:tc>
        <w:tc>
          <w:tcPr>
            <w:tcW w:w="978" w:type="pct"/>
            <w:tcBorders>
              <w:top w:val="single" w:color="000000" w:sz="4" w:space="0"/>
              <w:left w:val="single" w:color="000000" w:sz="4" w:space="0"/>
              <w:bottom w:val="single" w:color="000000" w:sz="4" w:space="0"/>
              <w:right w:val="single" w:color="000000" w:sz="4" w:space="0"/>
            </w:tcBorders>
            <w:vAlign w:val="center"/>
          </w:tcPr>
          <w:p w14:paraId="2953BA98">
            <w:pPr>
              <w:jc w:val="center"/>
              <w:textAlignment w:val="center"/>
              <w:rPr>
                <w:rFonts w:hint="eastAsia" w:ascii="宋体" w:hAnsi="宋体" w:eastAsia="宋体" w:cs="宋体"/>
                <w:b/>
                <w:bCs/>
                <w:sz w:val="18"/>
                <w:szCs w:val="18"/>
              </w:rPr>
            </w:pPr>
            <w:r>
              <w:rPr>
                <w:rFonts w:hint="eastAsia" w:ascii="宋体" w:hAnsi="宋体" w:eastAsia="宋体" w:cs="宋体"/>
                <w:b/>
                <w:bCs/>
                <w:sz w:val="18"/>
                <w:szCs w:val="18"/>
                <w:bdr w:val="single" w:color="000000" w:sz="4" w:space="0"/>
                <w:lang w:eastAsia="zh-CN" w:bidi="ar"/>
              </w:rPr>
              <w:drawing>
                <wp:anchor distT="0" distB="0" distL="114300" distR="114300" simplePos="0" relativeHeight="251678720" behindDoc="0" locked="0" layoutInCell="1" allowOverlap="1">
                  <wp:simplePos x="0" y="0"/>
                  <wp:positionH relativeFrom="column">
                    <wp:posOffset>57150</wp:posOffset>
                  </wp:positionH>
                  <wp:positionV relativeFrom="paragraph">
                    <wp:posOffset>179705</wp:posOffset>
                  </wp:positionV>
                  <wp:extent cx="1485900" cy="1684020"/>
                  <wp:effectExtent l="0" t="0" r="0" b="11430"/>
                  <wp:wrapNone/>
                  <wp:docPr id="66" name="图片_2_SpCnt_1"/>
                  <wp:cNvGraphicFramePr/>
                  <a:graphic xmlns:a="http://schemas.openxmlformats.org/drawingml/2006/main">
                    <a:graphicData uri="http://schemas.openxmlformats.org/drawingml/2006/picture">
                      <pic:pic xmlns:pic="http://schemas.openxmlformats.org/drawingml/2006/picture">
                        <pic:nvPicPr>
                          <pic:cNvPr id="66" name="图片_2_SpCnt_1"/>
                          <pic:cNvPicPr/>
                        </pic:nvPicPr>
                        <pic:blipFill>
                          <a:blip r:embed="rId15"/>
                          <a:stretch>
                            <a:fillRect/>
                          </a:stretch>
                        </pic:blipFill>
                        <pic:spPr>
                          <a:xfrm>
                            <a:off x="0" y="0"/>
                            <a:ext cx="1485900" cy="168402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5E8E9E93">
            <w:pPr>
              <w:jc w:val="both"/>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1.整体尺寸：长 2400mm*高 1800mm*深 600mm。➡️由衣柜，书架，桌面板，铁架组合而成。</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2.材质要求：桌面板：选用≥25mm 厚优质 ENF 级实木多层板。板露边</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处选用同色 1.0mmPVC 加热溶胶同色封边，做到平整，不炝边、</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受热受冻不会脱胶开裂，所用板材具备防水、防火、永不褪色等</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特点。桌架采用采用碳素钢管40mm*40mm*1.2mm.桌架尺寸：1200mm*600mm*590mm,桌架下方设有踏脚板。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3.其它板材：选用 17mm 厚 ENF级实木多层板。板露边处选用同色</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1.0mmPVC 加热溶胶同色封边，做到平整，不炝边、受热受冻不会 脱胶开裂，所用板材具备防水、防火、永不褪色等特点。（材料厚度不允许负偏离）</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4.背板：选用 5mm 厚实木多层板。（材料厚度不允许负偏离）</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5.拉手：拉手为优质铝合金拉手。</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6.配件：所有五金件采用优质材料制作，抽屉采用三节优质轧道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且抽拉顺滑、流畅。锁具为单片式挂锁锁扣。</w:t>
            </w:r>
          </w:p>
        </w:tc>
        <w:tc>
          <w:tcPr>
            <w:tcW w:w="701" w:type="pct"/>
            <w:tcBorders>
              <w:top w:val="single" w:color="000000" w:sz="4" w:space="0"/>
              <w:left w:val="single" w:color="000000" w:sz="4" w:space="0"/>
              <w:bottom w:val="single" w:color="000000" w:sz="4" w:space="0"/>
              <w:right w:val="single" w:color="000000" w:sz="4" w:space="0"/>
            </w:tcBorders>
            <w:vAlign w:val="center"/>
          </w:tcPr>
          <w:p w14:paraId="730BB69E">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 xml:space="preserve"> 2400mm* 600mm* 1800mm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20EB065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99个</w:t>
            </w:r>
          </w:p>
        </w:tc>
      </w:tr>
      <w:tr w14:paraId="05018310">
        <w:tblPrEx>
          <w:tblCellMar>
            <w:top w:w="0" w:type="dxa"/>
            <w:left w:w="108" w:type="dxa"/>
            <w:bottom w:w="0" w:type="dxa"/>
            <w:right w:w="108" w:type="dxa"/>
          </w:tblCellMar>
        </w:tblPrEx>
        <w:trPr>
          <w:trHeight w:val="56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4E040058">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庐山中大道校区4栋学生公寓常规宿舍（30间）</w:t>
            </w:r>
          </w:p>
        </w:tc>
      </w:tr>
      <w:tr w14:paraId="3F8BF130">
        <w:tblPrEx>
          <w:tblCellMar>
            <w:top w:w="0" w:type="dxa"/>
            <w:left w:w="108" w:type="dxa"/>
            <w:bottom w:w="0" w:type="dxa"/>
            <w:right w:w="108" w:type="dxa"/>
          </w:tblCellMar>
        </w:tblPrEx>
        <w:trPr>
          <w:trHeight w:val="2740" w:hRule="atLeast"/>
        </w:trPr>
        <w:tc>
          <w:tcPr>
            <w:tcW w:w="138" w:type="pct"/>
            <w:vMerge w:val="restart"/>
            <w:tcBorders>
              <w:top w:val="single" w:color="000000" w:sz="4" w:space="0"/>
              <w:left w:val="single" w:color="000000" w:sz="4" w:space="0"/>
              <w:bottom w:val="single" w:color="000000" w:sz="4" w:space="0"/>
              <w:right w:val="single" w:color="000000" w:sz="4" w:space="0"/>
            </w:tcBorders>
            <w:vAlign w:val="center"/>
          </w:tcPr>
          <w:p w14:paraId="551F5105">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vMerge w:val="restart"/>
            <w:tcBorders>
              <w:top w:val="single" w:color="000000" w:sz="4" w:space="0"/>
              <w:left w:val="single" w:color="000000" w:sz="4" w:space="0"/>
              <w:bottom w:val="single" w:color="000000" w:sz="4" w:space="0"/>
              <w:right w:val="single" w:color="000000" w:sz="4" w:space="0"/>
            </w:tcBorders>
            <w:vAlign w:val="center"/>
          </w:tcPr>
          <w:p w14:paraId="0C4E2D67">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两连体三人位学生公寓钢木连体床（含床板、中梯、蚊帐杆）</w:t>
            </w: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575A764A">
            <w:pPr>
              <w:jc w:val="right"/>
              <w:textAlignment w:val="center"/>
              <w:rPr>
                <w:rFonts w:hint="eastAsia" w:ascii="宋体" w:hAnsi="宋体" w:eastAsia="宋体" w:cs="宋体"/>
                <w:sz w:val="18"/>
                <w:szCs w:val="18"/>
                <w:lang w:eastAsia="zh-CN"/>
              </w:rPr>
            </w:pPr>
            <w:r>
              <w:rPr>
                <w:rFonts w:hint="eastAsia" w:ascii="宋体" w:hAnsi="宋体" w:eastAsia="宋体" w:cs="宋体"/>
                <w:sz w:val="18"/>
                <w:szCs w:val="18"/>
                <w:bdr w:val="single" w:color="000000" w:sz="4" w:space="0"/>
                <w:lang w:eastAsia="zh-CN" w:bidi="ar"/>
              </w:rPr>
              <w:drawing>
                <wp:anchor distT="0" distB="0" distL="114300" distR="114300" simplePos="0" relativeHeight="251671552" behindDoc="0" locked="0" layoutInCell="1" allowOverlap="1">
                  <wp:simplePos x="0" y="0"/>
                  <wp:positionH relativeFrom="column">
                    <wp:posOffset>13970</wp:posOffset>
                  </wp:positionH>
                  <wp:positionV relativeFrom="paragraph">
                    <wp:posOffset>1435735</wp:posOffset>
                  </wp:positionV>
                  <wp:extent cx="1472565" cy="2077720"/>
                  <wp:effectExtent l="0" t="0" r="13335" b="17780"/>
                  <wp:wrapNone/>
                  <wp:docPr id="59" name="图片_23"/>
                  <wp:cNvGraphicFramePr/>
                  <a:graphic xmlns:a="http://schemas.openxmlformats.org/drawingml/2006/main">
                    <a:graphicData uri="http://schemas.openxmlformats.org/drawingml/2006/picture">
                      <pic:pic xmlns:pic="http://schemas.openxmlformats.org/drawingml/2006/picture">
                        <pic:nvPicPr>
                          <pic:cNvPr id="59" name="图片_23"/>
                          <pic:cNvPicPr/>
                        </pic:nvPicPr>
                        <pic:blipFill>
                          <a:blip r:embed="rId16"/>
                          <a:stretch>
                            <a:fillRect/>
                          </a:stretch>
                        </pic:blipFill>
                        <pic:spPr>
                          <a:xfrm>
                            <a:off x="0" y="0"/>
                            <a:ext cx="1472565" cy="2077720"/>
                          </a:xfrm>
                          <a:prstGeom prst="rect">
                            <a:avLst/>
                          </a:prstGeom>
                          <a:noFill/>
                          <a:ln>
                            <a:noFill/>
                          </a:ln>
                        </pic:spPr>
                      </pic:pic>
                    </a:graphicData>
                  </a:graphic>
                </wp:anchor>
              </w:drawing>
            </w:r>
          </w:p>
        </w:tc>
        <w:tc>
          <w:tcPr>
            <w:tcW w:w="2727" w:type="pct"/>
            <w:vMerge w:val="restart"/>
            <w:tcBorders>
              <w:top w:val="single" w:color="000000" w:sz="4" w:space="0"/>
              <w:left w:val="single" w:color="000000" w:sz="4" w:space="0"/>
              <w:bottom w:val="single" w:color="000000" w:sz="4" w:space="0"/>
              <w:right w:val="single" w:color="000000" w:sz="4" w:space="0"/>
            </w:tcBorders>
          </w:tcPr>
          <w:p w14:paraId="4F384293">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床中梯：中梯正面扶手（即床位连接杆）为20mm*40mm*1.2mm方管，拉手采用φ19mm*1.0mm厚优质圆管弯曲而成。中梯下边合理设计四层储物柜，板材均采用17mm厚ENF级实木多层板制作，板露边处选用同色PVC加热熔胶封边，做到平整，不炝边、受热受冻不会脱胶开裂，中梯背板选用≥7mm厚ENF级环保双饰面实木多层板，双面平整度好制作，带优质门链及拉手，便于学生放置物品，使用下翻式开门，踏板为规格500mm*220mm*≥厚25mm，采用优质ENF级实木多层板制作。</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10、床桓：采用≥1.0mm优质冷轧钢板一次成型工艺，成型尺寸39*30闭合管，材料厚度≥1.2mm；每根承重力≥280kg，整体床铺横梁数量≥5根，间隙≤400mm。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11、床后拉杆：采用30mm*60mm方管，材料厚度≥1.2mm。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12、床板：根据实际尺寸制作，杉木板要双面抛光，用手抚摸无毛刺，干燥、无腐烂的、新原木材质。不得多于8块拼接，床板背面采用30×30mm木托方4条。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13、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vMerge w:val="restart"/>
            <w:tcBorders>
              <w:top w:val="single" w:color="000000" w:sz="4" w:space="0"/>
              <w:left w:val="single" w:color="000000" w:sz="4" w:space="0"/>
              <w:bottom w:val="single" w:color="000000" w:sz="4" w:space="0"/>
              <w:right w:val="single" w:color="000000" w:sz="4" w:space="0"/>
            </w:tcBorders>
            <w:vAlign w:val="center"/>
          </w:tcPr>
          <w:p w14:paraId="368247C6">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4600*900*2200/2900(mm)（整体规格允许正负偏差10mm）</w:t>
            </w:r>
          </w:p>
        </w:tc>
        <w:tc>
          <w:tcPr>
            <w:tcW w:w="214" w:type="pct"/>
            <w:vMerge w:val="restart"/>
            <w:tcBorders>
              <w:top w:val="single" w:color="000000" w:sz="4" w:space="0"/>
              <w:left w:val="single" w:color="000000" w:sz="4" w:space="0"/>
              <w:bottom w:val="single" w:color="000000" w:sz="4" w:space="0"/>
              <w:right w:val="single" w:color="000000" w:sz="4" w:space="0"/>
            </w:tcBorders>
            <w:noWrap/>
            <w:vAlign w:val="center"/>
          </w:tcPr>
          <w:p w14:paraId="510E8177">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60套</w:t>
            </w:r>
          </w:p>
        </w:tc>
      </w:tr>
      <w:tr w14:paraId="0A0F144E">
        <w:tblPrEx>
          <w:tblCellMar>
            <w:top w:w="0" w:type="dxa"/>
            <w:left w:w="108" w:type="dxa"/>
            <w:bottom w:w="0" w:type="dxa"/>
            <w:right w:w="108" w:type="dxa"/>
          </w:tblCellMar>
        </w:tblPrEx>
        <w:trPr>
          <w:trHeight w:val="312" w:hRule="atLeast"/>
        </w:trPr>
        <w:tc>
          <w:tcPr>
            <w:tcW w:w="138" w:type="pct"/>
            <w:vMerge w:val="continue"/>
            <w:tcBorders>
              <w:top w:val="single" w:color="000000" w:sz="4" w:space="0"/>
              <w:left w:val="single" w:color="000000" w:sz="4" w:space="0"/>
              <w:bottom w:val="single" w:color="000000" w:sz="4" w:space="0"/>
              <w:right w:val="single" w:color="000000" w:sz="4" w:space="0"/>
            </w:tcBorders>
            <w:vAlign w:val="center"/>
          </w:tcPr>
          <w:p w14:paraId="097E2B99">
            <w:pPr>
              <w:jc w:val="center"/>
              <w:rPr>
                <w:rFonts w:hint="eastAsia" w:ascii="宋体" w:hAnsi="宋体" w:eastAsia="宋体" w:cs="宋体"/>
                <w:sz w:val="18"/>
                <w:szCs w:val="18"/>
              </w:rPr>
            </w:pPr>
          </w:p>
        </w:tc>
        <w:tc>
          <w:tcPr>
            <w:tcW w:w="239" w:type="pct"/>
            <w:vMerge w:val="continue"/>
            <w:tcBorders>
              <w:top w:val="single" w:color="000000" w:sz="4" w:space="0"/>
              <w:left w:val="single" w:color="000000" w:sz="4" w:space="0"/>
              <w:bottom w:val="single" w:color="000000" w:sz="4" w:space="0"/>
              <w:right w:val="single" w:color="000000" w:sz="4" w:space="0"/>
            </w:tcBorders>
            <w:vAlign w:val="center"/>
          </w:tcPr>
          <w:p w14:paraId="626BB5B5">
            <w:pPr>
              <w:jc w:val="center"/>
              <w:rPr>
                <w:rFonts w:hint="eastAsia" w:ascii="宋体" w:hAnsi="宋体" w:eastAsia="宋体" w:cs="宋体"/>
                <w:sz w:val="18"/>
                <w:szCs w:val="18"/>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5F20DFD">
            <w:pPr>
              <w:jc w:val="right"/>
              <w:rPr>
                <w:rFonts w:hint="eastAsia" w:ascii="宋体" w:hAnsi="宋体" w:eastAsia="宋体" w:cs="宋体"/>
                <w:sz w:val="18"/>
                <w:szCs w:val="18"/>
              </w:rPr>
            </w:pPr>
          </w:p>
        </w:tc>
        <w:tc>
          <w:tcPr>
            <w:tcW w:w="2727" w:type="pct"/>
            <w:vMerge w:val="continue"/>
            <w:tcBorders>
              <w:top w:val="single" w:color="000000" w:sz="4" w:space="0"/>
              <w:left w:val="single" w:color="000000" w:sz="4" w:space="0"/>
              <w:bottom w:val="single" w:color="000000" w:sz="4" w:space="0"/>
              <w:right w:val="single" w:color="000000" w:sz="4" w:space="0"/>
            </w:tcBorders>
          </w:tcPr>
          <w:p w14:paraId="510ECFA5">
            <w:pPr>
              <w:rPr>
                <w:rFonts w:hint="eastAsia" w:ascii="宋体" w:hAnsi="宋体" w:eastAsia="宋体" w:cs="宋体"/>
                <w:sz w:val="18"/>
                <w:szCs w:val="18"/>
              </w:rPr>
            </w:pPr>
          </w:p>
        </w:tc>
        <w:tc>
          <w:tcPr>
            <w:tcW w:w="701" w:type="pct"/>
            <w:vMerge w:val="continue"/>
            <w:tcBorders>
              <w:top w:val="single" w:color="000000" w:sz="4" w:space="0"/>
              <w:left w:val="single" w:color="000000" w:sz="4" w:space="0"/>
              <w:bottom w:val="single" w:color="000000" w:sz="4" w:space="0"/>
              <w:right w:val="single" w:color="000000" w:sz="4" w:space="0"/>
            </w:tcBorders>
            <w:vAlign w:val="center"/>
          </w:tcPr>
          <w:p w14:paraId="613DA83E">
            <w:pPr>
              <w:jc w:val="center"/>
              <w:rPr>
                <w:rFonts w:hint="eastAsia" w:ascii="宋体" w:hAnsi="宋体" w:eastAsia="宋体" w:cs="宋体"/>
                <w:sz w:val="18"/>
                <w:szCs w:val="18"/>
              </w:rPr>
            </w:pPr>
          </w:p>
        </w:tc>
        <w:tc>
          <w:tcPr>
            <w:tcW w:w="214" w:type="pct"/>
            <w:vMerge w:val="continue"/>
            <w:tcBorders>
              <w:top w:val="single" w:color="000000" w:sz="4" w:space="0"/>
              <w:left w:val="single" w:color="000000" w:sz="4" w:space="0"/>
              <w:bottom w:val="single" w:color="000000" w:sz="4" w:space="0"/>
              <w:right w:val="single" w:color="000000" w:sz="4" w:space="0"/>
            </w:tcBorders>
            <w:noWrap/>
            <w:vAlign w:val="center"/>
          </w:tcPr>
          <w:p w14:paraId="74D0976E">
            <w:pPr>
              <w:jc w:val="center"/>
              <w:rPr>
                <w:rFonts w:hint="eastAsia" w:ascii="宋体" w:hAnsi="宋体" w:eastAsia="宋体" w:cs="宋体"/>
                <w:sz w:val="18"/>
                <w:szCs w:val="18"/>
              </w:rPr>
            </w:pPr>
          </w:p>
        </w:tc>
      </w:tr>
      <w:tr w14:paraId="3A26F786">
        <w:tblPrEx>
          <w:tblCellMar>
            <w:top w:w="0" w:type="dxa"/>
            <w:left w:w="108" w:type="dxa"/>
            <w:bottom w:w="0" w:type="dxa"/>
            <w:right w:w="108" w:type="dxa"/>
          </w:tblCellMar>
        </w:tblPrEx>
        <w:trPr>
          <w:trHeight w:val="263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600333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2B37943E">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储物柜1</w:t>
            </w:r>
          </w:p>
        </w:tc>
        <w:tc>
          <w:tcPr>
            <w:tcW w:w="978" w:type="pct"/>
            <w:tcBorders>
              <w:top w:val="single" w:color="000000" w:sz="4" w:space="0"/>
              <w:left w:val="single" w:color="000000" w:sz="4" w:space="0"/>
              <w:bottom w:val="single" w:color="000000" w:sz="4" w:space="0"/>
              <w:right w:val="single" w:color="000000" w:sz="4" w:space="0"/>
            </w:tcBorders>
            <w:vAlign w:val="center"/>
          </w:tcPr>
          <w:p w14:paraId="614DB318">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7696" behindDoc="0" locked="0" layoutInCell="1" allowOverlap="1">
                  <wp:simplePos x="0" y="0"/>
                  <wp:positionH relativeFrom="column">
                    <wp:posOffset>207010</wp:posOffset>
                  </wp:positionH>
                  <wp:positionV relativeFrom="paragraph">
                    <wp:posOffset>10160</wp:posOffset>
                  </wp:positionV>
                  <wp:extent cx="897255" cy="1626870"/>
                  <wp:effectExtent l="0" t="0" r="17145" b="11430"/>
                  <wp:wrapNone/>
                  <wp:docPr id="65" name="图片_16"/>
                  <wp:cNvGraphicFramePr/>
                  <a:graphic xmlns:a="http://schemas.openxmlformats.org/drawingml/2006/main">
                    <a:graphicData uri="http://schemas.openxmlformats.org/drawingml/2006/picture">
                      <pic:pic xmlns:pic="http://schemas.openxmlformats.org/drawingml/2006/picture">
                        <pic:nvPicPr>
                          <pic:cNvPr id="65" name="图片_16"/>
                          <pic:cNvPicPr/>
                        </pic:nvPicPr>
                        <pic:blipFill>
                          <a:blip r:embed="rId17"/>
                          <a:stretch>
                            <a:fillRect/>
                          </a:stretch>
                        </pic:blipFill>
                        <pic:spPr>
                          <a:xfrm>
                            <a:off x="0" y="0"/>
                            <a:ext cx="897255" cy="162687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40736088">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1、基材：柜体采用≥17mm厚ENF级实木多层板，背板采用≥7mm厚ENF级实木多层板，所有板材均经过防虫、抗菌防霉化学处理，强度高、刚性好、不变形、比重合理；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4、五金件：采用五金配件，缓冲铰链、不锈钢挂衣杆、拉手、三合一连接件，整体五金配件紧密拼接，线条均匀，转角过渡自然，间隙细小且均等，经防锈处理.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5、结构设计：整体均分4个储物区；储物区内置一根不锈钢挂衣杆用于挂放衣物，柜门带挂锁锁片，开门方式为单门单向侧开，门侧带条型拉手，底部设置回形防潮钢架，采用20mm*20mm矩形管焊接制作。</w:t>
            </w:r>
          </w:p>
        </w:tc>
        <w:tc>
          <w:tcPr>
            <w:tcW w:w="701" w:type="pct"/>
            <w:tcBorders>
              <w:top w:val="single" w:color="000000" w:sz="4" w:space="0"/>
              <w:left w:val="single" w:color="000000" w:sz="4" w:space="0"/>
              <w:bottom w:val="single" w:color="000000" w:sz="4" w:space="0"/>
              <w:right w:val="single" w:color="000000" w:sz="4" w:space="0"/>
            </w:tcBorders>
            <w:vAlign w:val="center"/>
          </w:tcPr>
          <w:p w14:paraId="4F13226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940*600*2000（±5mm）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6B1538A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30个</w:t>
            </w:r>
          </w:p>
        </w:tc>
      </w:tr>
      <w:tr w14:paraId="5279C704">
        <w:tblPrEx>
          <w:tblCellMar>
            <w:top w:w="0" w:type="dxa"/>
            <w:left w:w="108" w:type="dxa"/>
            <w:bottom w:w="0" w:type="dxa"/>
            <w:right w:w="108" w:type="dxa"/>
          </w:tblCellMar>
        </w:tblPrEx>
        <w:trPr>
          <w:trHeight w:val="257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1565822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38D7A043">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储物柜2</w:t>
            </w:r>
          </w:p>
        </w:tc>
        <w:tc>
          <w:tcPr>
            <w:tcW w:w="978" w:type="pct"/>
            <w:tcBorders>
              <w:top w:val="single" w:color="000000" w:sz="4" w:space="0"/>
              <w:left w:val="single" w:color="000000" w:sz="4" w:space="0"/>
              <w:bottom w:val="single" w:color="000000" w:sz="4" w:space="0"/>
              <w:right w:val="single" w:color="000000" w:sz="4" w:space="0"/>
            </w:tcBorders>
            <w:vAlign w:val="center"/>
          </w:tcPr>
          <w:p w14:paraId="0C0CD88C">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81792" behindDoc="0" locked="0" layoutInCell="1" allowOverlap="1">
                  <wp:simplePos x="0" y="0"/>
                  <wp:positionH relativeFrom="column">
                    <wp:posOffset>92710</wp:posOffset>
                  </wp:positionH>
                  <wp:positionV relativeFrom="paragraph">
                    <wp:posOffset>29210</wp:posOffset>
                  </wp:positionV>
                  <wp:extent cx="1137285" cy="1552575"/>
                  <wp:effectExtent l="0" t="0" r="5715" b="9525"/>
                  <wp:wrapNone/>
                  <wp:docPr id="69" name="图片_21"/>
                  <wp:cNvGraphicFramePr/>
                  <a:graphic xmlns:a="http://schemas.openxmlformats.org/drawingml/2006/main">
                    <a:graphicData uri="http://schemas.openxmlformats.org/drawingml/2006/picture">
                      <pic:pic xmlns:pic="http://schemas.openxmlformats.org/drawingml/2006/picture">
                        <pic:nvPicPr>
                          <pic:cNvPr id="69" name="图片_21"/>
                          <pic:cNvPicPr/>
                        </pic:nvPicPr>
                        <pic:blipFill>
                          <a:blip r:embed="rId18"/>
                          <a:stretch>
                            <a:fillRect/>
                          </a:stretch>
                        </pic:blipFill>
                        <pic:spPr>
                          <a:xfrm>
                            <a:off x="0" y="0"/>
                            <a:ext cx="1137285" cy="155257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1F8F84B6">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1、基材：柜体采用≥17mm厚ENF级实木多层板，背板采用≥7mm厚ENF级实木多层板，所有板材均经过防虫、抗菌防霉化学处理，强度高、刚性好、不变形、比重合理；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4、五金件：采用五金配件，缓冲铰链、不锈钢挂衣杆、拉手、三合一连接件，整体五金配件紧密拼接，线条均匀，转角过渡自然，间隙细小且均等，经防锈处理.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5、结构设计：整体均分8个储物区；储物区内置一根不锈钢挂衣杆用于挂放衣物，柜门带挂锁锁片，开门方式为单门单向侧开，门侧带条型拉手，底部设置回形防潮钢架，采用20mm*20mm矩形管焊接制作。</w:t>
            </w:r>
          </w:p>
        </w:tc>
        <w:tc>
          <w:tcPr>
            <w:tcW w:w="701" w:type="pct"/>
            <w:tcBorders>
              <w:top w:val="single" w:color="000000" w:sz="4" w:space="0"/>
              <w:left w:val="single" w:color="000000" w:sz="4" w:space="0"/>
              <w:bottom w:val="single" w:color="000000" w:sz="4" w:space="0"/>
              <w:right w:val="single" w:color="000000" w:sz="4" w:space="0"/>
            </w:tcBorders>
            <w:vAlign w:val="center"/>
          </w:tcPr>
          <w:p w14:paraId="558740F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1880*600*2000（±5mm）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256479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30个</w:t>
            </w:r>
          </w:p>
        </w:tc>
      </w:tr>
      <w:tr w14:paraId="3FCE8CB0">
        <w:tblPrEx>
          <w:tblCellMar>
            <w:top w:w="0" w:type="dxa"/>
            <w:left w:w="108" w:type="dxa"/>
            <w:bottom w:w="0" w:type="dxa"/>
            <w:right w:w="108" w:type="dxa"/>
          </w:tblCellMar>
        </w:tblPrEx>
        <w:trPr>
          <w:trHeight w:val="290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4E3A08F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w:t>
            </w:r>
          </w:p>
        </w:tc>
        <w:tc>
          <w:tcPr>
            <w:tcW w:w="239" w:type="pct"/>
            <w:tcBorders>
              <w:top w:val="single" w:color="000000" w:sz="4" w:space="0"/>
              <w:left w:val="single" w:color="000000" w:sz="4" w:space="0"/>
              <w:bottom w:val="single" w:color="000000" w:sz="4" w:space="0"/>
              <w:right w:val="single" w:color="000000" w:sz="4" w:space="0"/>
            </w:tcBorders>
            <w:vAlign w:val="center"/>
          </w:tcPr>
          <w:p w14:paraId="5ECF5025">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1683043F">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2576" behindDoc="0" locked="0" layoutInCell="1" allowOverlap="1">
                  <wp:simplePos x="0" y="0"/>
                  <wp:positionH relativeFrom="column">
                    <wp:posOffset>553720</wp:posOffset>
                  </wp:positionH>
                  <wp:positionV relativeFrom="paragraph">
                    <wp:posOffset>171450</wp:posOffset>
                  </wp:positionV>
                  <wp:extent cx="983615" cy="1463675"/>
                  <wp:effectExtent l="0" t="0" r="6985" b="3175"/>
                  <wp:wrapNone/>
                  <wp:docPr id="60" name="图片_12"/>
                  <wp:cNvGraphicFramePr/>
                  <a:graphic xmlns:a="http://schemas.openxmlformats.org/drawingml/2006/main">
                    <a:graphicData uri="http://schemas.openxmlformats.org/drawingml/2006/picture">
                      <pic:pic xmlns:pic="http://schemas.openxmlformats.org/drawingml/2006/picture">
                        <pic:nvPicPr>
                          <pic:cNvPr id="60" name="图片_12"/>
                          <pic:cNvPicPr/>
                        </pic:nvPicPr>
                        <pic:blipFill>
                          <a:blip r:embed="rId19"/>
                          <a:stretch>
                            <a:fillRect/>
                          </a:stretch>
                        </pic:blipFill>
                        <pic:spPr>
                          <a:xfrm>
                            <a:off x="0" y="0"/>
                            <a:ext cx="983615" cy="146367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13131127">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2.靠背板：规格为宽410mm*高245mm。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采用优质PP塑料材料吹塑一次成型，表面防滑设计，造型符合人体工程学，坐靠舒适，吹塑坐背板与铁架吻合，椅坐背板使用螺栓固定。配件使用增强塑料，耐寒耐磨，背板有扶手口，易于搬动，靠背与坐板材料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架：座板支撑采用椭圆钢管15mm*30mm*1.2mm（厚），上椅腿采用椭圆钢管20mm*40mm*1.2mm（厚），下椅腿采用椭圆钢管30mm*50mm*1.2mm（厚），椅脚两端配置高强度增强塑料脚套，螺丝固定，以防脱落。后脚套尺寸：≥217mm*90mm*35mm，增大受力面防止椅子后到。两椅腿间设有横档，横档采用椭圆钢管，尺寸为30mm*50mm*1.2mm（厚）焊接。焊接部位应牢固，应无脱焊、虚焊、焊穿，焊缝均匀、应无毛刺、锐棱、飞溅、裂纹等缺陷。</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5A1216A0">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12E2E493">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180张</w:t>
            </w:r>
          </w:p>
        </w:tc>
      </w:tr>
      <w:tr w14:paraId="415F1000">
        <w:tblPrEx>
          <w:tblCellMar>
            <w:top w:w="0" w:type="dxa"/>
            <w:left w:w="108" w:type="dxa"/>
            <w:bottom w:w="0" w:type="dxa"/>
            <w:right w:w="108" w:type="dxa"/>
          </w:tblCellMar>
        </w:tblPrEx>
        <w:trPr>
          <w:trHeight w:val="300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2386B4B">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w:t>
            </w:r>
          </w:p>
        </w:tc>
        <w:tc>
          <w:tcPr>
            <w:tcW w:w="239" w:type="pct"/>
            <w:tcBorders>
              <w:top w:val="single" w:color="000000" w:sz="4" w:space="0"/>
              <w:left w:val="single" w:color="000000" w:sz="4" w:space="0"/>
              <w:bottom w:val="single" w:color="000000" w:sz="4" w:space="0"/>
              <w:right w:val="single" w:color="000000" w:sz="4" w:space="0"/>
            </w:tcBorders>
            <w:vAlign w:val="center"/>
          </w:tcPr>
          <w:p w14:paraId="0E966F45">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三人组合桌</w:t>
            </w:r>
          </w:p>
        </w:tc>
        <w:tc>
          <w:tcPr>
            <w:tcW w:w="978" w:type="pct"/>
            <w:tcBorders>
              <w:top w:val="single" w:color="000000" w:sz="4" w:space="0"/>
              <w:left w:val="single" w:color="000000" w:sz="4" w:space="0"/>
              <w:bottom w:val="single" w:color="000000" w:sz="4" w:space="0"/>
              <w:right w:val="single" w:color="000000" w:sz="4" w:space="0"/>
            </w:tcBorders>
            <w:vAlign w:val="center"/>
          </w:tcPr>
          <w:p w14:paraId="6C067B96">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3600" behindDoc="0" locked="0" layoutInCell="1" allowOverlap="1">
                  <wp:simplePos x="0" y="0"/>
                  <wp:positionH relativeFrom="column">
                    <wp:posOffset>186690</wp:posOffset>
                  </wp:positionH>
                  <wp:positionV relativeFrom="paragraph">
                    <wp:posOffset>171450</wp:posOffset>
                  </wp:positionV>
                  <wp:extent cx="1200785" cy="1685925"/>
                  <wp:effectExtent l="0" t="0" r="18415" b="9525"/>
                  <wp:wrapNone/>
                  <wp:docPr id="61" name="图片_15"/>
                  <wp:cNvGraphicFramePr/>
                  <a:graphic xmlns:a="http://schemas.openxmlformats.org/drawingml/2006/main">
                    <a:graphicData uri="http://schemas.openxmlformats.org/drawingml/2006/picture">
                      <pic:pic xmlns:pic="http://schemas.openxmlformats.org/drawingml/2006/picture">
                        <pic:nvPicPr>
                          <pic:cNvPr id="61" name="图片_15"/>
                          <pic:cNvPicPr/>
                        </pic:nvPicPr>
                        <pic:blipFill>
                          <a:blip r:embed="rId11"/>
                          <a:stretch>
                            <a:fillRect/>
                          </a:stretch>
                        </pic:blipFill>
                        <pic:spPr>
                          <a:xfrm>
                            <a:off x="0" y="0"/>
                            <a:ext cx="1200785" cy="168592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2EBB1F92">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1、基材：台面板采用≥25mm厚实木多层板，桌体采用≥15mm厚实木多层板，背板采用≥7mm厚ENF级实木多层板，所有板材均经过防虫、抗菌防霉化学处理，强度高、刚性好、不变形、比重合理；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3、封边：采用PVC封边条，厚度≥1.2mm，所有板材均四周封边，防止潮湿空气进入，保证台面永不变形，封边牢固平直、无缺口、毛刺自然；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4、脚架：采用25mm*25mm中空矩形封闭钢管，材料厚度≥1.2mm。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5、五金件：采用五金配件，缓冲导轨，缓冲铰链，三合一连接件，整体五金配件紧密拼接，线条均匀，转角过渡自然，间隙细小且均等，经防锈处理。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6、结构设计：整体分学习区及储物区；书桌上方3组双开掩门柜，桌面下方配置三个抽屉，柜门及抽面均带挂锁锁片，柜门侧带条型拉手。</w:t>
            </w:r>
          </w:p>
        </w:tc>
        <w:tc>
          <w:tcPr>
            <w:tcW w:w="701" w:type="pct"/>
            <w:tcBorders>
              <w:top w:val="single" w:color="000000" w:sz="4" w:space="0"/>
              <w:left w:val="single" w:color="000000" w:sz="4" w:space="0"/>
              <w:bottom w:val="single" w:color="000000" w:sz="4" w:space="0"/>
              <w:right w:val="single" w:color="000000" w:sz="4" w:space="0"/>
            </w:tcBorders>
            <w:vAlign w:val="center"/>
          </w:tcPr>
          <w:p w14:paraId="57ADBE6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1840*600*1780（±5mm）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99275B1">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60个</w:t>
            </w:r>
          </w:p>
        </w:tc>
      </w:tr>
      <w:tr w14:paraId="27EE9FD7">
        <w:tblPrEx>
          <w:tblCellMar>
            <w:top w:w="0" w:type="dxa"/>
            <w:left w:w="108" w:type="dxa"/>
            <w:bottom w:w="0" w:type="dxa"/>
            <w:right w:w="108" w:type="dxa"/>
          </w:tblCellMar>
        </w:tblPrEx>
        <w:trPr>
          <w:trHeight w:val="44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2168D9E8">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庐山中大道校区4栋学生公寓（111、211、311、411房间，共4间）</w:t>
            </w:r>
          </w:p>
        </w:tc>
      </w:tr>
      <w:tr w14:paraId="184BB4CF">
        <w:tblPrEx>
          <w:tblCellMar>
            <w:top w:w="0" w:type="dxa"/>
            <w:left w:w="108" w:type="dxa"/>
            <w:bottom w:w="0" w:type="dxa"/>
            <w:right w:w="108" w:type="dxa"/>
          </w:tblCellMar>
        </w:tblPrEx>
        <w:trPr>
          <w:trHeight w:val="240" w:hRule="atLeast"/>
        </w:trPr>
        <w:tc>
          <w:tcPr>
            <w:tcW w:w="138" w:type="pct"/>
            <w:vMerge w:val="restart"/>
            <w:tcBorders>
              <w:top w:val="single" w:color="000000" w:sz="4" w:space="0"/>
              <w:left w:val="single" w:color="000000" w:sz="4" w:space="0"/>
              <w:bottom w:val="single" w:color="000000" w:sz="4" w:space="0"/>
              <w:right w:val="single" w:color="000000" w:sz="4" w:space="0"/>
            </w:tcBorders>
            <w:vAlign w:val="center"/>
          </w:tcPr>
          <w:p w14:paraId="1DEAA20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vMerge w:val="restart"/>
            <w:tcBorders>
              <w:top w:val="single" w:color="000000" w:sz="4" w:space="0"/>
              <w:left w:val="single" w:color="000000" w:sz="4" w:space="0"/>
              <w:bottom w:val="single" w:color="000000" w:sz="4" w:space="0"/>
              <w:right w:val="single" w:color="000000" w:sz="4" w:space="0"/>
            </w:tcBorders>
            <w:vAlign w:val="center"/>
          </w:tcPr>
          <w:p w14:paraId="68C2CEE8">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w:t>
            </w:r>
            <w:r>
              <w:rPr>
                <w:rFonts w:hint="eastAsia" w:ascii="宋体" w:hAnsi="宋体" w:eastAsia="宋体" w:cs="宋体"/>
                <w:sz w:val="18"/>
                <w:szCs w:val="18"/>
                <w:bdr w:val="single" w:color="000000" w:sz="4" w:space="0"/>
                <w:lang w:eastAsia="zh-CN" w:bidi="ar"/>
              </w:rPr>
              <w:drawing>
                <wp:anchor distT="0" distB="0" distL="114300" distR="114300" simplePos="0" relativeHeight="251682816" behindDoc="0" locked="0" layoutInCell="1" allowOverlap="1">
                  <wp:simplePos x="0" y="0"/>
                  <wp:positionH relativeFrom="column">
                    <wp:posOffset>441325</wp:posOffset>
                  </wp:positionH>
                  <wp:positionV relativeFrom="paragraph">
                    <wp:posOffset>772160</wp:posOffset>
                  </wp:positionV>
                  <wp:extent cx="1500505" cy="1562100"/>
                  <wp:effectExtent l="0" t="0" r="4445" b="0"/>
                  <wp:wrapNone/>
                  <wp:docPr id="70" name="图片_20"/>
                  <wp:cNvGraphicFramePr/>
                  <a:graphic xmlns:a="http://schemas.openxmlformats.org/drawingml/2006/main">
                    <a:graphicData uri="http://schemas.openxmlformats.org/drawingml/2006/picture">
                      <pic:pic xmlns:pic="http://schemas.openxmlformats.org/drawingml/2006/picture">
                        <pic:nvPicPr>
                          <pic:cNvPr id="70" name="图片_20"/>
                          <pic:cNvPicPr/>
                        </pic:nvPicPr>
                        <pic:blipFill>
                          <a:blip r:embed="rId20"/>
                          <a:stretch>
                            <a:fillRect/>
                          </a:stretch>
                        </pic:blipFill>
                        <pic:spPr>
                          <a:xfrm>
                            <a:off x="0" y="0"/>
                            <a:ext cx="1500505" cy="1562100"/>
                          </a:xfrm>
                          <a:prstGeom prst="rect">
                            <a:avLst/>
                          </a:prstGeom>
                          <a:noFill/>
                          <a:ln>
                            <a:noFill/>
                          </a:ln>
                        </pic:spPr>
                      </pic:pic>
                    </a:graphicData>
                  </a:graphic>
                </wp:anchor>
              </w:drawing>
            </w:r>
            <w:r>
              <w:rPr>
                <w:rFonts w:hint="eastAsia" w:ascii="宋体" w:hAnsi="宋体" w:eastAsia="宋体" w:cs="宋体"/>
                <w:sz w:val="18"/>
                <w:szCs w:val="18"/>
                <w:lang w:eastAsia="zh-CN" w:bidi="ar"/>
              </w:rPr>
              <w:t>体三人位学生公寓钢木连体床（含床板、爬梯、蚊帐杆）</w:t>
            </w: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4DE9EEB6">
            <w:pPr>
              <w:jc w:val="center"/>
              <w:textAlignment w:val="center"/>
              <w:rPr>
                <w:rFonts w:hint="eastAsia" w:ascii="宋体" w:hAnsi="宋体" w:eastAsia="宋体" w:cs="宋体"/>
                <w:sz w:val="18"/>
                <w:szCs w:val="18"/>
                <w:lang w:eastAsia="zh-CN"/>
              </w:rPr>
            </w:pPr>
          </w:p>
        </w:tc>
        <w:tc>
          <w:tcPr>
            <w:tcW w:w="2727" w:type="pct"/>
            <w:vMerge w:val="restart"/>
            <w:tcBorders>
              <w:top w:val="single" w:color="000000" w:sz="4" w:space="0"/>
              <w:left w:val="single" w:color="000000" w:sz="4" w:space="0"/>
              <w:bottom w:val="single" w:color="000000" w:sz="4" w:space="0"/>
              <w:right w:val="single" w:color="000000" w:sz="4" w:space="0"/>
            </w:tcBorders>
          </w:tcPr>
          <w:p w14:paraId="4C105866">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中梯：中梯正面扶手（即床位连接杆）为20mm*40mm*1.2mm方管，拉手采用φ19mm*1.0mm厚优质圆管弯曲而成。中梯下边合理设计四层储物柜，板材均采用17mm厚ENF级实木多层板制作，板露边处选用同色PVC加热熔胶封边，做到平整，不炝边、受热受冻不会脱胶开裂，中梯背板选用≥7mm厚ENF级环保双饰面实木多层板，双面平整度好制作，带优质门链及拉手，便于学生放置物品，使用下翻式开门，踏板为规格500mm*220mm*≥厚25mm，采用优质ENF级实木多层板制作。</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11、床挂件：采用≥1.8mm优质冷轧钢板，立面成型后尺寸为≥26mm*26mm*180mm。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12、床桓：采用≥1.0mm优质冷轧钢板一次成型工艺，成型尺寸39*30闭合管，材料厚度≥1.2mm；每根承重力≥280kg，整体床铺横梁数量≥5根，间隙≤400mm。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14、床后拉杆：采用30mm*60mm方管，材料厚度≥1.2mm。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15、床板：根据实际尺寸制作，杉木板要双面抛光，用手抚摸无毛刺，干燥、无腐烂的、新原木材质。不得多于8块拼接，床板背面采用30×30mm木托方4条。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16、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vMerge w:val="restart"/>
            <w:tcBorders>
              <w:top w:val="single" w:color="000000" w:sz="4" w:space="0"/>
              <w:left w:val="single" w:color="000000" w:sz="4" w:space="0"/>
              <w:bottom w:val="single" w:color="000000" w:sz="4" w:space="0"/>
              <w:right w:val="single" w:color="000000" w:sz="4" w:space="0"/>
            </w:tcBorders>
            <w:vAlign w:val="center"/>
          </w:tcPr>
          <w:p w14:paraId="13750A4E">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4000*900*2200/2900(mm)（整体规格允许正负偏差10mm）</w:t>
            </w:r>
          </w:p>
        </w:tc>
        <w:tc>
          <w:tcPr>
            <w:tcW w:w="214" w:type="pct"/>
            <w:vMerge w:val="restart"/>
            <w:tcBorders>
              <w:top w:val="single" w:color="000000" w:sz="4" w:space="0"/>
              <w:left w:val="single" w:color="000000" w:sz="4" w:space="0"/>
              <w:bottom w:val="single" w:color="000000" w:sz="4" w:space="0"/>
              <w:right w:val="single" w:color="000000" w:sz="4" w:space="0"/>
            </w:tcBorders>
            <w:noWrap/>
            <w:vAlign w:val="center"/>
          </w:tcPr>
          <w:p w14:paraId="03882C7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8套</w:t>
            </w:r>
          </w:p>
        </w:tc>
      </w:tr>
      <w:tr w14:paraId="5217D06E">
        <w:tblPrEx>
          <w:tblCellMar>
            <w:top w:w="0" w:type="dxa"/>
            <w:left w:w="108" w:type="dxa"/>
            <w:bottom w:w="0" w:type="dxa"/>
            <w:right w:w="108" w:type="dxa"/>
          </w:tblCellMar>
        </w:tblPrEx>
        <w:trPr>
          <w:trHeight w:val="7540" w:hRule="atLeast"/>
        </w:trPr>
        <w:tc>
          <w:tcPr>
            <w:tcW w:w="138" w:type="pct"/>
            <w:vMerge w:val="continue"/>
            <w:tcBorders>
              <w:top w:val="single" w:color="000000" w:sz="4" w:space="0"/>
              <w:left w:val="single" w:color="000000" w:sz="4" w:space="0"/>
              <w:bottom w:val="single" w:color="000000" w:sz="4" w:space="0"/>
              <w:right w:val="single" w:color="000000" w:sz="4" w:space="0"/>
            </w:tcBorders>
            <w:vAlign w:val="center"/>
          </w:tcPr>
          <w:p w14:paraId="401D2551">
            <w:pPr>
              <w:jc w:val="center"/>
              <w:rPr>
                <w:rFonts w:hint="eastAsia" w:ascii="宋体" w:hAnsi="宋体" w:eastAsia="宋体" w:cs="宋体"/>
                <w:sz w:val="18"/>
                <w:szCs w:val="18"/>
              </w:rPr>
            </w:pPr>
          </w:p>
        </w:tc>
        <w:tc>
          <w:tcPr>
            <w:tcW w:w="239" w:type="pct"/>
            <w:vMerge w:val="continue"/>
            <w:tcBorders>
              <w:top w:val="single" w:color="000000" w:sz="4" w:space="0"/>
              <w:left w:val="single" w:color="000000" w:sz="4" w:space="0"/>
              <w:bottom w:val="single" w:color="000000" w:sz="4" w:space="0"/>
              <w:right w:val="single" w:color="000000" w:sz="4" w:space="0"/>
            </w:tcBorders>
            <w:vAlign w:val="center"/>
          </w:tcPr>
          <w:p w14:paraId="2841D689">
            <w:pPr>
              <w:jc w:val="center"/>
              <w:rPr>
                <w:rFonts w:hint="eastAsia" w:ascii="宋体" w:hAnsi="宋体" w:eastAsia="宋体" w:cs="宋体"/>
                <w:sz w:val="18"/>
                <w:szCs w:val="18"/>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46E4E45">
            <w:pPr>
              <w:jc w:val="center"/>
              <w:rPr>
                <w:rFonts w:hint="eastAsia" w:ascii="宋体" w:hAnsi="宋体" w:eastAsia="宋体" w:cs="宋体"/>
                <w:sz w:val="18"/>
                <w:szCs w:val="18"/>
              </w:rPr>
            </w:pPr>
          </w:p>
        </w:tc>
        <w:tc>
          <w:tcPr>
            <w:tcW w:w="2727" w:type="pct"/>
            <w:vMerge w:val="continue"/>
            <w:tcBorders>
              <w:top w:val="single" w:color="000000" w:sz="4" w:space="0"/>
              <w:left w:val="single" w:color="000000" w:sz="4" w:space="0"/>
              <w:bottom w:val="single" w:color="000000" w:sz="4" w:space="0"/>
              <w:right w:val="single" w:color="000000" w:sz="4" w:space="0"/>
            </w:tcBorders>
          </w:tcPr>
          <w:p w14:paraId="106A522F">
            <w:pPr>
              <w:rPr>
                <w:rFonts w:hint="eastAsia" w:ascii="宋体" w:hAnsi="宋体" w:eastAsia="宋体" w:cs="宋体"/>
                <w:sz w:val="18"/>
                <w:szCs w:val="18"/>
              </w:rPr>
            </w:pPr>
          </w:p>
        </w:tc>
        <w:tc>
          <w:tcPr>
            <w:tcW w:w="701" w:type="pct"/>
            <w:vMerge w:val="continue"/>
            <w:tcBorders>
              <w:top w:val="single" w:color="000000" w:sz="4" w:space="0"/>
              <w:left w:val="single" w:color="000000" w:sz="4" w:space="0"/>
              <w:bottom w:val="single" w:color="000000" w:sz="4" w:space="0"/>
              <w:right w:val="single" w:color="000000" w:sz="4" w:space="0"/>
            </w:tcBorders>
            <w:vAlign w:val="center"/>
          </w:tcPr>
          <w:p w14:paraId="179B19F6">
            <w:pPr>
              <w:jc w:val="center"/>
              <w:rPr>
                <w:rFonts w:hint="eastAsia" w:ascii="宋体" w:hAnsi="宋体" w:eastAsia="宋体" w:cs="宋体"/>
                <w:sz w:val="18"/>
                <w:szCs w:val="18"/>
              </w:rPr>
            </w:pPr>
          </w:p>
        </w:tc>
        <w:tc>
          <w:tcPr>
            <w:tcW w:w="214" w:type="pct"/>
            <w:vMerge w:val="continue"/>
            <w:tcBorders>
              <w:top w:val="single" w:color="000000" w:sz="4" w:space="0"/>
              <w:left w:val="single" w:color="000000" w:sz="4" w:space="0"/>
              <w:bottom w:val="single" w:color="000000" w:sz="4" w:space="0"/>
              <w:right w:val="single" w:color="000000" w:sz="4" w:space="0"/>
            </w:tcBorders>
            <w:noWrap/>
            <w:vAlign w:val="center"/>
          </w:tcPr>
          <w:p w14:paraId="233DDB05">
            <w:pPr>
              <w:jc w:val="center"/>
              <w:rPr>
                <w:rFonts w:hint="eastAsia" w:ascii="宋体" w:hAnsi="宋体" w:eastAsia="宋体" w:cs="宋体"/>
                <w:sz w:val="18"/>
                <w:szCs w:val="18"/>
              </w:rPr>
            </w:pPr>
          </w:p>
        </w:tc>
      </w:tr>
      <w:tr w14:paraId="472ECAA0">
        <w:tblPrEx>
          <w:tblCellMar>
            <w:top w:w="0" w:type="dxa"/>
            <w:left w:w="108" w:type="dxa"/>
            <w:bottom w:w="0" w:type="dxa"/>
            <w:right w:w="108" w:type="dxa"/>
          </w:tblCellMar>
        </w:tblPrEx>
        <w:trPr>
          <w:trHeight w:val="2855"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371D2F4F">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w:t>
            </w:r>
          </w:p>
        </w:tc>
        <w:tc>
          <w:tcPr>
            <w:tcW w:w="239" w:type="pct"/>
            <w:tcBorders>
              <w:top w:val="single" w:color="000000" w:sz="4" w:space="0"/>
              <w:left w:val="single" w:color="000000" w:sz="4" w:space="0"/>
              <w:bottom w:val="single" w:color="000000" w:sz="4" w:space="0"/>
              <w:right w:val="single" w:color="000000" w:sz="4" w:space="0"/>
            </w:tcBorders>
            <w:vAlign w:val="center"/>
          </w:tcPr>
          <w:p w14:paraId="5B05650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组合桌</w:t>
            </w:r>
          </w:p>
        </w:tc>
        <w:tc>
          <w:tcPr>
            <w:tcW w:w="978" w:type="pct"/>
            <w:tcBorders>
              <w:top w:val="single" w:color="000000" w:sz="4" w:space="0"/>
              <w:left w:val="single" w:color="000000" w:sz="4" w:space="0"/>
              <w:bottom w:val="single" w:color="000000" w:sz="4" w:space="0"/>
              <w:right w:val="single" w:color="000000" w:sz="4" w:space="0"/>
            </w:tcBorders>
            <w:vAlign w:val="center"/>
          </w:tcPr>
          <w:p w14:paraId="6196E314">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5648" behindDoc="0" locked="0" layoutInCell="1" allowOverlap="1">
                  <wp:simplePos x="0" y="0"/>
                  <wp:positionH relativeFrom="column">
                    <wp:posOffset>74930</wp:posOffset>
                  </wp:positionH>
                  <wp:positionV relativeFrom="paragraph">
                    <wp:posOffset>171450</wp:posOffset>
                  </wp:positionV>
                  <wp:extent cx="1404620" cy="1528445"/>
                  <wp:effectExtent l="0" t="0" r="5080" b="14605"/>
                  <wp:wrapNone/>
                  <wp:docPr id="63" name="图片_22"/>
                  <wp:cNvGraphicFramePr/>
                  <a:graphic xmlns:a="http://schemas.openxmlformats.org/drawingml/2006/main">
                    <a:graphicData uri="http://schemas.openxmlformats.org/drawingml/2006/picture">
                      <pic:pic xmlns:pic="http://schemas.openxmlformats.org/drawingml/2006/picture">
                        <pic:nvPicPr>
                          <pic:cNvPr id="63" name="图片_22"/>
                          <pic:cNvPicPr/>
                        </pic:nvPicPr>
                        <pic:blipFill>
                          <a:blip r:embed="rId21"/>
                          <a:stretch>
                            <a:fillRect/>
                          </a:stretch>
                        </pic:blipFill>
                        <pic:spPr>
                          <a:xfrm>
                            <a:off x="0" y="0"/>
                            <a:ext cx="1404620" cy="152844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5AD8C0A0">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1、基材：台面板采用≥25mm厚实木多层板，桌体采用≥15mm厚实木多层板，背板采用≥7mm厚ENF级实木多层板，所有板材均经过防虫、抗菌防霉化学处理，强度高、刚性好、不变形、比重合理；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3、封边：采用PVC封边条，厚度≥1.2mm，所有板材均四周封边，防止潮湿空气进入，保证台面永不变形，封边牢固平直、无缺口、毛刺自然；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4、脚架：采用25mm*25mm中空矩形封闭钢管，材料厚度≥1.2mm。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5、五金件：采用五金配件，缓冲导轨，缓冲铰链，三合一连接件，整体五金配件紧密拼接，线条均匀，转角过渡自然，间隙细小且均等，经防锈处理。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6、结构设计：整体分学习区及储物区；书桌上方为空格书架，桌面下方配置一个抽屉和一个掩门柜，柜门及抽面均带挂锁锁片，柜门侧带条型拉手。</w:t>
            </w:r>
          </w:p>
        </w:tc>
        <w:tc>
          <w:tcPr>
            <w:tcW w:w="701" w:type="pct"/>
            <w:tcBorders>
              <w:top w:val="single" w:color="000000" w:sz="4" w:space="0"/>
              <w:left w:val="single" w:color="000000" w:sz="4" w:space="0"/>
              <w:bottom w:val="single" w:color="000000" w:sz="4" w:space="0"/>
              <w:right w:val="single" w:color="000000" w:sz="4" w:space="0"/>
            </w:tcBorders>
            <w:vAlign w:val="center"/>
          </w:tcPr>
          <w:p w14:paraId="6A982F7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1860*600*1780（±5mm）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27F3AF7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16个</w:t>
            </w:r>
          </w:p>
        </w:tc>
      </w:tr>
      <w:tr w14:paraId="3430A6B2">
        <w:tblPrEx>
          <w:tblCellMar>
            <w:top w:w="0" w:type="dxa"/>
            <w:left w:w="108" w:type="dxa"/>
            <w:bottom w:w="0" w:type="dxa"/>
            <w:right w:w="108" w:type="dxa"/>
          </w:tblCellMar>
        </w:tblPrEx>
        <w:trPr>
          <w:trHeight w:val="2881"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1B4AEF4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0287E08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71D59C4C">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6672" behindDoc="0" locked="0" layoutInCell="1" allowOverlap="1">
                  <wp:simplePos x="0" y="0"/>
                  <wp:positionH relativeFrom="column">
                    <wp:posOffset>506095</wp:posOffset>
                  </wp:positionH>
                  <wp:positionV relativeFrom="paragraph">
                    <wp:posOffset>19050</wp:posOffset>
                  </wp:positionV>
                  <wp:extent cx="993775" cy="1478915"/>
                  <wp:effectExtent l="0" t="0" r="15875" b="6985"/>
                  <wp:wrapNone/>
                  <wp:docPr id="64" name="图片_14"/>
                  <wp:cNvGraphicFramePr/>
                  <a:graphic xmlns:a="http://schemas.openxmlformats.org/drawingml/2006/main">
                    <a:graphicData uri="http://schemas.openxmlformats.org/drawingml/2006/picture">
                      <pic:pic xmlns:pic="http://schemas.openxmlformats.org/drawingml/2006/picture">
                        <pic:nvPicPr>
                          <pic:cNvPr id="64" name="图片_14"/>
                          <pic:cNvPicPr/>
                        </pic:nvPicPr>
                        <pic:blipFill>
                          <a:blip r:embed="rId22"/>
                          <a:stretch>
                            <a:fillRect/>
                          </a:stretch>
                        </pic:blipFill>
                        <pic:spPr>
                          <a:xfrm>
                            <a:off x="0" y="0"/>
                            <a:ext cx="993775" cy="147891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7B478877">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2.靠背板：规格为宽410mm*高245mm。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采用优质PP塑料材料吹塑一次成型，表面防滑设计，造型符合人体工程学，坐靠舒适，吹塑坐背板与铁架吻合，椅坐背板使用螺栓固定。配件使用增强塑料，耐寒耐磨，背板有扶手口，易于搬动，靠背与坐板材料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架：座板支撑采用椭圆钢管15mm*30mm*1.2mm（厚），上椅腿采用椭圆钢管20mm*40mm*1.2mm（厚），下椅腿采用椭圆钢管30mm*50mm*1.2mm（厚），椅脚两端配置高强度增强塑料脚套，螺丝固定，以防脱落。后脚套尺寸：≥217mm*90mm*35mm，增大受力面防止椅子后到。两椅腿间设有横档，横档采用椭圆钢管，尺寸为30mm*50mm*1.2mm（厚）焊接。焊接部位应牢固，应无脱焊、虚焊、焊穿，焊缝均匀、应无毛刺、锐棱、飞溅、裂纹等缺陷。</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4B2AF1B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5EBB5C81">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16张</w:t>
            </w:r>
          </w:p>
        </w:tc>
      </w:tr>
      <w:tr w14:paraId="6C391478">
        <w:tblPrEx>
          <w:tblCellMar>
            <w:top w:w="0" w:type="dxa"/>
            <w:left w:w="108" w:type="dxa"/>
            <w:bottom w:w="0" w:type="dxa"/>
            <w:right w:w="108" w:type="dxa"/>
          </w:tblCellMar>
        </w:tblPrEx>
        <w:trPr>
          <w:trHeight w:val="580" w:hRule="atLeast"/>
        </w:trPr>
        <w:tc>
          <w:tcPr>
            <w:tcW w:w="5000" w:type="pct"/>
            <w:gridSpan w:val="6"/>
            <w:tcBorders>
              <w:top w:val="single" w:color="000000" w:sz="4" w:space="0"/>
              <w:left w:val="single" w:color="000000" w:sz="4" w:space="0"/>
              <w:bottom w:val="single" w:color="000000" w:sz="4" w:space="0"/>
              <w:right w:val="single" w:color="000000" w:sz="4" w:space="0"/>
            </w:tcBorders>
            <w:vAlign w:val="center"/>
          </w:tcPr>
          <w:p w14:paraId="6D4F9C30">
            <w:pPr>
              <w:jc w:val="center"/>
              <w:textAlignment w:val="center"/>
              <w:rPr>
                <w:rFonts w:hint="eastAsia" w:ascii="宋体" w:hAnsi="宋体" w:eastAsia="宋体" w:cs="宋体"/>
                <w:b/>
                <w:bCs/>
                <w:sz w:val="18"/>
                <w:szCs w:val="18"/>
                <w:lang w:eastAsia="zh-CN"/>
              </w:rPr>
            </w:pPr>
            <w:r>
              <w:rPr>
                <w:rFonts w:hint="eastAsia" w:ascii="宋体" w:hAnsi="宋体" w:eastAsia="宋体" w:cs="宋体"/>
                <w:b/>
                <w:bCs/>
                <w:sz w:val="18"/>
                <w:szCs w:val="18"/>
                <w:lang w:eastAsia="zh-CN" w:bidi="ar"/>
              </w:rPr>
              <w:t>庐山中大道校区4栋学生公寓（112、201、212、301、312、401、412房间，共7间）</w:t>
            </w:r>
          </w:p>
        </w:tc>
      </w:tr>
      <w:tr w14:paraId="412F6873">
        <w:tblPrEx>
          <w:tblCellMar>
            <w:top w:w="0" w:type="dxa"/>
            <w:left w:w="108" w:type="dxa"/>
            <w:bottom w:w="0" w:type="dxa"/>
            <w:right w:w="108" w:type="dxa"/>
          </w:tblCellMar>
        </w:tblPrEx>
        <w:trPr>
          <w:trHeight w:val="240" w:hRule="atLeast"/>
        </w:trPr>
        <w:tc>
          <w:tcPr>
            <w:tcW w:w="138" w:type="pct"/>
            <w:vMerge w:val="restart"/>
            <w:tcBorders>
              <w:top w:val="single" w:color="000000" w:sz="4" w:space="0"/>
              <w:left w:val="single" w:color="000000" w:sz="4" w:space="0"/>
              <w:bottom w:val="single" w:color="000000" w:sz="4" w:space="0"/>
              <w:right w:val="single" w:color="000000" w:sz="4" w:space="0"/>
            </w:tcBorders>
            <w:vAlign w:val="center"/>
          </w:tcPr>
          <w:p w14:paraId="0FB6D2C5">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w:t>
            </w:r>
          </w:p>
        </w:tc>
        <w:tc>
          <w:tcPr>
            <w:tcW w:w="239" w:type="pct"/>
            <w:vMerge w:val="restart"/>
            <w:tcBorders>
              <w:top w:val="single" w:color="000000" w:sz="4" w:space="0"/>
              <w:left w:val="single" w:color="000000" w:sz="4" w:space="0"/>
              <w:bottom w:val="single" w:color="000000" w:sz="4" w:space="0"/>
              <w:right w:val="single" w:color="000000" w:sz="4" w:space="0"/>
            </w:tcBorders>
            <w:vAlign w:val="center"/>
          </w:tcPr>
          <w:p w14:paraId="3377B920">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两连</w:t>
            </w:r>
            <w:r>
              <w:rPr>
                <w:rFonts w:hint="eastAsia" w:ascii="宋体" w:hAnsi="宋体" w:eastAsia="宋体" w:cs="宋体"/>
                <w:sz w:val="18"/>
                <w:szCs w:val="18"/>
                <w:bdr w:val="single" w:color="000000" w:sz="4" w:space="0"/>
                <w:lang w:eastAsia="zh-CN" w:bidi="ar"/>
              </w:rPr>
              <w:drawing>
                <wp:anchor distT="0" distB="0" distL="114300" distR="114300" simplePos="0" relativeHeight="251667456" behindDoc="0" locked="0" layoutInCell="1" allowOverlap="1">
                  <wp:simplePos x="0" y="0"/>
                  <wp:positionH relativeFrom="column">
                    <wp:posOffset>400685</wp:posOffset>
                  </wp:positionH>
                  <wp:positionV relativeFrom="paragraph">
                    <wp:posOffset>166370</wp:posOffset>
                  </wp:positionV>
                  <wp:extent cx="1572260" cy="1640205"/>
                  <wp:effectExtent l="0" t="0" r="8890" b="17145"/>
                  <wp:wrapNone/>
                  <wp:docPr id="54" name="图片_17"/>
                  <wp:cNvGraphicFramePr/>
                  <a:graphic xmlns:a="http://schemas.openxmlformats.org/drawingml/2006/main">
                    <a:graphicData uri="http://schemas.openxmlformats.org/drawingml/2006/picture">
                      <pic:pic xmlns:pic="http://schemas.openxmlformats.org/drawingml/2006/picture">
                        <pic:nvPicPr>
                          <pic:cNvPr id="54" name="图片_17"/>
                          <pic:cNvPicPr/>
                        </pic:nvPicPr>
                        <pic:blipFill>
                          <a:blip r:embed="rId23"/>
                          <a:stretch>
                            <a:fillRect/>
                          </a:stretch>
                        </pic:blipFill>
                        <pic:spPr>
                          <a:xfrm>
                            <a:off x="0" y="0"/>
                            <a:ext cx="1572260" cy="1640205"/>
                          </a:xfrm>
                          <a:prstGeom prst="rect">
                            <a:avLst/>
                          </a:prstGeom>
                          <a:noFill/>
                          <a:ln>
                            <a:noFill/>
                          </a:ln>
                        </pic:spPr>
                      </pic:pic>
                    </a:graphicData>
                  </a:graphic>
                </wp:anchor>
              </w:drawing>
            </w:r>
            <w:r>
              <w:rPr>
                <w:rFonts w:hint="eastAsia" w:ascii="宋体" w:hAnsi="宋体" w:eastAsia="宋体" w:cs="宋体"/>
                <w:sz w:val="18"/>
                <w:szCs w:val="18"/>
                <w:lang w:eastAsia="zh-CN" w:bidi="ar"/>
              </w:rPr>
              <w:t>体三人位学生公寓钢木连体床（含床板、爬梯、蚊帐杆）</w:t>
            </w: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2D92BC28">
            <w:pPr>
              <w:jc w:val="center"/>
              <w:textAlignment w:val="center"/>
              <w:rPr>
                <w:rFonts w:hint="eastAsia" w:ascii="宋体" w:hAnsi="宋体" w:eastAsia="宋体" w:cs="宋体"/>
                <w:sz w:val="18"/>
                <w:szCs w:val="18"/>
                <w:lang w:eastAsia="zh-CN"/>
              </w:rPr>
            </w:pPr>
          </w:p>
        </w:tc>
        <w:tc>
          <w:tcPr>
            <w:tcW w:w="2727" w:type="pct"/>
            <w:vMerge w:val="restart"/>
            <w:tcBorders>
              <w:top w:val="single" w:color="000000" w:sz="4" w:space="0"/>
              <w:left w:val="single" w:color="000000" w:sz="4" w:space="0"/>
              <w:bottom w:val="single" w:color="000000" w:sz="4" w:space="0"/>
              <w:right w:val="single" w:color="000000" w:sz="4" w:space="0"/>
            </w:tcBorders>
          </w:tcPr>
          <w:p w14:paraId="7A5F2FC5">
            <w:pPr>
              <w:textAlignment w:val="top"/>
              <w:rPr>
                <w:rFonts w:hint="eastAsia" w:ascii="宋体" w:hAnsi="宋体" w:eastAsia="宋体" w:cs="宋体"/>
                <w:sz w:val="18"/>
                <w:szCs w:val="18"/>
                <w:lang w:eastAsia="zh-CN"/>
              </w:rPr>
            </w:pP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工艺要求：床架为钢木结构，采用卡槽、插接式和螺丝固定组装而成，拆装方便；组装完成后床架应不会摇动，安全且稳定牢靠。所有钢制件均为冷轧钢板经一次成型闭合管材，型材经浸泡式酸洗、磷化处理,符合国家标准,各钢件全部采用二氧化碳保护焊接，焊接表面波纹均匀，并保证焊处无夹渣、气孔、焊瘤、焊丝头咬边和飞溅并保证无脱焊、虚焊、焊穿等现象，以确保产品强度好。所有钢材经除油、除锈、酸洗、中和、表调、磷化等工序后静电喷涂塑粉，经高温固化而成，塑膜的光泽度、附着力、硬度、耐冲力均符合标准，表面波纹均匀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1、床边立柱：采用88mm*88mm经成型工艺焊接一次成型闭合管，材料厚度≥1.2mm，且横截面周长≥360mm。床立柱正面外侧为大弧形，降低磕碰撞伤的风险；带上下一次成型的PP塑料脚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2、床长横梁：采用70mm*30mm经成型工艺焊接一次成型闭合管，材料厚度≥1.2mm，且横截面周长≥260mm。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3、床短横梁：采用60mm*20mm经成型工艺焊接一次成型闭合管，材料厚度≥1.2mm，且横截面周长≥260mm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4、床中立柱：采用85mm*68mm经成型工艺焊接一次成型闭合管，材料厚度≥1.2mm，且横截面周长≥350mm，带上下一次成型的PP塑料脚套。</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床爬梯：采用20mm*40mm*1.2mm优质方管，踏板长400×最宽处90mm（最窄处68mm）*厚25mm（靠内侧15mm厚）*壁厚度1.5mm，左右脚踏位置各镶嵌一块箭头荧光条，四周应有模具冲压成型的防滑凸纹，踏步靠外一侧镶嵌一条荧光条（以起到夜间学生识别踏步位置，保证夜间上下楼梯的安全），踏板经模具冲压成型，爬梯与上长横梁采用螺丝连接，床爬梯脚下与床中立柱连接固定。</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6、床前护栏：护栏上横管采用20mm*30mm D形闭合管，材料厚度≥1.2mm；内嵌≥17mm（ENF 级）实木多层板；</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7、床头护栏：护栏上横管采用20mm*30mm D形闭合管，材料厚度≥1.2mm；内嵌≥17mm（ENF 级）实木多层板，护栏高度≥300mm。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8、床尾护栏（具备上楼梯拉手功能）：采用20mm*20mm方管，材料厚度≥1.2mm。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9、床挂件：采用≥1.8mm优质冷轧钢板，立面成型后尺寸为≥26mm*26mm*180mm。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10、床桓：采用≥1.0mm优质冷轧钢板一次成型工艺，成型尺寸39*30闭合管，材料厚度≥1.2mm；每根承重力≥280kg，整体床铺横梁数量≥5根，间隙≤400mm。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11、床后拉杆：采用30mm*60mm方管，材料厚度≥1.2mm。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12、床板：根据实际尺寸制作，杉木板要双面抛光，用手抚摸无毛刺，干燥、无腐烂的、新原木材质。不得多于8块拼接，床板背面采用30×30mm木托方4条。</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13、蚊帐杆：采用直径≥15mm圆形管或15mm*15mm方管材料厚度≥1.0mm，蚊帐杆插入边立柱的管件内壁，内置滑块与蚊帐杆采用无螺丝连接设计且不能徒手拔出，整体在边立柱内壁上下进行不同高度的调节，蚊帐杆与立柱管件内壁贴合固定，安全稳固。</w:t>
            </w:r>
          </w:p>
        </w:tc>
        <w:tc>
          <w:tcPr>
            <w:tcW w:w="701" w:type="pct"/>
            <w:vMerge w:val="restart"/>
            <w:tcBorders>
              <w:top w:val="single" w:color="000000" w:sz="4" w:space="0"/>
              <w:left w:val="single" w:color="000000" w:sz="4" w:space="0"/>
              <w:bottom w:val="single" w:color="000000" w:sz="4" w:space="0"/>
              <w:right w:val="single" w:color="000000" w:sz="4" w:space="0"/>
            </w:tcBorders>
            <w:vAlign w:val="center"/>
          </w:tcPr>
          <w:p w14:paraId="6C09E641">
            <w:pPr>
              <w:jc w:val="center"/>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4000*900*2200/2900(mm)（整体规格允许正负偏差10mm）</w:t>
            </w:r>
          </w:p>
        </w:tc>
        <w:tc>
          <w:tcPr>
            <w:tcW w:w="214" w:type="pct"/>
            <w:vMerge w:val="restart"/>
            <w:tcBorders>
              <w:top w:val="single" w:color="000000" w:sz="4" w:space="0"/>
              <w:left w:val="single" w:color="000000" w:sz="4" w:space="0"/>
              <w:bottom w:val="single" w:color="000000" w:sz="4" w:space="0"/>
              <w:right w:val="single" w:color="000000" w:sz="4" w:space="0"/>
            </w:tcBorders>
            <w:noWrap/>
            <w:vAlign w:val="center"/>
          </w:tcPr>
          <w:p w14:paraId="73715D5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14套</w:t>
            </w:r>
          </w:p>
        </w:tc>
      </w:tr>
      <w:tr w14:paraId="502B1EAC">
        <w:tblPrEx>
          <w:tblCellMar>
            <w:top w:w="0" w:type="dxa"/>
            <w:left w:w="108" w:type="dxa"/>
            <w:bottom w:w="0" w:type="dxa"/>
            <w:right w:w="108" w:type="dxa"/>
          </w:tblCellMar>
        </w:tblPrEx>
        <w:trPr>
          <w:trHeight w:val="6500" w:hRule="atLeast"/>
        </w:trPr>
        <w:tc>
          <w:tcPr>
            <w:tcW w:w="138" w:type="pct"/>
            <w:vMerge w:val="continue"/>
            <w:tcBorders>
              <w:top w:val="single" w:color="000000" w:sz="4" w:space="0"/>
              <w:left w:val="single" w:color="000000" w:sz="4" w:space="0"/>
              <w:bottom w:val="single" w:color="000000" w:sz="4" w:space="0"/>
              <w:right w:val="single" w:color="000000" w:sz="4" w:space="0"/>
            </w:tcBorders>
            <w:vAlign w:val="center"/>
          </w:tcPr>
          <w:p w14:paraId="3CB31F80">
            <w:pPr>
              <w:jc w:val="center"/>
              <w:rPr>
                <w:rFonts w:hint="eastAsia" w:ascii="宋体" w:hAnsi="宋体" w:eastAsia="宋体" w:cs="宋体"/>
                <w:sz w:val="18"/>
                <w:szCs w:val="18"/>
              </w:rPr>
            </w:pPr>
          </w:p>
        </w:tc>
        <w:tc>
          <w:tcPr>
            <w:tcW w:w="239" w:type="pct"/>
            <w:vMerge w:val="continue"/>
            <w:tcBorders>
              <w:top w:val="single" w:color="000000" w:sz="4" w:space="0"/>
              <w:left w:val="single" w:color="000000" w:sz="4" w:space="0"/>
              <w:bottom w:val="single" w:color="000000" w:sz="4" w:space="0"/>
              <w:right w:val="single" w:color="000000" w:sz="4" w:space="0"/>
            </w:tcBorders>
            <w:vAlign w:val="center"/>
          </w:tcPr>
          <w:p w14:paraId="4DF2534D">
            <w:pPr>
              <w:jc w:val="center"/>
              <w:rPr>
                <w:rFonts w:hint="eastAsia" w:ascii="宋体" w:hAnsi="宋体" w:eastAsia="宋体" w:cs="宋体"/>
                <w:sz w:val="18"/>
                <w:szCs w:val="18"/>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BBD613F">
            <w:pPr>
              <w:jc w:val="center"/>
              <w:rPr>
                <w:rFonts w:hint="eastAsia" w:ascii="宋体" w:hAnsi="宋体" w:eastAsia="宋体" w:cs="宋体"/>
                <w:sz w:val="18"/>
                <w:szCs w:val="18"/>
              </w:rPr>
            </w:pPr>
          </w:p>
        </w:tc>
        <w:tc>
          <w:tcPr>
            <w:tcW w:w="2727" w:type="pct"/>
            <w:vMerge w:val="continue"/>
            <w:tcBorders>
              <w:top w:val="single" w:color="000000" w:sz="4" w:space="0"/>
              <w:left w:val="single" w:color="000000" w:sz="4" w:space="0"/>
              <w:bottom w:val="single" w:color="000000" w:sz="4" w:space="0"/>
              <w:right w:val="single" w:color="000000" w:sz="4" w:space="0"/>
            </w:tcBorders>
          </w:tcPr>
          <w:p w14:paraId="00ED437C">
            <w:pPr>
              <w:rPr>
                <w:rFonts w:hint="eastAsia" w:ascii="宋体" w:hAnsi="宋体" w:eastAsia="宋体" w:cs="宋体"/>
                <w:sz w:val="18"/>
                <w:szCs w:val="18"/>
              </w:rPr>
            </w:pPr>
          </w:p>
        </w:tc>
        <w:tc>
          <w:tcPr>
            <w:tcW w:w="701" w:type="pct"/>
            <w:vMerge w:val="continue"/>
            <w:tcBorders>
              <w:top w:val="single" w:color="000000" w:sz="4" w:space="0"/>
              <w:left w:val="single" w:color="000000" w:sz="4" w:space="0"/>
              <w:bottom w:val="single" w:color="000000" w:sz="4" w:space="0"/>
              <w:right w:val="single" w:color="000000" w:sz="4" w:space="0"/>
            </w:tcBorders>
            <w:vAlign w:val="center"/>
          </w:tcPr>
          <w:p w14:paraId="0E2A3B15">
            <w:pPr>
              <w:jc w:val="center"/>
              <w:rPr>
                <w:rFonts w:hint="eastAsia" w:ascii="宋体" w:hAnsi="宋体" w:eastAsia="宋体" w:cs="宋体"/>
                <w:sz w:val="18"/>
                <w:szCs w:val="18"/>
              </w:rPr>
            </w:pPr>
          </w:p>
        </w:tc>
        <w:tc>
          <w:tcPr>
            <w:tcW w:w="214" w:type="pct"/>
            <w:vMerge w:val="continue"/>
            <w:tcBorders>
              <w:top w:val="single" w:color="000000" w:sz="4" w:space="0"/>
              <w:left w:val="single" w:color="000000" w:sz="4" w:space="0"/>
              <w:bottom w:val="single" w:color="000000" w:sz="4" w:space="0"/>
              <w:right w:val="single" w:color="000000" w:sz="4" w:space="0"/>
            </w:tcBorders>
            <w:noWrap/>
            <w:vAlign w:val="center"/>
          </w:tcPr>
          <w:p w14:paraId="7C07D048">
            <w:pPr>
              <w:jc w:val="center"/>
              <w:rPr>
                <w:rFonts w:hint="eastAsia" w:ascii="宋体" w:hAnsi="宋体" w:eastAsia="宋体" w:cs="宋体"/>
                <w:sz w:val="18"/>
                <w:szCs w:val="18"/>
              </w:rPr>
            </w:pPr>
          </w:p>
        </w:tc>
      </w:tr>
      <w:tr w14:paraId="4A9EE0F0">
        <w:tblPrEx>
          <w:tblCellMar>
            <w:top w:w="0" w:type="dxa"/>
            <w:left w:w="108" w:type="dxa"/>
            <w:bottom w:w="0" w:type="dxa"/>
            <w:right w:w="108" w:type="dxa"/>
          </w:tblCellMar>
        </w:tblPrEx>
        <w:trPr>
          <w:trHeight w:val="322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05ACE261">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2</w:t>
            </w:r>
          </w:p>
        </w:tc>
        <w:tc>
          <w:tcPr>
            <w:tcW w:w="239" w:type="pct"/>
            <w:tcBorders>
              <w:top w:val="single" w:color="000000" w:sz="4" w:space="0"/>
              <w:left w:val="single" w:color="000000" w:sz="4" w:space="0"/>
              <w:bottom w:val="single" w:color="000000" w:sz="4" w:space="0"/>
              <w:right w:val="single" w:color="000000" w:sz="4" w:space="0"/>
            </w:tcBorders>
            <w:vAlign w:val="center"/>
          </w:tcPr>
          <w:p w14:paraId="36D993A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公寓椅</w:t>
            </w:r>
          </w:p>
        </w:tc>
        <w:tc>
          <w:tcPr>
            <w:tcW w:w="978" w:type="pct"/>
            <w:tcBorders>
              <w:top w:val="single" w:color="000000" w:sz="4" w:space="0"/>
              <w:left w:val="single" w:color="000000" w:sz="4" w:space="0"/>
              <w:bottom w:val="single" w:color="000000" w:sz="4" w:space="0"/>
              <w:right w:val="single" w:color="000000" w:sz="4" w:space="0"/>
            </w:tcBorders>
            <w:vAlign w:val="center"/>
          </w:tcPr>
          <w:p w14:paraId="45F29CAA">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8480" behindDoc="0" locked="0" layoutInCell="1" allowOverlap="1">
                  <wp:simplePos x="0" y="0"/>
                  <wp:positionH relativeFrom="column">
                    <wp:posOffset>350520</wp:posOffset>
                  </wp:positionH>
                  <wp:positionV relativeFrom="paragraph">
                    <wp:posOffset>171450</wp:posOffset>
                  </wp:positionV>
                  <wp:extent cx="1191895" cy="1788160"/>
                  <wp:effectExtent l="0" t="0" r="8255" b="2540"/>
                  <wp:wrapNone/>
                  <wp:docPr id="56" name="图片_13"/>
                  <wp:cNvGraphicFramePr/>
                  <a:graphic xmlns:a="http://schemas.openxmlformats.org/drawingml/2006/main">
                    <a:graphicData uri="http://schemas.openxmlformats.org/drawingml/2006/picture">
                      <pic:pic xmlns:pic="http://schemas.openxmlformats.org/drawingml/2006/picture">
                        <pic:nvPicPr>
                          <pic:cNvPr id="56" name="图片_13"/>
                          <pic:cNvPicPr/>
                        </pic:nvPicPr>
                        <pic:blipFill>
                          <a:blip r:embed="rId24"/>
                          <a:stretch>
                            <a:fillRect/>
                          </a:stretch>
                        </pic:blipFill>
                        <pic:spPr>
                          <a:xfrm>
                            <a:off x="0" y="0"/>
                            <a:ext cx="1191895" cy="178816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4446A708">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1、规格：4</w:t>
            </w:r>
            <w:r>
              <w:rPr>
                <w:rFonts w:hint="eastAsia" w:ascii="宋体" w:hAnsi="宋体" w:eastAsia="宋体" w:cs="宋体"/>
                <w:sz w:val="18"/>
                <w:szCs w:val="18"/>
                <w:lang w:val="en-US" w:eastAsia="zh-CN" w:bidi="ar"/>
              </w:rPr>
              <w:t>8</w:t>
            </w:r>
            <w:r>
              <w:rPr>
                <w:rFonts w:hint="eastAsia" w:ascii="宋体" w:hAnsi="宋体" w:eastAsia="宋体" w:cs="宋体"/>
                <w:sz w:val="18"/>
                <w:szCs w:val="18"/>
                <w:lang w:eastAsia="zh-CN" w:bidi="ar"/>
              </w:rPr>
              <w:t>0mm（宽）*</w:t>
            </w:r>
            <w:r>
              <w:rPr>
                <w:rFonts w:hint="eastAsia" w:ascii="宋体" w:hAnsi="宋体" w:eastAsia="宋体" w:cs="宋体"/>
                <w:sz w:val="18"/>
                <w:szCs w:val="18"/>
                <w:lang w:val="en-US" w:eastAsia="zh-CN" w:bidi="ar"/>
              </w:rPr>
              <w:t>5</w:t>
            </w:r>
            <w:r>
              <w:rPr>
                <w:rFonts w:hint="eastAsia" w:ascii="宋体" w:hAnsi="宋体" w:eastAsia="宋体" w:cs="宋体"/>
                <w:sz w:val="18"/>
                <w:szCs w:val="18"/>
                <w:lang w:eastAsia="zh-CN" w:bidi="ar"/>
              </w:rPr>
              <w:t>5</w:t>
            </w:r>
            <w:r>
              <w:rPr>
                <w:rFonts w:hint="eastAsia" w:ascii="宋体" w:hAnsi="宋体" w:eastAsia="宋体" w:cs="宋体"/>
                <w:sz w:val="18"/>
                <w:szCs w:val="18"/>
                <w:lang w:val="en-US" w:eastAsia="zh-CN" w:bidi="ar"/>
              </w:rPr>
              <w:t>0</w:t>
            </w:r>
            <w:r>
              <w:rPr>
                <w:rFonts w:hint="eastAsia" w:ascii="宋体" w:hAnsi="宋体" w:eastAsia="宋体" w:cs="宋体"/>
                <w:sz w:val="18"/>
                <w:szCs w:val="18"/>
                <w:lang w:eastAsia="zh-CN" w:bidi="ar"/>
              </w:rPr>
              <w:t>mm（深）*</w:t>
            </w:r>
            <w:r>
              <w:rPr>
                <w:rFonts w:hint="eastAsia" w:ascii="宋体" w:hAnsi="宋体" w:eastAsia="宋体" w:cs="宋体"/>
                <w:sz w:val="18"/>
                <w:szCs w:val="18"/>
                <w:lang w:val="en-US" w:eastAsia="zh-CN" w:bidi="ar"/>
              </w:rPr>
              <w:t>82</w:t>
            </w:r>
            <w:r>
              <w:rPr>
                <w:rFonts w:hint="eastAsia" w:ascii="宋体" w:hAnsi="宋体" w:eastAsia="宋体" w:cs="宋体"/>
                <w:sz w:val="18"/>
                <w:szCs w:val="18"/>
                <w:lang w:eastAsia="zh-CN" w:bidi="ar"/>
              </w:rPr>
              <w:t>0mm （</w:t>
            </w:r>
            <w:r>
              <w:rPr>
                <w:rFonts w:hint="eastAsia" w:ascii="宋体" w:hAnsi="宋体" w:eastAsia="宋体" w:cs="宋体"/>
                <w:sz w:val="18"/>
                <w:szCs w:val="18"/>
                <w:lang w:val="en-US" w:eastAsia="zh-CN" w:bidi="ar"/>
              </w:rPr>
              <w:t>高</w:t>
            </w:r>
            <w:r>
              <w:rPr>
                <w:rFonts w:hint="eastAsia" w:ascii="宋体" w:hAnsi="宋体" w:eastAsia="宋体" w:cs="宋体"/>
                <w:sz w:val="18"/>
                <w:szCs w:val="18"/>
                <w:lang w:eastAsia="zh-CN" w:bidi="ar"/>
              </w:rPr>
              <w:t>）</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2.靠背板：规格为宽410mm*高245mm。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采用优质PP塑料材料吹塑一次成型，表面防滑设计，造型符合人体工程学，坐靠舒适，吹塑坐背板与铁架吻合，椅坐背板使用螺栓固定。配件使用增强塑料，耐寒耐磨，背板有扶手口，易于搬动，靠背与坐板材料一致；</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椅架：座板支撑采用椭圆钢管15mm*30mm*1.2mm（厚），上椅腿采用椭圆钢管20mm*40mm*1.2mm（厚），下椅腿采用椭圆钢管30mm*50mm*1.2mm（厚），椅脚两端配置高强度增强塑料脚套，螺丝固定，以防脱落。后脚套尺寸：≥217mm*90mm*35mm，增大受力面防止椅子后到。两椅腿间设有横档，横档采用椭圆钢管，尺寸为30mm*50mm*1.2mm（厚）焊接。焊接部位应牢固，应无脱焊、虚焊、焊穿，焊缝均匀、应无毛刺、锐棱、飞溅、裂纹等缺陷。</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4、脚套:椅子脚套配件使用增强固定塑料。耐寒耐磨，经久耐用。各钢件经除锈、酸洗、磷化等工序，经防锈处理，外层采用聚酯环氧粉末采用静电喷塑。</w:t>
            </w:r>
          </w:p>
        </w:tc>
        <w:tc>
          <w:tcPr>
            <w:tcW w:w="701" w:type="pct"/>
            <w:tcBorders>
              <w:top w:val="single" w:color="000000" w:sz="4" w:space="0"/>
              <w:left w:val="single" w:color="000000" w:sz="4" w:space="0"/>
              <w:bottom w:val="single" w:color="000000" w:sz="4" w:space="0"/>
              <w:right w:val="single" w:color="000000" w:sz="4" w:space="0"/>
            </w:tcBorders>
            <w:vAlign w:val="center"/>
          </w:tcPr>
          <w:p w14:paraId="2081F70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480*550*820（±5mm）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768C6F8">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42张</w:t>
            </w:r>
          </w:p>
        </w:tc>
      </w:tr>
      <w:tr w14:paraId="0424D355">
        <w:tblPrEx>
          <w:tblCellMar>
            <w:top w:w="0" w:type="dxa"/>
            <w:left w:w="108" w:type="dxa"/>
            <w:bottom w:w="0" w:type="dxa"/>
            <w:right w:w="108" w:type="dxa"/>
          </w:tblCellMar>
        </w:tblPrEx>
        <w:trPr>
          <w:trHeight w:val="338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7CF46903">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3</w:t>
            </w:r>
          </w:p>
        </w:tc>
        <w:tc>
          <w:tcPr>
            <w:tcW w:w="239" w:type="pct"/>
            <w:tcBorders>
              <w:top w:val="single" w:color="000000" w:sz="4" w:space="0"/>
              <w:left w:val="single" w:color="000000" w:sz="4" w:space="0"/>
              <w:bottom w:val="single" w:color="000000" w:sz="4" w:space="0"/>
              <w:right w:val="single" w:color="000000" w:sz="4" w:space="0"/>
            </w:tcBorders>
            <w:vAlign w:val="center"/>
          </w:tcPr>
          <w:p w14:paraId="6A8F1159">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储物柜</w:t>
            </w:r>
          </w:p>
        </w:tc>
        <w:tc>
          <w:tcPr>
            <w:tcW w:w="978" w:type="pct"/>
            <w:tcBorders>
              <w:top w:val="single" w:color="000000" w:sz="4" w:space="0"/>
              <w:left w:val="single" w:color="000000" w:sz="4" w:space="0"/>
              <w:bottom w:val="single" w:color="000000" w:sz="4" w:space="0"/>
              <w:right w:val="single" w:color="000000" w:sz="4" w:space="0"/>
            </w:tcBorders>
            <w:vAlign w:val="center"/>
          </w:tcPr>
          <w:p w14:paraId="79632511">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69504" behindDoc="0" locked="0" layoutInCell="1" allowOverlap="1">
                  <wp:simplePos x="0" y="0"/>
                  <wp:positionH relativeFrom="column">
                    <wp:posOffset>259715</wp:posOffset>
                  </wp:positionH>
                  <wp:positionV relativeFrom="paragraph">
                    <wp:posOffset>57785</wp:posOffset>
                  </wp:positionV>
                  <wp:extent cx="1319530" cy="2051050"/>
                  <wp:effectExtent l="0" t="0" r="13970" b="6350"/>
                  <wp:wrapNone/>
                  <wp:docPr id="57" name="图片_19"/>
                  <wp:cNvGraphicFramePr/>
                  <a:graphic xmlns:a="http://schemas.openxmlformats.org/drawingml/2006/main">
                    <a:graphicData uri="http://schemas.openxmlformats.org/drawingml/2006/picture">
                      <pic:pic xmlns:pic="http://schemas.openxmlformats.org/drawingml/2006/picture">
                        <pic:nvPicPr>
                          <pic:cNvPr id="57" name="图片_19"/>
                          <pic:cNvPicPr/>
                        </pic:nvPicPr>
                        <pic:blipFill>
                          <a:blip r:embed="rId25"/>
                          <a:stretch>
                            <a:fillRect/>
                          </a:stretch>
                        </pic:blipFill>
                        <pic:spPr>
                          <a:xfrm>
                            <a:off x="0" y="0"/>
                            <a:ext cx="1319530" cy="2051050"/>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741005D2">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1、基材：柜体采用≥17mm厚ENF级实木多层板，背板采用≥7mm厚ENF级实木多层板，所有板材均经过防虫、抗菌防霉化学处理，强度高、刚性好、不变形、比重合理；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4、五金件：采用五金配件，缓冲铰链、不锈钢挂衣杆、拉手、三合一连接件，整体五金配件紧密拼接，线条均匀，转角过渡自然，间隙细小且均等，经防锈处理.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5、结构设计：整体均分六个储物区；储物区内置一根不锈钢挂衣杆用于挂放衣物，柜门带挂锁锁片，开门方式为单门单向侧开，门侧带条型拉手，底部设置回形防潮钢架，采用20mm*20mm矩形管焊接制作。</w:t>
            </w:r>
          </w:p>
        </w:tc>
        <w:tc>
          <w:tcPr>
            <w:tcW w:w="701" w:type="pct"/>
            <w:tcBorders>
              <w:top w:val="single" w:color="000000" w:sz="4" w:space="0"/>
              <w:left w:val="single" w:color="000000" w:sz="4" w:space="0"/>
              <w:bottom w:val="single" w:color="000000" w:sz="4" w:space="0"/>
              <w:right w:val="single" w:color="000000" w:sz="4" w:space="0"/>
            </w:tcBorders>
            <w:vAlign w:val="center"/>
          </w:tcPr>
          <w:p w14:paraId="662BF9B4">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1250*600*2000（±5mm）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4C5D505F">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7个</w:t>
            </w:r>
          </w:p>
        </w:tc>
      </w:tr>
      <w:tr w14:paraId="75959190">
        <w:tblPrEx>
          <w:tblCellMar>
            <w:top w:w="0" w:type="dxa"/>
            <w:left w:w="108" w:type="dxa"/>
            <w:bottom w:w="0" w:type="dxa"/>
            <w:right w:w="108" w:type="dxa"/>
          </w:tblCellMar>
        </w:tblPrEx>
        <w:trPr>
          <w:trHeight w:val="3040" w:hRule="atLeast"/>
        </w:trPr>
        <w:tc>
          <w:tcPr>
            <w:tcW w:w="138" w:type="pct"/>
            <w:tcBorders>
              <w:top w:val="single" w:color="000000" w:sz="4" w:space="0"/>
              <w:left w:val="single" w:color="000000" w:sz="4" w:space="0"/>
              <w:bottom w:val="single" w:color="000000" w:sz="4" w:space="0"/>
              <w:right w:val="single" w:color="000000" w:sz="4" w:space="0"/>
            </w:tcBorders>
            <w:vAlign w:val="center"/>
          </w:tcPr>
          <w:p w14:paraId="7526743A">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4</w:t>
            </w:r>
          </w:p>
        </w:tc>
        <w:tc>
          <w:tcPr>
            <w:tcW w:w="239" w:type="pct"/>
            <w:tcBorders>
              <w:top w:val="single" w:color="000000" w:sz="4" w:space="0"/>
              <w:left w:val="single" w:color="000000" w:sz="4" w:space="0"/>
              <w:bottom w:val="single" w:color="000000" w:sz="4" w:space="0"/>
              <w:right w:val="single" w:color="000000" w:sz="4" w:space="0"/>
            </w:tcBorders>
            <w:vAlign w:val="center"/>
          </w:tcPr>
          <w:p w14:paraId="5706EE9D">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三人组合桌</w:t>
            </w:r>
          </w:p>
        </w:tc>
        <w:tc>
          <w:tcPr>
            <w:tcW w:w="978" w:type="pct"/>
            <w:tcBorders>
              <w:top w:val="single" w:color="000000" w:sz="4" w:space="0"/>
              <w:left w:val="single" w:color="000000" w:sz="4" w:space="0"/>
              <w:bottom w:val="single" w:color="000000" w:sz="4" w:space="0"/>
              <w:right w:val="single" w:color="000000" w:sz="4" w:space="0"/>
            </w:tcBorders>
            <w:vAlign w:val="center"/>
          </w:tcPr>
          <w:p w14:paraId="176D8BA9">
            <w:pPr>
              <w:jc w:val="center"/>
              <w:textAlignment w:val="center"/>
              <w:rPr>
                <w:rFonts w:hint="eastAsia" w:ascii="宋体" w:hAnsi="宋体" w:eastAsia="宋体" w:cs="宋体"/>
                <w:sz w:val="18"/>
                <w:szCs w:val="18"/>
              </w:rPr>
            </w:pPr>
            <w:r>
              <w:rPr>
                <w:rFonts w:hint="eastAsia" w:ascii="宋体" w:hAnsi="宋体" w:eastAsia="宋体" w:cs="宋体"/>
                <w:sz w:val="18"/>
                <w:szCs w:val="18"/>
                <w:bdr w:val="single" w:color="000000" w:sz="4" w:space="0"/>
                <w:lang w:eastAsia="zh-CN" w:bidi="ar"/>
              </w:rPr>
              <w:drawing>
                <wp:anchor distT="0" distB="0" distL="114300" distR="114300" simplePos="0" relativeHeight="251670528" behindDoc="0" locked="0" layoutInCell="1" allowOverlap="1">
                  <wp:simplePos x="0" y="0"/>
                  <wp:positionH relativeFrom="column">
                    <wp:posOffset>234315</wp:posOffset>
                  </wp:positionH>
                  <wp:positionV relativeFrom="paragraph">
                    <wp:posOffset>171450</wp:posOffset>
                  </wp:positionV>
                  <wp:extent cx="1372235" cy="1685925"/>
                  <wp:effectExtent l="0" t="0" r="18415" b="9525"/>
                  <wp:wrapNone/>
                  <wp:docPr id="58" name="图片_18"/>
                  <wp:cNvGraphicFramePr/>
                  <a:graphic xmlns:a="http://schemas.openxmlformats.org/drawingml/2006/main">
                    <a:graphicData uri="http://schemas.openxmlformats.org/drawingml/2006/picture">
                      <pic:pic xmlns:pic="http://schemas.openxmlformats.org/drawingml/2006/picture">
                        <pic:nvPicPr>
                          <pic:cNvPr id="58" name="图片_18"/>
                          <pic:cNvPicPr/>
                        </pic:nvPicPr>
                        <pic:blipFill>
                          <a:blip r:embed="rId11"/>
                          <a:stretch>
                            <a:fillRect/>
                          </a:stretch>
                        </pic:blipFill>
                        <pic:spPr>
                          <a:xfrm>
                            <a:off x="0" y="0"/>
                            <a:ext cx="1372235" cy="1685925"/>
                          </a:xfrm>
                          <a:prstGeom prst="rect">
                            <a:avLst/>
                          </a:prstGeom>
                          <a:noFill/>
                          <a:ln>
                            <a:noFill/>
                          </a:ln>
                        </pic:spPr>
                      </pic:pic>
                    </a:graphicData>
                  </a:graphic>
                </wp:anchor>
              </w:drawing>
            </w:r>
          </w:p>
        </w:tc>
        <w:tc>
          <w:tcPr>
            <w:tcW w:w="2727" w:type="pct"/>
            <w:tcBorders>
              <w:top w:val="single" w:color="000000" w:sz="4" w:space="0"/>
              <w:left w:val="single" w:color="000000" w:sz="4" w:space="0"/>
              <w:bottom w:val="single" w:color="000000" w:sz="4" w:space="0"/>
              <w:right w:val="single" w:color="000000" w:sz="4" w:space="0"/>
            </w:tcBorders>
            <w:vAlign w:val="center"/>
          </w:tcPr>
          <w:p w14:paraId="7C01133A">
            <w:pPr>
              <w:jc w:val="both"/>
              <w:textAlignment w:val="center"/>
              <w:rPr>
                <w:rFonts w:hint="eastAsia" w:ascii="宋体" w:hAnsi="宋体" w:eastAsia="宋体" w:cs="宋体"/>
                <w:sz w:val="18"/>
                <w:szCs w:val="18"/>
                <w:lang w:eastAsia="zh-CN"/>
              </w:rPr>
            </w:pPr>
            <w:r>
              <w:rPr>
                <w:rFonts w:hint="eastAsia" w:ascii="宋体" w:hAnsi="宋体" w:eastAsia="宋体" w:cs="宋体"/>
                <w:sz w:val="18"/>
                <w:szCs w:val="18"/>
                <w:lang w:eastAsia="zh-CN" w:bidi="ar"/>
              </w:rPr>
              <w:t>1、基材：台面板采用≥25mm厚实木多层板，桌体采用≥15mm厚实木多层板，背板采用≥7mm厚ENF级实木多层板，所有板材均经过防虫、抗菌防霉化学处理，强度高、刚性好、不变形、比重合理；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2、贴面：采用三聚氰胺饰面，耐磨、耐热、耐污染；</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3、封边：采用PVC封边条，厚度≥1.2mm，所有板材均四周封边，防止潮湿空气进入，保证台面永不变形，封边牢固平直、无缺口、毛刺自然；</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4、脚架：采用25mm*25mm中空矩形封闭钢管，材料厚度≥1.2mm。</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5、五金件：采用五金配件，缓冲导轨，缓冲铰链，三合一连接件，整体五金配件紧密拼接，线条均匀，转角过渡自然，间隙细小且均等，经防锈处理。</w:t>
            </w:r>
            <w:r>
              <w:rPr>
                <w:rFonts w:hint="eastAsia" w:ascii="宋体" w:hAnsi="宋体" w:eastAsia="宋体" w:cs="宋体"/>
                <w:sz w:val="18"/>
                <w:szCs w:val="18"/>
                <w:lang w:eastAsia="zh-CN" w:bidi="ar"/>
              </w:rPr>
              <w:br w:type="textWrapping"/>
            </w:r>
            <w:r>
              <w:rPr>
                <w:rFonts w:hint="eastAsia" w:ascii="宋体" w:hAnsi="宋体" w:eastAsia="宋体" w:cs="宋体"/>
                <w:sz w:val="18"/>
                <w:szCs w:val="18"/>
                <w:lang w:eastAsia="zh-CN" w:bidi="ar"/>
              </w:rPr>
              <w:t>6、结构设计：整体分学习区及储物区；书桌上方3组双开掩门柜，桌面下方配置三个抽屉，柜门及抽面均带挂锁锁片，柜门侧带条型拉手。</w:t>
            </w:r>
          </w:p>
        </w:tc>
        <w:tc>
          <w:tcPr>
            <w:tcW w:w="701" w:type="pct"/>
            <w:tcBorders>
              <w:top w:val="single" w:color="000000" w:sz="4" w:space="0"/>
              <w:left w:val="single" w:color="000000" w:sz="4" w:space="0"/>
              <w:bottom w:val="single" w:color="000000" w:sz="4" w:space="0"/>
              <w:right w:val="single" w:color="000000" w:sz="4" w:space="0"/>
            </w:tcBorders>
            <w:vAlign w:val="center"/>
          </w:tcPr>
          <w:p w14:paraId="70EFF506">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1840*600*1780（±5mm）</w:t>
            </w:r>
          </w:p>
        </w:tc>
        <w:tc>
          <w:tcPr>
            <w:tcW w:w="214" w:type="pct"/>
            <w:tcBorders>
              <w:top w:val="single" w:color="000000" w:sz="4" w:space="0"/>
              <w:left w:val="single" w:color="000000" w:sz="4" w:space="0"/>
              <w:bottom w:val="single" w:color="000000" w:sz="4" w:space="0"/>
              <w:right w:val="single" w:color="000000" w:sz="4" w:space="0"/>
            </w:tcBorders>
            <w:noWrap/>
            <w:vAlign w:val="center"/>
          </w:tcPr>
          <w:p w14:paraId="30501A22">
            <w:pPr>
              <w:jc w:val="center"/>
              <w:textAlignment w:val="center"/>
              <w:rPr>
                <w:rFonts w:hint="eastAsia" w:ascii="宋体" w:hAnsi="宋体" w:eastAsia="宋体" w:cs="宋体"/>
                <w:sz w:val="18"/>
                <w:szCs w:val="18"/>
              </w:rPr>
            </w:pPr>
            <w:r>
              <w:rPr>
                <w:rFonts w:hint="eastAsia" w:ascii="宋体" w:hAnsi="宋体" w:eastAsia="宋体" w:cs="宋体"/>
                <w:sz w:val="18"/>
                <w:szCs w:val="18"/>
                <w:lang w:eastAsia="zh-CN" w:bidi="ar"/>
              </w:rPr>
              <w:t>14个</w:t>
            </w:r>
          </w:p>
        </w:tc>
      </w:tr>
    </w:tbl>
    <w:p w14:paraId="02B50EA9">
      <w:pPr>
        <w:pageBreakBefore w:val="0"/>
        <w:widowControl w:val="0"/>
        <w:wordWrap/>
        <w:overflowPunct/>
        <w:topLinePunct w:val="0"/>
        <w:bidi w:val="0"/>
        <w:spacing w:line="242" w:lineRule="auto"/>
        <w:rPr>
          <w:color w:val="auto"/>
          <w:highlight w:val="none"/>
        </w:rPr>
      </w:pPr>
    </w:p>
    <w:p w14:paraId="57DDCF8D">
      <w:pPr>
        <w:spacing w:line="360" w:lineRule="auto"/>
        <w:rPr>
          <w:rFonts w:hint="eastAsia" w:ascii="宋体" w:hAnsi="宋体" w:eastAsia="宋体"/>
          <w:b/>
          <w:sz w:val="24"/>
          <w:lang w:eastAsia="zh-CN"/>
        </w:rPr>
      </w:pPr>
      <w:r>
        <w:rPr>
          <w:rFonts w:hint="eastAsia" w:ascii="宋体" w:hAnsi="宋体" w:eastAsia="宋体"/>
          <w:b/>
          <w:sz w:val="24"/>
          <w:lang w:eastAsia="zh-CN"/>
        </w:rPr>
        <w:t>注：ENF 级多层板需满足 GB/T 39600-2021 《人造板及其制品甲醛释放量分级》标准，甲醛释放量 ≤0.025 mg/m³，供应商须提供第三方检测机构出具的具有CMA 标识的检测报告佐证，未提供或提供的检测报告不符合谈判文件要求将做无效响应处理。</w:t>
      </w:r>
    </w:p>
    <w:p w14:paraId="7370424A">
      <w:pPr>
        <w:spacing w:line="360" w:lineRule="auto"/>
        <w:rPr>
          <w:rFonts w:hint="eastAsia" w:ascii="宋体" w:hAnsi="宋体" w:eastAsia="宋体"/>
          <w:b/>
          <w:sz w:val="24"/>
          <w:lang w:eastAsia="zh-CN"/>
        </w:rPr>
      </w:pPr>
    </w:p>
    <w:p w14:paraId="34AC0A91">
      <w:pPr>
        <w:spacing w:line="360" w:lineRule="auto"/>
        <w:rPr>
          <w:rFonts w:hint="eastAsia" w:ascii="宋体" w:hAnsi="宋体" w:eastAsia="宋体"/>
          <w:b/>
          <w:sz w:val="24"/>
          <w:lang w:eastAsia="zh-CN"/>
        </w:rPr>
      </w:pPr>
    </w:p>
    <w:p w14:paraId="471E35EA">
      <w:pPr>
        <w:spacing w:line="360" w:lineRule="auto"/>
        <w:rPr>
          <w:rFonts w:ascii="宋体" w:hAnsi="宋体"/>
          <w:b/>
          <w:sz w:val="24"/>
          <w:lang w:eastAsia="zh-CN"/>
        </w:rPr>
      </w:pPr>
      <w:r>
        <w:rPr>
          <w:rFonts w:hint="eastAsia" w:ascii="宋体" w:hAnsi="宋体" w:eastAsia="宋体"/>
          <w:b/>
          <w:sz w:val="24"/>
          <w:lang w:eastAsia="zh-CN"/>
        </w:rPr>
        <w:t>注：</w:t>
      </w:r>
      <w:r>
        <w:rPr>
          <w:rFonts w:hint="eastAsia" w:ascii="宋体" w:hAnsi="宋体"/>
          <w:b/>
          <w:sz w:val="24"/>
          <w:lang w:eastAsia="zh-CN"/>
        </w:rPr>
        <w:t>以上“技术要求”为实质性要求，必须完全满足或优于，否则无效响应。</w:t>
      </w:r>
    </w:p>
    <w:p w14:paraId="407AEBB4">
      <w:pPr>
        <w:pageBreakBefore w:val="0"/>
        <w:widowControl w:val="0"/>
        <w:wordWrap/>
        <w:overflowPunct/>
        <w:topLinePunct w:val="0"/>
        <w:bidi w:val="0"/>
        <w:spacing w:line="242" w:lineRule="auto"/>
        <w:rPr>
          <w:color w:val="auto"/>
          <w:highlight w:val="none"/>
        </w:rPr>
      </w:pPr>
    </w:p>
    <w:p w14:paraId="5D1D6694">
      <w:pPr>
        <w:pageBreakBefore w:val="0"/>
        <w:widowControl w:val="0"/>
        <w:wordWrap/>
        <w:overflowPunct/>
        <w:topLinePunct w:val="0"/>
        <w:bidi w:val="0"/>
        <w:spacing w:line="242" w:lineRule="auto"/>
        <w:rPr>
          <w:color w:val="auto"/>
          <w:highlight w:val="none"/>
        </w:rPr>
      </w:pPr>
    </w:p>
    <w:p w14:paraId="229E0A46">
      <w:pPr>
        <w:pageBreakBefore w:val="0"/>
        <w:widowControl w:val="0"/>
        <w:wordWrap/>
        <w:overflowPunct/>
        <w:topLinePunct w:val="0"/>
        <w:bidi w:val="0"/>
        <w:spacing w:line="242" w:lineRule="auto"/>
        <w:rPr>
          <w:color w:val="auto"/>
          <w:highlight w:val="none"/>
        </w:rPr>
      </w:pPr>
    </w:p>
    <w:p w14:paraId="28F592E6">
      <w:pPr>
        <w:pageBreakBefore w:val="0"/>
        <w:widowControl w:val="0"/>
        <w:wordWrap/>
        <w:overflowPunct/>
        <w:topLinePunct w:val="0"/>
        <w:bidi w:val="0"/>
        <w:spacing w:line="242" w:lineRule="auto"/>
        <w:rPr>
          <w:color w:val="auto"/>
          <w:highlight w:val="none"/>
        </w:rPr>
      </w:pPr>
    </w:p>
    <w:p w14:paraId="0AF91A47">
      <w:pPr>
        <w:pageBreakBefore w:val="0"/>
        <w:widowControl w:val="0"/>
        <w:wordWrap/>
        <w:overflowPunct/>
        <w:topLinePunct w:val="0"/>
        <w:bidi w:val="0"/>
        <w:spacing w:line="242" w:lineRule="auto"/>
        <w:rPr>
          <w:color w:val="auto"/>
          <w:highlight w:val="none"/>
        </w:rPr>
      </w:pPr>
    </w:p>
    <w:p w14:paraId="285C393B">
      <w:pPr>
        <w:pageBreakBefore w:val="0"/>
        <w:widowControl w:val="0"/>
        <w:wordWrap/>
        <w:overflowPunct/>
        <w:topLinePunct w:val="0"/>
        <w:bidi w:val="0"/>
        <w:spacing w:line="242" w:lineRule="auto"/>
        <w:rPr>
          <w:color w:val="auto"/>
          <w:highlight w:val="none"/>
        </w:rPr>
      </w:pPr>
    </w:p>
    <w:p w14:paraId="242B7F30">
      <w:pPr>
        <w:pageBreakBefore w:val="0"/>
        <w:widowControl w:val="0"/>
        <w:wordWrap/>
        <w:overflowPunct/>
        <w:topLinePunct w:val="0"/>
        <w:bidi w:val="0"/>
        <w:spacing w:line="243" w:lineRule="auto"/>
        <w:rPr>
          <w:color w:val="auto"/>
          <w:highlight w:val="none"/>
        </w:rPr>
      </w:pPr>
    </w:p>
    <w:p w14:paraId="4A02021D">
      <w:pPr>
        <w:pageBreakBefore w:val="0"/>
        <w:widowControl w:val="0"/>
        <w:wordWrap/>
        <w:overflowPunct/>
        <w:topLinePunct w:val="0"/>
        <w:bidi w:val="0"/>
        <w:spacing w:line="243" w:lineRule="auto"/>
        <w:rPr>
          <w:color w:val="auto"/>
          <w:highlight w:val="none"/>
        </w:rPr>
      </w:pPr>
    </w:p>
    <w:p w14:paraId="3C3285EA">
      <w:pPr>
        <w:pageBreakBefore w:val="0"/>
        <w:widowControl w:val="0"/>
        <w:wordWrap/>
        <w:overflowPunct/>
        <w:topLinePunct w:val="0"/>
        <w:bidi w:val="0"/>
        <w:spacing w:line="243" w:lineRule="auto"/>
        <w:rPr>
          <w:color w:val="auto"/>
          <w:highlight w:val="none"/>
        </w:rPr>
      </w:pPr>
    </w:p>
    <w:p w14:paraId="0FE17571">
      <w:pPr>
        <w:pageBreakBefore w:val="0"/>
        <w:widowControl w:val="0"/>
        <w:wordWrap/>
        <w:overflowPunct/>
        <w:topLinePunct w:val="0"/>
        <w:bidi w:val="0"/>
        <w:spacing w:line="245" w:lineRule="auto"/>
        <w:rPr>
          <w:color w:val="auto"/>
          <w:highlight w:val="none"/>
          <w:lang w:eastAsia="zh-CN"/>
        </w:rPr>
      </w:pPr>
    </w:p>
    <w:p w14:paraId="3A6FAB5A">
      <w:pPr>
        <w:pageBreakBefore w:val="0"/>
        <w:widowControl w:val="0"/>
        <w:wordWrap/>
        <w:overflowPunct/>
        <w:topLinePunct w:val="0"/>
        <w:bidi w:val="0"/>
        <w:spacing w:line="245" w:lineRule="auto"/>
        <w:rPr>
          <w:color w:val="auto"/>
          <w:highlight w:val="none"/>
          <w:lang w:eastAsia="zh-CN"/>
        </w:rPr>
      </w:pPr>
    </w:p>
    <w:p w14:paraId="7DF0F474">
      <w:pPr>
        <w:pageBreakBefore w:val="0"/>
        <w:widowControl w:val="0"/>
        <w:wordWrap/>
        <w:overflowPunct/>
        <w:topLinePunct w:val="0"/>
        <w:bidi w:val="0"/>
        <w:spacing w:line="245" w:lineRule="auto"/>
        <w:rPr>
          <w:color w:val="auto"/>
          <w:highlight w:val="none"/>
          <w:lang w:eastAsia="zh-CN"/>
        </w:rPr>
      </w:pPr>
    </w:p>
    <w:p w14:paraId="6C6E1266">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sectPr>
          <w:footerReference r:id="rId3" w:type="default"/>
          <w:pgSz w:w="16839" w:h="11906" w:orient="landscape"/>
          <w:pgMar w:top="1587" w:right="1429" w:bottom="1587" w:left="1429" w:header="0" w:footer="994" w:gutter="0"/>
          <w:cols w:space="720" w:num="1"/>
        </w:sectPr>
      </w:pPr>
    </w:p>
    <w:p w14:paraId="32E4DCA3">
      <w:pPr>
        <w:pageBreakBefore w:val="0"/>
        <w:widowControl w:val="0"/>
        <w:wordWrap/>
        <w:overflowPunct/>
        <w:topLinePunct w:val="0"/>
        <w:bidi w:val="0"/>
        <w:spacing w:before="78" w:line="219" w:lineRule="auto"/>
        <w:rPr>
          <w:rFonts w:ascii="宋体" w:hAnsi="宋体" w:eastAsia="宋体" w:cs="宋体"/>
          <w:b/>
          <w:bCs/>
          <w:color w:val="auto"/>
          <w:spacing w:val="-6"/>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w:t>
      </w:r>
      <w:r>
        <w:rPr>
          <w:rFonts w:hint="eastAsia" w:ascii="宋体" w:hAnsi="宋体" w:eastAsia="宋体" w:cs="宋体"/>
          <w:b/>
          <w:bCs/>
          <w:color w:val="auto"/>
          <w:spacing w:val="-6"/>
          <w:sz w:val="24"/>
          <w:szCs w:val="24"/>
          <w:highlight w:val="none"/>
          <w:lang w:val="en-US" w:eastAsia="zh-CN"/>
        </w:rPr>
        <w:t>要求</w:t>
      </w:r>
    </w:p>
    <w:p w14:paraId="65D8AB5B">
      <w:pPr>
        <w:pStyle w:val="3"/>
        <w:rPr>
          <w:lang w:eastAsia="zh-CN"/>
        </w:rPr>
      </w:pPr>
    </w:p>
    <w:p w14:paraId="575A5026">
      <w:pPr>
        <w:spacing w:line="360" w:lineRule="auto"/>
        <w:rPr>
          <w:rFonts w:hint="eastAsia" w:ascii="宋体" w:hAnsi="宋体" w:eastAsia="宋体" w:cs="宋体"/>
          <w:sz w:val="24"/>
          <w:szCs w:val="24"/>
          <w:lang w:eastAsia="zh-CN"/>
        </w:rPr>
      </w:pPr>
      <w:bookmarkStart w:id="2" w:name="bookmark82"/>
      <w:bookmarkEnd w:id="2"/>
      <w:r>
        <w:rPr>
          <w:rFonts w:hint="eastAsia" w:ascii="宋体" w:hAnsi="宋体" w:cs="宋体"/>
          <w:b/>
          <w:bCs/>
          <w:sz w:val="24"/>
          <w:szCs w:val="24"/>
          <w:lang w:eastAsia="zh-CN"/>
        </w:rPr>
        <w:t>1、</w:t>
      </w:r>
      <w:bookmarkStart w:id="3" w:name="auto_fouce_22"/>
      <w:r>
        <w:rPr>
          <w:rFonts w:hint="eastAsia" w:ascii="宋体" w:hAnsi="宋体" w:cs="宋体"/>
          <w:b/>
          <w:bCs/>
          <w:sz w:val="24"/>
          <w:szCs w:val="24"/>
          <w:lang w:eastAsia="zh-CN"/>
        </w:rPr>
        <w:t>交货期：</w:t>
      </w:r>
      <w:r>
        <w:rPr>
          <w:rFonts w:hint="eastAsia" w:ascii="宋体" w:hAnsi="宋体" w:cs="宋体"/>
          <w:sz w:val="24"/>
          <w:szCs w:val="24"/>
          <w:lang w:eastAsia="zh-CN"/>
        </w:rPr>
        <w:t>2026年8月10日前，将货物及其配件、随机工具送达</w:t>
      </w:r>
      <w:r>
        <w:rPr>
          <w:rFonts w:hint="eastAsia" w:ascii="宋体" w:hAnsi="宋体" w:eastAsia="宋体" w:cs="宋体"/>
          <w:sz w:val="24"/>
          <w:szCs w:val="24"/>
          <w:lang w:eastAsia="zh-CN"/>
        </w:rPr>
        <w:t>采购人</w:t>
      </w:r>
      <w:r>
        <w:rPr>
          <w:rFonts w:hint="eastAsia" w:ascii="宋体" w:hAnsi="宋体" w:cs="宋体"/>
          <w:sz w:val="24"/>
          <w:szCs w:val="24"/>
          <w:lang w:eastAsia="zh-CN"/>
        </w:rPr>
        <w:t>指定地点进行安装调试并交付使用</w:t>
      </w:r>
      <w:r>
        <w:rPr>
          <w:rFonts w:hint="eastAsia" w:ascii="宋体" w:hAnsi="宋体" w:eastAsia="宋体" w:cs="宋体"/>
          <w:sz w:val="24"/>
          <w:szCs w:val="24"/>
          <w:lang w:eastAsia="zh-CN"/>
        </w:rPr>
        <w:t>。（如因公寓内地脚线原因，导致组合床柜尺寸不一致，不能进行安装的，需成交供应商自行处理好地脚线进行安装，采购人不支付任何费用）</w:t>
      </w:r>
      <w:bookmarkEnd w:id="3"/>
    </w:p>
    <w:p w14:paraId="1D67975F">
      <w:pPr>
        <w:spacing w:line="360" w:lineRule="auto"/>
        <w:rPr>
          <w:rFonts w:ascii="宋体" w:hAnsi="宋体" w:cs="宋体"/>
          <w:sz w:val="24"/>
          <w:szCs w:val="24"/>
          <w:lang w:eastAsia="zh-CN"/>
        </w:rPr>
      </w:pPr>
      <w:r>
        <w:rPr>
          <w:rFonts w:hint="eastAsia" w:ascii="宋体" w:hAnsi="宋体" w:cs="宋体"/>
          <w:b/>
          <w:bCs/>
          <w:sz w:val="24"/>
          <w:szCs w:val="24"/>
          <w:lang w:eastAsia="zh-CN"/>
        </w:rPr>
        <w:t>2、交货地点：</w:t>
      </w:r>
      <w:r>
        <w:rPr>
          <w:rFonts w:hint="eastAsia" w:ascii="宋体" w:hAnsi="宋体" w:eastAsia="宋体" w:cs="宋体"/>
          <w:sz w:val="24"/>
          <w:szCs w:val="24"/>
          <w:lang w:eastAsia="zh-CN"/>
        </w:rPr>
        <w:t>江西艺术职业</w:t>
      </w:r>
      <w:r>
        <w:rPr>
          <w:rFonts w:hint="eastAsia" w:ascii="宋体" w:hAnsi="宋体" w:cs="宋体"/>
          <w:sz w:val="24"/>
          <w:szCs w:val="24"/>
          <w:lang w:eastAsia="zh-CN"/>
        </w:rPr>
        <w:t>学院方志敏大道校区及庐山中大道校区。</w:t>
      </w:r>
    </w:p>
    <w:p w14:paraId="444301C9">
      <w:pPr>
        <w:pStyle w:val="2"/>
        <w:spacing w:line="360" w:lineRule="auto"/>
        <w:rPr>
          <w:rFonts w:ascii="宋体" w:hAnsi="宋体" w:cs="宋体"/>
          <w:sz w:val="24"/>
          <w:szCs w:val="24"/>
          <w:lang w:eastAsia="zh-CN"/>
        </w:rPr>
      </w:pPr>
      <w:r>
        <w:rPr>
          <w:rFonts w:hint="eastAsia" w:ascii="宋体" w:hAnsi="宋体" w:eastAsia="Arial" w:cs="宋体"/>
          <w:b/>
          <w:bCs/>
          <w:snapToGrid w:val="0"/>
          <w:color w:val="000000"/>
          <w:sz w:val="24"/>
          <w:szCs w:val="24"/>
          <w:lang w:val="en-US" w:eastAsia="zh-CN" w:bidi="ar-SA"/>
        </w:rPr>
        <w:t>3、付款方式：</w:t>
      </w:r>
      <w:r>
        <w:rPr>
          <w:rFonts w:hint="eastAsia" w:ascii="宋体" w:hAnsi="宋体" w:eastAsia="Arial" w:cs="宋体"/>
          <w:b w:val="0"/>
          <w:bCs w:val="0"/>
          <w:snapToGrid w:val="0"/>
          <w:color w:val="000000"/>
          <w:sz w:val="24"/>
          <w:szCs w:val="24"/>
          <w:lang w:val="en-US" w:eastAsia="zh-CN" w:bidi="ar-SA"/>
        </w:rPr>
        <w:t>货物经安装验收合格、结算核对书面签字确认且</w:t>
      </w:r>
      <w:r>
        <w:rPr>
          <w:rFonts w:hint="eastAsia" w:ascii="宋体" w:eastAsia="Arial" w:cs="宋体"/>
          <w:b w:val="0"/>
          <w:bCs w:val="0"/>
          <w:snapToGrid w:val="0"/>
          <w:color w:val="000000"/>
          <w:sz w:val="24"/>
          <w:szCs w:val="24"/>
          <w:lang w:val="en-US" w:eastAsia="zh-CN" w:bidi="ar-SA"/>
        </w:rPr>
        <w:t>成交供应商</w:t>
      </w:r>
      <w:r>
        <w:rPr>
          <w:rFonts w:hint="eastAsia" w:ascii="宋体" w:hAnsi="宋体" w:eastAsia="Arial" w:cs="宋体"/>
          <w:b w:val="0"/>
          <w:bCs w:val="0"/>
          <w:snapToGrid w:val="0"/>
          <w:color w:val="000000"/>
          <w:sz w:val="24"/>
          <w:szCs w:val="24"/>
          <w:lang w:val="en-US" w:eastAsia="zh-CN" w:bidi="ar-SA"/>
        </w:rPr>
        <w:t>向</w:t>
      </w:r>
      <w:r>
        <w:rPr>
          <w:rFonts w:hint="eastAsia" w:ascii="宋体" w:eastAsia="Arial" w:cs="宋体"/>
          <w:b w:val="0"/>
          <w:bCs w:val="0"/>
          <w:snapToGrid w:val="0"/>
          <w:color w:val="000000"/>
          <w:sz w:val="24"/>
          <w:szCs w:val="24"/>
          <w:lang w:val="en-US" w:eastAsia="zh-CN" w:bidi="ar-SA"/>
        </w:rPr>
        <w:t>采购人</w:t>
      </w:r>
      <w:r>
        <w:rPr>
          <w:rFonts w:hint="eastAsia" w:ascii="宋体" w:hAnsi="宋体" w:eastAsia="Arial" w:cs="宋体"/>
          <w:b w:val="0"/>
          <w:bCs w:val="0"/>
          <w:snapToGrid w:val="0"/>
          <w:color w:val="000000"/>
          <w:sz w:val="24"/>
          <w:szCs w:val="24"/>
          <w:lang w:val="en-US" w:eastAsia="zh-CN" w:bidi="ar-SA"/>
        </w:rPr>
        <w:t>开具对应金额的合法有效发票后7个工作日内，</w:t>
      </w:r>
      <w:r>
        <w:rPr>
          <w:rFonts w:hint="eastAsia" w:ascii="宋体" w:eastAsia="Arial" w:cs="宋体"/>
          <w:b w:val="0"/>
          <w:bCs w:val="0"/>
          <w:snapToGrid w:val="0"/>
          <w:color w:val="000000"/>
          <w:sz w:val="24"/>
          <w:szCs w:val="24"/>
          <w:lang w:val="en-US" w:eastAsia="zh-CN" w:bidi="ar-SA"/>
        </w:rPr>
        <w:t>采购人</w:t>
      </w:r>
      <w:r>
        <w:rPr>
          <w:rFonts w:hint="eastAsia" w:ascii="宋体" w:hAnsi="宋体" w:eastAsia="Arial" w:cs="宋体"/>
          <w:b w:val="0"/>
          <w:bCs w:val="0"/>
          <w:snapToGrid w:val="0"/>
          <w:color w:val="000000"/>
          <w:sz w:val="24"/>
          <w:szCs w:val="24"/>
          <w:lang w:val="en-US" w:eastAsia="zh-CN" w:bidi="ar-SA"/>
        </w:rPr>
        <w:t>向</w:t>
      </w:r>
      <w:r>
        <w:rPr>
          <w:rFonts w:hint="eastAsia" w:ascii="宋体" w:eastAsia="Arial" w:cs="宋体"/>
          <w:b w:val="0"/>
          <w:bCs w:val="0"/>
          <w:snapToGrid w:val="0"/>
          <w:color w:val="000000"/>
          <w:sz w:val="24"/>
          <w:szCs w:val="24"/>
          <w:lang w:val="en-US" w:eastAsia="zh-CN" w:bidi="ar-SA"/>
        </w:rPr>
        <w:t>成交供应商</w:t>
      </w:r>
      <w:r>
        <w:rPr>
          <w:rFonts w:hint="eastAsia" w:ascii="宋体" w:hAnsi="宋体" w:eastAsia="Arial" w:cs="宋体"/>
          <w:b w:val="0"/>
          <w:bCs w:val="0"/>
          <w:snapToGrid w:val="0"/>
          <w:color w:val="000000"/>
          <w:sz w:val="24"/>
          <w:szCs w:val="24"/>
          <w:lang w:val="en-US" w:eastAsia="zh-CN" w:bidi="ar-SA"/>
        </w:rPr>
        <w:t>支付合同总价款的100%。</w:t>
      </w:r>
      <w:r>
        <w:rPr>
          <w:rFonts w:hint="eastAsia" w:ascii="宋体" w:eastAsia="Arial" w:cs="宋体"/>
          <w:b w:val="0"/>
          <w:bCs w:val="0"/>
          <w:snapToGrid w:val="0"/>
          <w:color w:val="000000"/>
          <w:sz w:val="24"/>
          <w:szCs w:val="24"/>
          <w:lang w:val="en-US" w:eastAsia="zh-CN" w:bidi="ar-SA"/>
        </w:rPr>
        <w:t>成交供应商</w:t>
      </w:r>
      <w:r>
        <w:rPr>
          <w:rFonts w:hint="eastAsia" w:ascii="宋体" w:hAnsi="宋体" w:eastAsia="Arial" w:cs="宋体"/>
          <w:b w:val="0"/>
          <w:bCs w:val="0"/>
          <w:snapToGrid w:val="0"/>
          <w:color w:val="000000"/>
          <w:sz w:val="24"/>
          <w:szCs w:val="24"/>
          <w:lang w:val="en-US" w:eastAsia="zh-CN" w:bidi="ar-SA"/>
        </w:rPr>
        <w:t>未按要求提供发票的，</w:t>
      </w:r>
      <w:r>
        <w:rPr>
          <w:rFonts w:hint="eastAsia" w:ascii="宋体" w:eastAsia="Arial" w:cs="宋体"/>
          <w:b w:val="0"/>
          <w:bCs w:val="0"/>
          <w:snapToGrid w:val="0"/>
          <w:color w:val="000000"/>
          <w:sz w:val="24"/>
          <w:szCs w:val="24"/>
          <w:lang w:val="en-US" w:eastAsia="zh-CN" w:bidi="ar-SA"/>
        </w:rPr>
        <w:t>采购人</w:t>
      </w:r>
      <w:r>
        <w:rPr>
          <w:rFonts w:hint="eastAsia" w:ascii="宋体" w:hAnsi="宋体" w:eastAsia="Arial" w:cs="宋体"/>
          <w:b w:val="0"/>
          <w:bCs w:val="0"/>
          <w:snapToGrid w:val="0"/>
          <w:color w:val="000000"/>
          <w:sz w:val="24"/>
          <w:szCs w:val="24"/>
          <w:lang w:val="en-US" w:eastAsia="zh-CN" w:bidi="ar-SA"/>
        </w:rPr>
        <w:t>有权顺延付款且不承担任何责任。（货物安装验收、结算核对以采购人签字为准）</w:t>
      </w:r>
      <w:r>
        <w:rPr>
          <w:rFonts w:hint="eastAsia" w:ascii="宋体" w:hAnsi="宋体" w:cs="宋体"/>
          <w:sz w:val="24"/>
          <w:szCs w:val="24"/>
          <w:lang w:eastAsia="zh-CN"/>
        </w:rPr>
        <w:t>。</w:t>
      </w:r>
    </w:p>
    <w:p w14:paraId="729AE869">
      <w:pPr>
        <w:spacing w:line="360" w:lineRule="auto"/>
        <w:rPr>
          <w:rFonts w:ascii="宋体" w:hAnsi="宋体" w:cs="宋体"/>
          <w:sz w:val="24"/>
          <w:szCs w:val="24"/>
          <w:lang w:eastAsia="zh-CN"/>
        </w:rPr>
      </w:pPr>
      <w:r>
        <w:rPr>
          <w:rFonts w:hint="eastAsia" w:ascii="宋体" w:hAnsi="宋体" w:cs="宋体"/>
          <w:b/>
          <w:bCs/>
          <w:sz w:val="24"/>
          <w:szCs w:val="24"/>
          <w:lang w:eastAsia="zh-CN"/>
        </w:rPr>
        <w:t>4、履约保证金：</w:t>
      </w:r>
      <w:r>
        <w:rPr>
          <w:rFonts w:hint="eastAsia" w:ascii="宋体" w:hAnsi="宋体" w:cs="宋体"/>
          <w:sz w:val="24"/>
          <w:szCs w:val="24"/>
          <w:lang w:val="en-US" w:eastAsia="zh-CN"/>
        </w:rPr>
        <w:t>成交供应商</w:t>
      </w:r>
      <w:r>
        <w:rPr>
          <w:rFonts w:hint="eastAsia" w:ascii="宋体" w:hAnsi="宋体" w:cs="宋体"/>
          <w:sz w:val="24"/>
          <w:szCs w:val="24"/>
          <w:lang w:eastAsia="zh-CN"/>
        </w:rPr>
        <w:t>应在与采购人签订合同之后，向采购人提交合同金额的 5%作为履约保证金（或履约保函），</w:t>
      </w:r>
      <w:r>
        <w:rPr>
          <w:rFonts w:hint="eastAsia" w:ascii="宋体" w:hAnsi="宋体" w:cs="宋体"/>
          <w:sz w:val="24"/>
          <w:szCs w:val="24"/>
          <w:lang w:val="en-US" w:eastAsia="zh-CN"/>
        </w:rPr>
        <w:t>成交供应商</w:t>
      </w:r>
      <w:r>
        <w:rPr>
          <w:rFonts w:hint="eastAsia" w:ascii="宋体" w:hAnsi="宋体" w:cs="宋体"/>
          <w:sz w:val="24"/>
          <w:szCs w:val="24"/>
          <w:lang w:eastAsia="zh-CN"/>
        </w:rPr>
        <w:t>履行完合同义务无违约情形且项目经采购人验收合格后，采购人 15 个工作日内将成交供应商所提交的履约保证金（或履约保函）全额无息退还。</w:t>
      </w:r>
    </w:p>
    <w:p w14:paraId="1CBC721C">
      <w:pPr>
        <w:spacing w:line="360" w:lineRule="auto"/>
        <w:rPr>
          <w:rFonts w:ascii="宋体" w:hAnsi="宋体" w:cs="宋体"/>
          <w:b/>
          <w:bCs/>
          <w:sz w:val="24"/>
          <w:szCs w:val="24"/>
          <w:lang w:eastAsia="zh-CN"/>
        </w:rPr>
      </w:pPr>
      <w:r>
        <w:rPr>
          <w:rFonts w:hint="eastAsia" w:ascii="宋体" w:hAnsi="宋体" w:eastAsia="宋体" w:cs="宋体"/>
          <w:b/>
          <w:bCs/>
          <w:kern w:val="2"/>
          <w:sz w:val="24"/>
          <w:szCs w:val="24"/>
          <w:lang w:eastAsia="zh-CN"/>
        </w:rPr>
        <w:t>5、</w:t>
      </w:r>
      <w:r>
        <w:rPr>
          <w:rFonts w:hint="eastAsia" w:ascii="宋体" w:hAnsi="宋体" w:cs="宋体"/>
          <w:b/>
          <w:bCs/>
          <w:sz w:val="24"/>
          <w:szCs w:val="24"/>
          <w:lang w:eastAsia="zh-CN"/>
        </w:rPr>
        <w:t>货物运输及安装：</w:t>
      </w:r>
    </w:p>
    <w:p w14:paraId="7EE349BE">
      <w:pPr>
        <w:spacing w:line="360" w:lineRule="auto"/>
        <w:rPr>
          <w:rFonts w:ascii="宋体" w:hAnsi="宋体" w:cs="宋体"/>
          <w:sz w:val="24"/>
          <w:szCs w:val="24"/>
          <w:lang w:eastAsia="zh-CN"/>
        </w:rPr>
      </w:pPr>
      <w:r>
        <w:rPr>
          <w:rFonts w:hint="eastAsia" w:ascii="宋体" w:hAnsi="宋体" w:cs="宋体"/>
          <w:sz w:val="24"/>
          <w:szCs w:val="24"/>
          <w:lang w:eastAsia="zh-CN"/>
        </w:rPr>
        <w:t>（1）</w:t>
      </w:r>
      <w:r>
        <w:rPr>
          <w:rFonts w:hint="eastAsia" w:ascii="宋体" w:hAnsi="宋体" w:cs="宋体"/>
          <w:sz w:val="24"/>
          <w:szCs w:val="24"/>
          <w:lang w:val="en-US" w:eastAsia="zh-CN"/>
        </w:rPr>
        <w:t>成交</w:t>
      </w:r>
      <w:r>
        <w:rPr>
          <w:rFonts w:hint="eastAsia" w:ascii="宋体" w:hAnsi="宋体" w:cs="宋体"/>
          <w:sz w:val="24"/>
          <w:szCs w:val="24"/>
          <w:lang w:eastAsia="zh-CN"/>
        </w:rPr>
        <w:t>供应商应将全部货物免费送达采购人指定的地所，并按家具设计图纸进行安装。否则，造成的任何损失由供应商承担。</w:t>
      </w:r>
    </w:p>
    <w:p w14:paraId="32BA65FA">
      <w:pPr>
        <w:spacing w:line="360" w:lineRule="auto"/>
        <w:rPr>
          <w:rFonts w:ascii="宋体" w:hAnsi="宋体" w:cs="宋体"/>
          <w:sz w:val="24"/>
          <w:szCs w:val="24"/>
          <w:lang w:eastAsia="zh-CN"/>
        </w:rPr>
      </w:pPr>
      <w:r>
        <w:rPr>
          <w:rFonts w:hint="eastAsia" w:ascii="宋体" w:hAnsi="宋体" w:cs="宋体"/>
          <w:sz w:val="24"/>
          <w:szCs w:val="24"/>
          <w:lang w:eastAsia="zh-CN"/>
        </w:rPr>
        <w:t>（2）采购人在交货地点必须提供有照明及220伏插座用电条件的室内工作场所，以保证供应商对家具顺利安装，否则，由于采购人提供的工作条件造成安装时间拖延及相应损失由采购人承担。</w:t>
      </w:r>
    </w:p>
    <w:p w14:paraId="2B0370A1">
      <w:pPr>
        <w:spacing w:line="360" w:lineRule="auto"/>
        <w:rPr>
          <w:rFonts w:ascii="宋体" w:hAnsi="宋体" w:cs="宋体"/>
          <w:sz w:val="24"/>
          <w:szCs w:val="24"/>
          <w:lang w:eastAsia="zh-CN"/>
        </w:rPr>
      </w:pPr>
      <w:r>
        <w:rPr>
          <w:rFonts w:hint="eastAsia" w:ascii="宋体" w:hAnsi="宋体" w:cs="宋体"/>
          <w:sz w:val="24"/>
          <w:szCs w:val="24"/>
          <w:lang w:eastAsia="zh-CN"/>
        </w:rPr>
        <w:t>（3）</w:t>
      </w:r>
      <w:r>
        <w:rPr>
          <w:rFonts w:hint="eastAsia" w:ascii="宋体" w:hAnsi="宋体" w:cs="宋体"/>
          <w:sz w:val="24"/>
          <w:szCs w:val="24"/>
          <w:lang w:val="en-US" w:eastAsia="zh-CN"/>
        </w:rPr>
        <w:t>成交</w:t>
      </w:r>
      <w:r>
        <w:rPr>
          <w:rFonts w:hint="eastAsia" w:ascii="宋体" w:hAnsi="宋体" w:cs="宋体"/>
          <w:sz w:val="24"/>
          <w:szCs w:val="24"/>
          <w:lang w:eastAsia="zh-CN"/>
        </w:rPr>
        <w:t>供应商严格执行《中华人民共和国安全生产法》《安全生产许可证条例》等法律和法规的规定，并向采购人及有关部门解释安全工作保障及安装实施情况，保证施工人员、采购人及第三方人员身体及财产安全，杜绝一切安全事故与火灾事故的发生，若在制作及安装过程中，产生的任何事故责任及意外伤亡、疾病等，均由供应商自行承担，与</w:t>
      </w:r>
      <w:r>
        <w:rPr>
          <w:rFonts w:hint="eastAsia" w:ascii="宋体" w:hAnsi="宋体" w:cs="宋体"/>
          <w:sz w:val="24"/>
          <w:szCs w:val="24"/>
          <w:lang w:val="en-US" w:eastAsia="zh-CN"/>
        </w:rPr>
        <w:t>采购人</w:t>
      </w:r>
      <w:r>
        <w:rPr>
          <w:rFonts w:hint="eastAsia" w:ascii="宋体" w:hAnsi="宋体" w:cs="宋体"/>
          <w:sz w:val="24"/>
          <w:szCs w:val="24"/>
          <w:lang w:eastAsia="zh-CN"/>
        </w:rPr>
        <w:t>无关。</w:t>
      </w:r>
    </w:p>
    <w:p w14:paraId="600B0D1A">
      <w:pPr>
        <w:spacing w:line="360" w:lineRule="auto"/>
        <w:rPr>
          <w:rFonts w:ascii="宋体" w:hAnsi="宋体" w:cs="宋体"/>
          <w:b/>
          <w:bCs/>
          <w:sz w:val="24"/>
          <w:szCs w:val="24"/>
          <w:lang w:eastAsia="zh-CN"/>
        </w:rPr>
      </w:pPr>
      <w:r>
        <w:rPr>
          <w:rFonts w:hint="eastAsia" w:ascii="宋体" w:hAnsi="宋体" w:eastAsia="宋体" w:cs="宋体"/>
          <w:b/>
          <w:bCs/>
          <w:kern w:val="2"/>
          <w:sz w:val="24"/>
          <w:szCs w:val="24"/>
          <w:lang w:eastAsia="zh-CN"/>
        </w:rPr>
        <w:t>7、</w:t>
      </w:r>
      <w:r>
        <w:rPr>
          <w:rFonts w:hint="eastAsia" w:ascii="宋体" w:hAnsi="宋体" w:cs="宋体"/>
          <w:b/>
          <w:bCs/>
          <w:sz w:val="24"/>
          <w:szCs w:val="24"/>
          <w:lang w:eastAsia="zh-CN"/>
        </w:rPr>
        <w:t>货物验收及维修</w:t>
      </w:r>
    </w:p>
    <w:p w14:paraId="1800959C">
      <w:pPr>
        <w:spacing w:line="360" w:lineRule="auto"/>
        <w:rPr>
          <w:rFonts w:ascii="宋体" w:hAnsi="宋体" w:cs="宋体"/>
          <w:sz w:val="24"/>
          <w:szCs w:val="24"/>
          <w:lang w:eastAsia="zh-CN"/>
        </w:rPr>
      </w:pPr>
      <w:r>
        <w:rPr>
          <w:rFonts w:hint="eastAsia" w:ascii="宋体" w:hAnsi="宋体" w:cs="宋体"/>
          <w:sz w:val="24"/>
          <w:szCs w:val="24"/>
          <w:lang w:eastAsia="zh-CN"/>
        </w:rPr>
        <w:t xml:space="preserve">（1）供应商必须保证所提供货物为全新、未使用产品，符合安全使用标准，产品质量按谈判文件和响应文件上规定的材质等参数说明进行验收。签订合同前，供应商应按谈判文件要求提供家具样品，采购人按样品进行验收。 </w:t>
      </w:r>
    </w:p>
    <w:p w14:paraId="3878BD36">
      <w:pPr>
        <w:spacing w:line="360" w:lineRule="auto"/>
        <w:rPr>
          <w:rFonts w:ascii="宋体" w:hAnsi="宋体" w:cs="宋体"/>
          <w:sz w:val="24"/>
          <w:szCs w:val="24"/>
          <w:lang w:eastAsia="zh-CN"/>
        </w:rPr>
      </w:pPr>
      <w:r>
        <w:rPr>
          <w:rFonts w:hint="eastAsia" w:ascii="宋体" w:hAnsi="宋体" w:cs="宋体"/>
          <w:sz w:val="24"/>
          <w:szCs w:val="24"/>
          <w:lang w:eastAsia="zh-CN"/>
        </w:rPr>
        <w:t xml:space="preserve">（2）所有家具安装完毕后，采购人应在十个工作日内进行验收，如有特殊原因可适当延期。 </w:t>
      </w:r>
    </w:p>
    <w:p w14:paraId="4D5DAE68">
      <w:pPr>
        <w:spacing w:line="360" w:lineRule="auto"/>
        <w:rPr>
          <w:rFonts w:ascii="宋体" w:hAnsi="宋体" w:cs="宋体"/>
          <w:sz w:val="24"/>
          <w:szCs w:val="24"/>
          <w:lang w:eastAsia="zh-CN"/>
        </w:rPr>
      </w:pPr>
      <w:r>
        <w:rPr>
          <w:rFonts w:hint="eastAsia" w:ascii="宋体" w:hAnsi="宋体" w:cs="宋体"/>
          <w:sz w:val="24"/>
          <w:szCs w:val="24"/>
          <w:lang w:eastAsia="zh-CN"/>
        </w:rPr>
        <w:t>（3）</w:t>
      </w:r>
      <w:bookmarkStart w:id="4" w:name="auto_fouce_23"/>
      <w:r>
        <w:rPr>
          <w:rFonts w:hint="eastAsia" w:ascii="宋体" w:hAnsi="宋体" w:cs="宋体"/>
          <w:sz w:val="24"/>
          <w:szCs w:val="24"/>
          <w:lang w:eastAsia="zh-CN"/>
        </w:rPr>
        <w:t>质保期间，所有产品除采购人人为损坏或使用不当外，供应商应负责免费维护，但维修状况不影响采购人对该批货物已验收的效果。</w:t>
      </w:r>
      <w:bookmarkEnd w:id="4"/>
    </w:p>
    <w:p w14:paraId="0AEDEB7F">
      <w:pPr>
        <w:spacing w:line="360" w:lineRule="auto"/>
        <w:rPr>
          <w:rFonts w:ascii="宋体" w:hAnsi="宋体" w:cs="宋体"/>
          <w:b/>
          <w:bCs/>
          <w:sz w:val="24"/>
          <w:szCs w:val="24"/>
          <w:lang w:eastAsia="zh-CN"/>
        </w:rPr>
      </w:pPr>
      <w:r>
        <w:rPr>
          <w:rFonts w:hint="eastAsia" w:ascii="宋体" w:hAnsi="宋体" w:eastAsia="宋体" w:cs="宋体"/>
          <w:b/>
          <w:bCs/>
          <w:kern w:val="2"/>
          <w:sz w:val="24"/>
          <w:szCs w:val="24"/>
          <w:lang w:eastAsia="zh-CN"/>
        </w:rPr>
        <w:t>8、质量保证及</w:t>
      </w:r>
      <w:r>
        <w:rPr>
          <w:rFonts w:hint="eastAsia" w:ascii="宋体" w:hAnsi="宋体" w:cs="宋体"/>
          <w:b/>
          <w:bCs/>
          <w:sz w:val="24"/>
          <w:szCs w:val="24"/>
          <w:lang w:eastAsia="zh-CN"/>
        </w:rPr>
        <w:t>售后服务承诺</w:t>
      </w:r>
    </w:p>
    <w:p w14:paraId="254DD430">
      <w:pPr>
        <w:spacing w:line="360" w:lineRule="auto"/>
        <w:rPr>
          <w:rFonts w:ascii="宋体" w:hAnsi="宋体" w:cs="宋体"/>
          <w:sz w:val="24"/>
          <w:szCs w:val="24"/>
          <w:lang w:eastAsia="zh-CN"/>
        </w:rPr>
      </w:pPr>
      <w:r>
        <w:rPr>
          <w:rFonts w:hint="eastAsia" w:ascii="宋体" w:hAnsi="宋体" w:cs="宋体"/>
          <w:sz w:val="24"/>
          <w:szCs w:val="24"/>
          <w:lang w:eastAsia="zh-CN"/>
        </w:rPr>
        <w:t>（1）自货物验收合格之日起供应商提供三年的免费保修期（人为因素除外）。在保修期内，对采购人非人为原因出现质量问题的产品或配件进行免费维修，确定不能使用的产品和产品配件进行免费更换。</w:t>
      </w:r>
    </w:p>
    <w:p w14:paraId="06DF10E2">
      <w:pPr>
        <w:spacing w:line="360" w:lineRule="auto"/>
        <w:rPr>
          <w:rFonts w:ascii="宋体" w:hAnsi="宋体" w:cs="宋体"/>
          <w:sz w:val="24"/>
          <w:szCs w:val="24"/>
          <w:lang w:eastAsia="zh-CN"/>
        </w:rPr>
      </w:pPr>
      <w:r>
        <w:rPr>
          <w:rFonts w:hint="eastAsia" w:ascii="宋体" w:hAnsi="宋体" w:cs="宋体"/>
          <w:sz w:val="24"/>
          <w:szCs w:val="24"/>
          <w:lang w:eastAsia="zh-CN"/>
        </w:rPr>
        <w:t>（2）保修期满以后如产品质量出现问题供应商负责维修，只收取基本的料费和工费。</w:t>
      </w:r>
    </w:p>
    <w:p w14:paraId="50E0F185">
      <w:pPr>
        <w:spacing w:line="360" w:lineRule="auto"/>
        <w:rPr>
          <w:rFonts w:ascii="宋体" w:hAnsi="宋体" w:cs="宋体"/>
          <w:sz w:val="24"/>
          <w:szCs w:val="24"/>
          <w:lang w:eastAsia="zh-CN"/>
        </w:rPr>
      </w:pPr>
      <w:r>
        <w:rPr>
          <w:rFonts w:hint="eastAsia" w:ascii="宋体" w:hAnsi="宋体" w:cs="宋体"/>
          <w:sz w:val="24"/>
          <w:szCs w:val="24"/>
          <w:lang w:eastAsia="zh-CN"/>
        </w:rPr>
        <w:t>（3）维修响应时间：提供7x24小时售后服务热线；货物出现故障或质量问题，在接到采购人通知维修后，需1个工作日内安排人员到场维修。</w:t>
      </w:r>
    </w:p>
    <w:p w14:paraId="740AD6BA">
      <w:pPr>
        <w:spacing w:line="360" w:lineRule="auto"/>
        <w:rPr>
          <w:rFonts w:ascii="宋体" w:hAnsi="宋体" w:cs="宋体"/>
          <w:sz w:val="24"/>
          <w:szCs w:val="24"/>
          <w:lang w:eastAsia="zh-CN"/>
        </w:rPr>
      </w:pPr>
      <w:r>
        <w:rPr>
          <w:rFonts w:hint="eastAsia" w:ascii="宋体" w:hAnsi="宋体" w:cs="宋体"/>
          <w:sz w:val="24"/>
          <w:szCs w:val="24"/>
          <w:lang w:eastAsia="zh-CN"/>
        </w:rPr>
        <w:t>（4）如供应商办公地址、联系电话、传真号码发生变更，应在变更当日以书面形式通知采购人，否则应承担相应责任。</w:t>
      </w:r>
      <w:r>
        <w:rPr>
          <w:rFonts w:hint="eastAsia" w:ascii="宋体" w:hAnsi="宋体" w:cs="宋体"/>
          <w:sz w:val="24"/>
          <w:szCs w:val="24"/>
          <w:lang w:eastAsia="zh-CN"/>
        </w:rPr>
        <w:br w:type="textWrapping"/>
      </w:r>
      <w:r>
        <w:rPr>
          <w:rFonts w:hint="eastAsia" w:ascii="宋体" w:hAnsi="宋体" w:cs="宋体"/>
          <w:sz w:val="24"/>
          <w:szCs w:val="24"/>
          <w:lang w:eastAsia="zh-CN"/>
        </w:rPr>
        <w:t>（5）供应商保证每件家具应符合《家具使用说明书》明示的执行标准，且不得低于国家标准GB5296.6的要求。</w:t>
      </w:r>
    </w:p>
    <w:p w14:paraId="5EDCA63D">
      <w:pPr>
        <w:spacing w:line="360" w:lineRule="auto"/>
        <w:ind w:firstLine="480" w:firstLineChars="200"/>
        <w:rPr>
          <w:rFonts w:ascii="宋体" w:hAnsi="宋体" w:cs="宋体"/>
          <w:b/>
          <w:bCs/>
          <w:sz w:val="24"/>
          <w:szCs w:val="24"/>
          <w:highlight w:val="none"/>
          <w:lang w:eastAsia="zh-CN"/>
        </w:rPr>
      </w:pPr>
      <w:bookmarkStart w:id="5" w:name="auto_fouce_24"/>
      <w:r>
        <w:rPr>
          <w:rFonts w:hint="eastAsia" w:ascii="宋体" w:hAnsi="宋体" w:cs="宋体"/>
          <w:b/>
          <w:bCs/>
          <w:sz w:val="24"/>
          <w:szCs w:val="24"/>
          <w:highlight w:val="none"/>
          <w:lang w:eastAsia="zh-CN"/>
        </w:rPr>
        <w:t>成交结果公示期结束后</w:t>
      </w:r>
      <w:r>
        <w:rPr>
          <w:rFonts w:ascii="宋体" w:hAnsi="宋体" w:cs="宋体"/>
          <w:b/>
          <w:bCs/>
          <w:sz w:val="24"/>
          <w:szCs w:val="24"/>
          <w:highlight w:val="none"/>
          <w:lang w:eastAsia="zh-CN"/>
        </w:rPr>
        <w:t>，</w:t>
      </w:r>
      <w:r>
        <w:rPr>
          <w:rFonts w:hint="eastAsia" w:ascii="宋体" w:hAnsi="宋体" w:cs="宋体"/>
          <w:b/>
          <w:bCs/>
          <w:sz w:val="24"/>
          <w:szCs w:val="24"/>
          <w:highlight w:val="none"/>
          <w:lang w:eastAsia="zh-CN"/>
        </w:rPr>
        <w:t>成交</w:t>
      </w:r>
      <w:r>
        <w:rPr>
          <w:rFonts w:ascii="宋体" w:hAnsi="宋体" w:cs="宋体"/>
          <w:b/>
          <w:bCs/>
          <w:sz w:val="24"/>
          <w:szCs w:val="24"/>
          <w:highlight w:val="none"/>
          <w:lang w:eastAsia="zh-CN"/>
        </w:rPr>
        <w:t>供应商需在</w:t>
      </w:r>
      <w:r>
        <w:rPr>
          <w:rFonts w:hint="eastAsia" w:ascii="宋体" w:hAnsi="宋体" w:cs="宋体"/>
          <w:b/>
          <w:bCs/>
          <w:sz w:val="24"/>
          <w:szCs w:val="24"/>
          <w:highlight w:val="none"/>
          <w:lang w:eastAsia="zh-CN"/>
        </w:rPr>
        <w:t>五</w:t>
      </w:r>
      <w:r>
        <w:rPr>
          <w:rFonts w:ascii="宋体" w:hAnsi="宋体" w:cs="宋体"/>
          <w:b/>
          <w:bCs/>
          <w:sz w:val="24"/>
          <w:szCs w:val="24"/>
          <w:highlight w:val="none"/>
          <w:lang w:eastAsia="zh-CN"/>
        </w:rPr>
        <w:t>日内提供与</w:t>
      </w:r>
      <w:r>
        <w:rPr>
          <w:rFonts w:hint="eastAsia" w:ascii="宋体" w:hAnsi="宋体" w:cs="宋体"/>
          <w:b/>
          <w:bCs/>
          <w:sz w:val="24"/>
          <w:szCs w:val="24"/>
          <w:highlight w:val="none"/>
          <w:lang w:eastAsia="zh-CN"/>
        </w:rPr>
        <w:t>谈判</w:t>
      </w:r>
      <w:r>
        <w:rPr>
          <w:rFonts w:ascii="宋体" w:hAnsi="宋体" w:cs="宋体"/>
          <w:b/>
          <w:bCs/>
          <w:sz w:val="24"/>
          <w:szCs w:val="24"/>
          <w:highlight w:val="none"/>
          <w:lang w:eastAsia="zh-CN"/>
        </w:rPr>
        <w:t>文件技术要求相符的组合床柜样品。若样品不符合</w:t>
      </w:r>
      <w:r>
        <w:rPr>
          <w:rFonts w:hint="eastAsia" w:ascii="宋体" w:hAnsi="宋体" w:cs="宋体"/>
          <w:b/>
          <w:bCs/>
          <w:sz w:val="24"/>
          <w:szCs w:val="24"/>
          <w:highlight w:val="none"/>
          <w:lang w:eastAsia="zh-CN"/>
        </w:rPr>
        <w:t>谈判</w:t>
      </w:r>
      <w:r>
        <w:rPr>
          <w:rFonts w:ascii="宋体" w:hAnsi="宋体" w:cs="宋体"/>
          <w:b/>
          <w:bCs/>
          <w:sz w:val="24"/>
          <w:szCs w:val="24"/>
          <w:highlight w:val="none"/>
          <w:lang w:eastAsia="zh-CN"/>
        </w:rPr>
        <w:t>文件技术要求，采购人将不予签订合同。</w:t>
      </w:r>
      <w:bookmarkEnd w:id="5"/>
    </w:p>
    <w:p w14:paraId="51E257FD">
      <w:pPr>
        <w:spacing w:line="360" w:lineRule="auto"/>
        <w:ind w:firstLine="480" w:firstLineChars="200"/>
        <w:rPr>
          <w:rFonts w:ascii="宋体" w:hAnsi="宋体" w:cs="宋体"/>
          <w:b/>
          <w:bCs/>
          <w:sz w:val="24"/>
          <w:szCs w:val="24"/>
          <w:highlight w:val="none"/>
          <w:lang w:eastAsia="zh-CN"/>
        </w:rPr>
      </w:pPr>
      <w:r>
        <w:rPr>
          <w:rFonts w:hint="eastAsia" w:ascii="宋体" w:hAnsi="宋体" w:cs="宋体"/>
          <w:b/>
          <w:bCs/>
          <w:sz w:val="24"/>
          <w:szCs w:val="24"/>
          <w:highlight w:val="none"/>
          <w:lang w:eastAsia="zh-CN"/>
        </w:rPr>
        <w:t>注：响应</w:t>
      </w:r>
      <w:r>
        <w:rPr>
          <w:rFonts w:ascii="宋体" w:hAnsi="宋体" w:cs="宋体"/>
          <w:b/>
          <w:bCs/>
          <w:sz w:val="24"/>
          <w:szCs w:val="24"/>
          <w:highlight w:val="none"/>
          <w:lang w:eastAsia="zh-CN"/>
        </w:rPr>
        <w:t>文件中须针对</w:t>
      </w:r>
      <w:r>
        <w:rPr>
          <w:rFonts w:hint="eastAsia" w:ascii="宋体" w:hAnsi="宋体" w:cs="宋体"/>
          <w:b/>
          <w:bCs/>
          <w:sz w:val="24"/>
          <w:szCs w:val="24"/>
          <w:highlight w:val="none"/>
          <w:lang w:eastAsia="zh-CN"/>
        </w:rPr>
        <w:t>该项要求提供</w:t>
      </w:r>
      <w:r>
        <w:rPr>
          <w:rFonts w:ascii="宋体" w:hAnsi="宋体" w:cs="宋体"/>
          <w:b/>
          <w:bCs/>
          <w:sz w:val="24"/>
          <w:szCs w:val="24"/>
          <w:highlight w:val="none"/>
          <w:lang w:eastAsia="zh-CN"/>
        </w:rPr>
        <w:t>承诺函（格式自拟，内容不得缺失或更改）并加盖供应商公章，未提供、少提供或提供证明材料不符合要求者作无效响应处理。</w:t>
      </w:r>
    </w:p>
    <w:p w14:paraId="735658FA">
      <w:pPr>
        <w:spacing w:line="360" w:lineRule="auto"/>
        <w:rPr>
          <w:rFonts w:ascii="宋体" w:hAnsi="宋体" w:cs="宋体"/>
          <w:b/>
          <w:bCs/>
          <w:sz w:val="24"/>
          <w:szCs w:val="24"/>
          <w:lang w:eastAsia="zh-CN"/>
        </w:rPr>
      </w:pPr>
    </w:p>
    <w:p w14:paraId="0CE38590">
      <w:pPr>
        <w:pageBreakBefore w:val="0"/>
        <w:widowControl w:val="0"/>
        <w:wordWrap/>
        <w:overflowPunct/>
        <w:topLinePunct w:val="0"/>
        <w:bidi w:val="0"/>
        <w:spacing w:before="185" w:line="360" w:lineRule="auto"/>
        <w:ind w:left="480"/>
        <w:outlineLvl w:val="0"/>
        <w:rPr>
          <w:color w:val="auto"/>
          <w:highlight w:val="none"/>
          <w:lang w:eastAsia="zh-CN"/>
        </w:rPr>
      </w:pPr>
      <w:r>
        <w:rPr>
          <w:rFonts w:hint="eastAsia" w:ascii="宋体" w:hAnsi="宋体" w:cs="宋体"/>
          <w:b/>
          <w:bCs/>
          <w:sz w:val="24"/>
          <w:szCs w:val="24"/>
        </w:rPr>
        <w:t>注：以上商务要求均须完全满足，否则视为无效响应。</w:t>
      </w:r>
    </w:p>
    <w:p w14:paraId="58C0FCD5">
      <w:bookmarkStart w:id="6" w:name="_GoBack"/>
      <w:bookmarkEnd w:id="6"/>
    </w:p>
    <w:sectPr>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Emoji">
    <w:panose1 w:val="020B0502040204020203"/>
    <w:charset w:val="00"/>
    <w:family w:val="auto"/>
    <w:pitch w:val="default"/>
    <w:sig w:usb0="00000001" w:usb1="02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BB79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1.xml"/><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2026-06-15T08:50:22Z</dcterms:created>
  <dc:creator>乐斌</dc:creator>
  <cp:lastModifiedBy>乐斌</cp:lastModifiedBy>
  <dcterms:modified xsi:type="dcterms:W3CDTF">2026-06-15T08:50:44Z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eyJoZGlkIjoiNWU4ZDQ1NjE1MzE1ODA2NmNiZGZkMTU5ZGFjNzZhNWQiLCJ1c2VySWQiOiIyNTk3NTAyMTUifQ==</vt:lpwstr>
  </property>
  <property fmtid="{D5CDD505-2E9C-101B-9397-08002B2CF9AE}" pid="4" name="ICV">
    <vt:lpwstr>B71A8EB557FD4EF08FCF5763F4FBDF84_12</vt:lpwstr>
  </property>
</Properties>
</file>