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E78041">
      <w:pPr>
        <w:pageBreakBefore w:val="0"/>
        <w:widowControl w:val="0"/>
        <w:kinsoku/>
        <w:wordWrap/>
        <w:overflowPunct/>
        <w:topLinePunct w:val="0"/>
        <w:bidi w:val="0"/>
        <w:spacing w:before="83" w:line="224" w:lineRule="auto"/>
        <w:jc w:val="center"/>
        <w:outlineLvl w:val="0"/>
        <w:rPr>
          <w:rFonts w:hint="eastAsia" w:ascii="宋体" w:hAnsi="宋体" w:eastAsia="宋体" w:cs="宋体"/>
          <w:color w:val="auto"/>
          <w:spacing w:val="8"/>
          <w:sz w:val="31"/>
          <w:szCs w:val="31"/>
          <w:highlight w:val="none"/>
          <w:lang w:val="en-US"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21080"/>
      <w:bookmarkStart w:id="17" w:name="_GoBack"/>
      <w:bookmarkEnd w:id="17"/>
      <w:r>
        <w:rPr>
          <w:rFonts w:hint="eastAsia" w:ascii="宋体" w:hAnsi="宋体" w:eastAsia="宋体" w:cs="宋体"/>
          <w:color w:val="auto"/>
          <w:spacing w:val="8"/>
          <w:sz w:val="31"/>
          <w:szCs w:val="31"/>
          <w:highlight w:val="none"/>
          <w:lang w:val="en-US"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 xml:space="preserve">  采购需求</w:t>
      </w:r>
      <w:bookmarkEnd w:id="0"/>
    </w:p>
    <w:p w14:paraId="0F2A714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72" w:firstLineChars="200"/>
        <w:textAlignment w:val="baseline"/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1" w:name="_Toc13386"/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1"/>
    </w:p>
    <w:p w14:paraId="00D6E7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before="64" w:line="360" w:lineRule="auto"/>
        <w:ind w:firstLine="420" w:firstLineChars="200"/>
        <w:textAlignment w:val="baseline"/>
        <w:rPr>
          <w:rFonts w:hint="eastAsia" w:ascii="宋体" w:hAnsi="宋体" w:eastAsia="宋体" w:cs="宋体"/>
          <w:color w:val="auto"/>
          <w:highlight w:val="none"/>
        </w:rPr>
      </w:pPr>
    </w:p>
    <w:tbl>
      <w:tblPr>
        <w:tblStyle w:val="17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58"/>
        <w:gridCol w:w="807"/>
        <w:gridCol w:w="6150"/>
      </w:tblGrid>
      <w:tr w14:paraId="1C866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3" w:hRule="atLeast"/>
        </w:trPr>
        <w:tc>
          <w:tcPr>
            <w:tcW w:w="2058" w:type="dxa"/>
            <w:tcBorders>
              <w:right w:val="nil"/>
            </w:tcBorders>
          </w:tcPr>
          <w:p w14:paraId="27CEC8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83" w:line="360" w:lineRule="auto"/>
              <w:ind w:left="1091"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highlight w:val="none"/>
              </w:rPr>
              <w:drawing>
                <wp:anchor distT="0" distB="0" distL="0" distR="0" simplePos="0" relativeHeight="251660288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6C82F925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  <w:p w14:paraId="40F7ED8D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  <w:p w14:paraId="22D0E8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360" w:lineRule="auto"/>
              <w:ind w:left="481"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2CCD6524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  <w:p w14:paraId="56739E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360" w:lineRule="auto"/>
              <w:ind w:left="1311"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07" w:type="dxa"/>
            <w:tcBorders>
              <w:left w:val="nil"/>
            </w:tcBorders>
          </w:tcPr>
          <w:p w14:paraId="12B26195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  <w:p w14:paraId="0743B18A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  <w:p w14:paraId="144BF3D0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  <w:p w14:paraId="537402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360" w:lineRule="auto"/>
              <w:ind w:left="192"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  <w:vAlign w:val="center"/>
          </w:tcPr>
          <w:p w14:paraId="08CE98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渝⽔区2026年度城北街道、袁河街道、新钢街道（31个社区）“好社区”专项体检及建设咨询服务编制项⽬</w:t>
            </w:r>
          </w:p>
        </w:tc>
      </w:tr>
      <w:tr w14:paraId="23D2DF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4F8376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53" w:line="360" w:lineRule="auto"/>
              <w:ind w:left="1188"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  <w:vAlign w:val="center"/>
          </w:tcPr>
          <w:p w14:paraId="0E4CD573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</w:tr>
      <w:tr w14:paraId="612DA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74E771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53" w:line="360" w:lineRule="auto"/>
              <w:ind w:left="1071"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2856DFA6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6"/>
                <w:sz w:val="24"/>
                <w:szCs w:val="24"/>
                <w:highlight w:val="none"/>
                <w:lang w:val="en-US" w:eastAsia="en-US" w:bidi="ar-SA"/>
              </w:rPr>
              <w:t>签订合同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-6"/>
                <w:sz w:val="24"/>
                <w:szCs w:val="24"/>
                <w:highlight w:val="none"/>
                <w:lang w:val="en-US" w:eastAsia="zh-CN" w:bidi="ar-SA"/>
              </w:rPr>
              <w:t>45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-6"/>
                <w:sz w:val="24"/>
                <w:szCs w:val="24"/>
                <w:highlight w:val="none"/>
                <w:lang w:val="en-US" w:eastAsia="en-US" w:bidi="ar-SA"/>
              </w:rPr>
              <w:t>日之内提交最终成果。</w:t>
            </w:r>
          </w:p>
        </w:tc>
      </w:tr>
      <w:tr w14:paraId="19CBEE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69591C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56" w:line="360" w:lineRule="auto"/>
              <w:ind w:left="951"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4BB6DCE7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采购人指定地点</w:t>
            </w:r>
          </w:p>
        </w:tc>
      </w:tr>
      <w:tr w14:paraId="31E856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62C91B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56" w:line="360" w:lineRule="auto"/>
              <w:ind w:left="1189"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  <w:vAlign w:val="center"/>
          </w:tcPr>
          <w:p w14:paraId="350793D5">
            <w:pPr>
              <w:pStyle w:val="1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pacing w:val="-6"/>
                <w:sz w:val="24"/>
                <w:szCs w:val="24"/>
                <w:highlight w:val="none"/>
                <w:lang w:val="en-US" w:eastAsia="zh-CN" w:bidi="ar-SA"/>
              </w:rPr>
              <w:t>因项目资料保密原因，供应商参与投标基础资料请于招标人处进行登记并领取</w:t>
            </w:r>
          </w:p>
        </w:tc>
      </w:tr>
    </w:tbl>
    <w:p w14:paraId="4F86D0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line="360" w:lineRule="auto"/>
        <w:ind w:firstLine="420" w:firstLineChars="200"/>
        <w:textAlignment w:val="baseline"/>
        <w:rPr>
          <w:rFonts w:hint="eastAsia" w:ascii="宋体" w:hAnsi="宋体" w:eastAsia="宋体" w:cs="宋体"/>
          <w:color w:val="auto"/>
          <w:highlight w:val="none"/>
        </w:rPr>
      </w:pPr>
    </w:p>
    <w:p w14:paraId="0C0723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line="360" w:lineRule="auto"/>
        <w:ind w:firstLine="420" w:firstLineChars="200"/>
        <w:textAlignment w:val="baseline"/>
        <w:rPr>
          <w:rFonts w:hint="eastAsia" w:ascii="宋体" w:hAnsi="宋体" w:eastAsia="宋体" w:cs="宋体"/>
          <w:color w:val="auto"/>
          <w:highlight w:val="none"/>
        </w:rPr>
        <w:sectPr>
          <w:footerReference r:id="rId3" w:type="default"/>
          <w:pgSz w:w="11906" w:h="16839"/>
          <w:pgMar w:top="1232" w:right="1786" w:bottom="1156" w:left="1786" w:header="0" w:footer="994" w:gutter="0"/>
          <w:pgNumType w:fmt="decimal"/>
          <w:cols w:space="720" w:num="1"/>
        </w:sectPr>
      </w:pPr>
    </w:p>
    <w:p w14:paraId="52750DB3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72" w:firstLineChars="200"/>
        <w:jc w:val="center"/>
        <w:textAlignment w:val="baseline"/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2" w:name="_Toc18084"/>
      <w:bookmarkStart w:id="3" w:name="_Toc28864"/>
      <w:bookmarkStart w:id="4" w:name="_Toc21165"/>
      <w:bookmarkStart w:id="5" w:name="_Toc14661"/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  <w:bookmarkEnd w:id="2"/>
      <w:bookmarkEnd w:id="3"/>
      <w:bookmarkEnd w:id="4"/>
      <w:bookmarkEnd w:id="5"/>
    </w:p>
    <w:p w14:paraId="384F3F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line="360" w:lineRule="auto"/>
        <w:ind w:firstLine="420" w:firstLineChars="200"/>
        <w:textAlignment w:val="baseline"/>
        <w:rPr>
          <w:rFonts w:hint="eastAsia" w:ascii="宋体" w:hAnsi="宋体" w:eastAsia="宋体" w:cs="宋体"/>
          <w:color w:val="auto"/>
          <w:highlight w:val="none"/>
        </w:rPr>
      </w:pPr>
    </w:p>
    <w:p w14:paraId="5E2799BB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snapToGrid w:val="0"/>
        <w:spacing w:line="360" w:lineRule="auto"/>
        <w:ind w:firstLine="56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8"/>
          <w:szCs w:val="36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36"/>
          <w:highlight w:val="none"/>
          <w:lang w:val="en-US" w:eastAsia="zh-CN"/>
        </w:rPr>
        <w:t>技术要求</w:t>
      </w:r>
    </w:p>
    <w:p w14:paraId="2AE553D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0" w:leftChars="0" w:firstLine="48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（一）总体要求</w:t>
      </w:r>
    </w:p>
    <w:p w14:paraId="48C1C48F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近年来，中央和住建部为适应城市发展新阶段新形势，出台一系列政策和规划，明确要求大力实施城市更新行动，将城市更新工作作为新时期新型城镇化和城市工作的重点任务，提出打造创新、宜居、美丽、韧性、文明、智慧城市的目标，要加快转变城市发展方式、更好拉动投资消费、完善城市功能、提升城市品质、增进民生福祉，推进城市高质量发展。与此同时，随着经济的发展和社会的进步，人民群众对于美好生活的期盼也越来越高，这不仅表现在物质层面的要求，还包括精神文化层面的追求，并且其广度和深度都在延伸拓展，这就要求我们城市建设要随着形势的变化转变城市工作理念、改进城市工作方法，提升城市工作能力。城市工作需要更加精细、更为综合，不仅要关注宏观城市结构优化，更要关注微观生活场景塑造，让群众更能感知生活；不仅要关注物质空间建设，更要关注社会空间重构，提升城市治理能力。“好社区”建设顺应新形势变化，是中央所定、时代所需、群众所盼的民生实事，是城市发展的历史必然。</w:t>
      </w:r>
    </w:p>
    <w:p w14:paraId="4A538841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0" w:leftChars="0" w:firstLine="48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zh-CN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（二）工作目标</w:t>
      </w:r>
    </w:p>
    <w:p w14:paraId="6F228423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以建设“好社区”为目标，以群众反映强烈的难点、堵点、痛点问题为导向，开展社区本底资源调查，形成“社区本底资源台账”，同时深入查找韧性安全、舒适宜居、绿色低碳、智慧赋能、治理高效等方面的突出问题，形成“需求清单”、“项目清单”，并提出有针对性的整治建议；结合完整社区、城市社区嵌入式服务设施、城市一刻钟便民生活圈等社区工作，有序推进“好社区”建设，切实提升社区建设质量、服务水平和管理能力，增强人民群众获得感、幸福感、安全感。</w:t>
      </w:r>
    </w:p>
    <w:p w14:paraId="016F2759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0" w:leftChars="0" w:firstLine="48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 xml:space="preserve">（三）工作原则 </w:t>
      </w:r>
    </w:p>
    <w:p w14:paraId="768B4298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firstLine="482" w:firstLineChars="200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1.突出目标导则</w:t>
      </w:r>
    </w:p>
    <w:p w14:paraId="74BF62D1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推动建设生活舒适便利、居住韧性安全、治理体系成熟、服务智慧高效的“好社区”，满足人民日益增长的美好生活需要。</w:t>
      </w:r>
    </w:p>
    <w:p w14:paraId="1012E409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firstLine="482" w:firstLineChars="200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2.突出需求导向</w:t>
      </w:r>
    </w:p>
    <w:p w14:paraId="6EB4A1C8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以居民真实诉求作为社区治理的出发点和落脚点，通过“好社区”专项体检系统诊断社区问题短板，将居民反映的急难愁盼问题转化为具体需求，形成“需求清单”。</w:t>
      </w:r>
    </w:p>
    <w:p w14:paraId="5FB63236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firstLine="482" w:firstLineChars="200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3.聚焦治理导向</w:t>
      </w:r>
    </w:p>
    <w:p w14:paraId="70FC9944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将“好社区”专项体检作为社区更新的前提，形成“专项体检——更新实施方案——营建计划”的“好社区”建设工作模式，加强“好社区”专项体检成果在“好社区”更新实施方案中的应用，推动体检成果转化为社区人居环境建设和治理的重要依据，探索实践城市体检和城市更新一体化推进机制，切实解决社区建设短板。</w:t>
      </w:r>
    </w:p>
    <w:p w14:paraId="677F4089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firstLine="48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（四）主要任务</w:t>
      </w:r>
    </w:p>
    <w:p w14:paraId="37C592B3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Chars="0" w:firstLine="482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1.主要内容。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以《江西省“好社区”专项体检技术指南（试行）》为指引，具体工作如下：</w:t>
      </w:r>
    </w:p>
    <w:p w14:paraId="10FB77E8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0" w:leftChars="0" w:right="0" w:rightChars="0" w:firstLine="48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①</w:t>
      </w:r>
      <w:bookmarkStart w:id="6" w:name="_Toc20327"/>
      <w:bookmarkStart w:id="7" w:name="_Toc29148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指标体系构建</w:t>
      </w:r>
      <w:bookmarkEnd w:id="6"/>
      <w:bookmarkEnd w:id="7"/>
    </w:p>
    <w:p w14:paraId="34F5E132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567" w:leftChars="0" w:right="79" w:rightChars="0" w:firstLine="482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基础指标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：建立“5维度+12板块+39项指标”“好社区”专项体检基础指标体系。5维度包括韧性安全、舒适宜居、绿色低碳、智慧赋能、治理高效；12板块包括房屋安全、设施完善、应急处突、便民设施、服务设施、生态低碳、绿色建筑、智慧化改造、智慧服务、社区治理、社区文化、物业服务；39项指标主要是在目标和问题双导向下，结合各职能部门有关社区的工作目标与任务要求，以及为解决社区“急难愁盼”问题而设立的指标项。</w:t>
      </w:r>
    </w:p>
    <w:p w14:paraId="0C648FC4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2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自选指标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：在江西省“好社区”专项体检基础指标体系的基础上，可结合社区发展目标和定位、社区类型、社区风貌、历史文化、上一年度城市体检发现的突出问题和地方中心工作、民生实事项目等提炼增加社区自选指标，细化每项自选指标的指标解释、体检内容、指标类型等要求，做到可量化、可感知、可评价。</w:t>
      </w:r>
    </w:p>
    <w:p w14:paraId="6FCFAFE6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0" w:leftChars="0" w:right="0" w:rightChars="0" w:firstLine="48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②</w:t>
      </w:r>
      <w:bookmarkStart w:id="8" w:name="_Toc1738"/>
      <w:bookmarkStart w:id="9" w:name="_Toc14063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资源调查与数据采集</w:t>
      </w:r>
      <w:bookmarkEnd w:id="8"/>
      <w:bookmarkEnd w:id="9"/>
    </w:p>
    <w:p w14:paraId="2271B454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567" w:leftChars="0" w:right="79" w:rightChars="0" w:firstLine="482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bookmarkStart w:id="10" w:name="_Hlk203125725"/>
      <w:bookmarkStart w:id="11" w:name="_Toc4457"/>
      <w:bookmarkStart w:id="12" w:name="_Toc20433"/>
      <w:bookmarkStart w:id="13" w:name="_Hlk199251385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数据采集方式</w:t>
      </w:r>
      <w:bookmarkEnd w:id="10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及内容</w:t>
      </w:r>
      <w:bookmarkEnd w:id="11"/>
      <w:bookmarkEnd w:id="12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: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“好社区”专项体检应充分发动街道办事处、社区居民委员会、业主委员会、居民、物业服务企业等多方广泛参与。注重三个原则：一是突出采集内容的专业性与准确性，坚持实事求是，充分使用已有数据资源、报告等，避免重复调查；二是突出采集对象的广泛性，整合客观统计数据及主观民意调查数据；三是突出体检手段（或工具）的先进性，充分利用数据平台、网络端APP或其他能提高工作效率与工作质量的工具。具体的数据采集方式分为部门管理数据调取、现场实地踏勘、座谈访谈交流、遥感影像识别等方式。</w:t>
      </w:r>
    </w:p>
    <w:p w14:paraId="5CD46243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2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本底资源梳理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：结合社区数据采集，对接相关管理部门或有意向开展更新改造的物业权利人，进一步梳理社区人、房、地、钱、政等资源本底，并明确房屋建筑和市政设施产权边界。</w:t>
      </w:r>
    </w:p>
    <w:p w14:paraId="04E32CC2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2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bookmarkStart w:id="14" w:name="_Toc12676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生成本底资源台账</w:t>
      </w:r>
      <w:bookmarkEnd w:id="14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:通过现场资料收集和现场踏勘，对社区本底资源进行梳理，分门别类形成社区本底资源台账，同时形成本底资源一张图。</w:t>
      </w:r>
    </w:p>
    <w:p w14:paraId="0653B637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0" w:leftChars="0" w:right="0" w:rightChars="0" w:firstLine="48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③居民问卷抽样调查</w:t>
      </w:r>
    </w:p>
    <w:p w14:paraId="43C0A801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567" w:leftChars="0"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bookmarkStart w:id="15" w:name="_Toc14008"/>
      <w:bookmarkStart w:id="16" w:name="_Toc751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fldChar w:fldCharType="begin"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instrText xml:space="preserve"> HYPERLINK \l _Toc1811332663 </w:instrTex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fldChar w:fldCharType="separate"/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调查范围和样本数量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fldChar w:fldCharType="end"/>
      </w:r>
      <w:bookmarkEnd w:id="15"/>
      <w:bookmarkEnd w:id="16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居民问卷调查范围与社区体检范围保持一致，每个社区抽样数量不低于200份，发放对象除社区居民外，应覆盖街道、社区、业主委员会、物业服务企业等多方主体。</w:t>
      </w:r>
    </w:p>
    <w:p w14:paraId="14F8C168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2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调查人群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：调查目标人群为16周岁以上的居民。以相对稳定居住半年以上的居民为主，可包括短期停留或旅游、务工不足半年的群体。调查人群应尽量与社区的实际人口结构接近，男女性别比例相当。发放比例按16-30周岁、30-60周岁、60周岁以上三个年龄段人口数占社区人口总数的比例发放，各年龄段占问卷总数的比例浮动不超过5%。调查人群应涵盖党政机关或事业人员、教育科研人员、企业员工、工人、个体经营者、待业者等各行各业人员；流动人口、本地人口；覆盖低、中、高收入人群。其中，党政机关或事业人员比例不宜过高。</w:t>
      </w:r>
    </w:p>
    <w:p w14:paraId="4B8CBF27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2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调查内容：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居民抽样调查问卷主体包括房屋安全、设施完善、应急处突、便民设施、服务设施、生态低碳、绿色建筑、智慧化改造、智慧服务、社区治理、社区文化、物业服务及基本调查信息。</w:t>
      </w:r>
    </w:p>
    <w:p w14:paraId="5F1C5B1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2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调查方式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：以线上或线下问卷形式展开调查，可以通过“问卷星”、“智慧查”等调研工具开展居民问卷抽样调查工作，提高工作效率。鼓励体检城市结合实际情况，通过“12345政务服务热线”收集老百姓身边的急难愁盼问题，更加精细化、全面系统掌握社区需求情况。</w:t>
      </w:r>
    </w:p>
    <w:p w14:paraId="4C3B5295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0" w:leftChars="0" w:right="0" w:rightChars="0" w:firstLine="48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④分析评价</w:t>
      </w:r>
    </w:p>
    <w:p w14:paraId="6807CFAC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567" w:leftChars="0" w:right="79" w:rightChars="0" w:firstLine="482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评价目的：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一是作为“查找需求”的工具。通过对39项指标及12个板块的分析评价，发现房屋安全、设施完善、应急处突、便民设施、服务设施、生态低碳、绿色建筑、智慧化改造、智慧服务、社区治理、社区文化、物业服务等领域的问题，并归类转化为社区需求。</w:t>
      </w:r>
    </w:p>
    <w:p w14:paraId="04A6370D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二是辅助生成“需求清单”。将社区体检查找出的需求和居民问卷反馈的需求交叉验证后，再经过社区广泛协商提出“需求清单”。应在分析评价过程中明确各项指标的需求程度，对应紧迫性需求和一般性需求，作为限时解决类、尽力解决类等整治优先级的重要依据。</w:t>
      </w:r>
    </w:p>
    <w:p w14:paraId="4D26A11D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2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总体思路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：强化指标“三层次评估”分析。根据指标数据采集结果，针对每项体检指标进行逐一分析评价。按照“三层次评估”思路，分别从三个方面进行体检，一是设施配建有没有；二是设施配建够不够；三是设施服务效能好不好。</w:t>
      </w:r>
    </w:p>
    <w:p w14:paraId="60A50D6F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强化指标项的感知度权重。以居民的反馈为重要考量因子，增加居民对社区感知度的权重。通过居民问卷调查或座谈访谈等方式，查找每项指标项“服务效能好不好”，作为指标好不好的评价依据。</w:t>
      </w:r>
    </w:p>
    <w:p w14:paraId="0DABC482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0" w:leftChars="0" w:right="0" w:rightChars="0" w:firstLine="48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⑤生成“三张清单”</w:t>
      </w:r>
    </w:p>
    <w:p w14:paraId="6429B28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567" w:leftChars="0"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按照需求生成路径，将体检评价结果转化为可操作的治理需求，形成“需求清单”，为后续社区更新行动提供指引。对照《江西省“好社区”专项体检技术指南（试行）》标准，将碎片化的社区问题和居民诉求转化为可实施的需求清单。</w:t>
      </w:r>
    </w:p>
    <w:p w14:paraId="1034DFC0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通过匹配性分析和资源创造，将匹配度为“强匹配”和“中匹配”的需求，以及那些虽然为“弱匹配”或“无匹配”但已找到清晰资源创造路径的需求，优先列入资源清单，形成更新项目的“资源清单”。</w:t>
      </w:r>
    </w:p>
    <w:p w14:paraId="173A234E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“项目清单”是项目入库和审批的直接依据，经过方案设计和可行性验证后，形成“项目清单”。应包含项目所属工程、对应板块、需求程度、项目名称、项目位置、建设内容、项目投资总额和资金来源、项目建设时序、责任部门等。</w:t>
      </w:r>
      <w:bookmarkEnd w:id="13"/>
    </w:p>
    <w:p w14:paraId="15FC02FD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2.工作方式。建立政府主导、住房和城乡建设局牵头，相关部门、街道和社区共同参与，专业团队负责的工作机制。住房和城乡建设局遴选专业团队负责“好社区”专项体检数据采集和分析诊断，“好社区”专项体检结果，编写“好社区”专项体检报告。</w:t>
      </w:r>
    </w:p>
    <w:p w14:paraId="12DA4987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0" w:rightChars="0" w:firstLine="482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①“好社区”专项体检评估。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参考《江西省“好社区”专项体检技术指南（试行）》，制定符合实际的“好社区”体检指标体系，摸清社区建设成效和问题短板，形成“好社区”专项体检报告。</w:t>
      </w:r>
    </w:p>
    <w:p w14:paraId="754B53C5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0" w:rightChars="0" w:firstLine="482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②社会满意度调查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。与“好社区”专项体检评估同步开展社会满意度调查，通过问卷调查、实地走访等方式，调查分析群众对社区建设治理的满意度，查找居民感受到的突出问题和短板，调查结论和有关建议纳入“好社区”专项体检报告。</w:t>
      </w:r>
    </w:p>
    <w:p w14:paraId="610C4143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0" w:leftChars="0" w:firstLine="48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成果要求</w:t>
      </w:r>
    </w:p>
    <w:p w14:paraId="61AF5ED8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Chars="0"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编制31个“好社区”专项体检报告，主要内容应包括：“好社区”专项体检工作概述、数据采集汇聚情况、社区分析诊断与综合评价、居民抽样问卷调查、“需求清单”“资源清单”“项目清单”梳理、治理对策与保障机制等内容，最后形成“1+3”的成果体系，包括“好社区”专项体检工作报告、“好社区”专项体检指标分析报告、“好社区”专项体检问卷调查报告、好社区“三张清单”汇总表格。</w:t>
      </w:r>
    </w:p>
    <w:p w14:paraId="6E2EC623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0" w:leftChars="0" w:firstLine="48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体检指标范围</w:t>
      </w:r>
    </w:p>
    <w:p w14:paraId="2F88906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346" w:leftChars="165" w:right="0" w:rightChars="0" w:firstLine="48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（1）体检指标</w:t>
      </w:r>
    </w:p>
    <w:p w14:paraId="2B856B52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体检指标数量为“39+N”,其中39为“好社区”基础指标，“N”是特色指标。</w:t>
      </w:r>
    </w:p>
    <w:p w14:paraId="2091A001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346" w:leftChars="165" w:right="0" w:rightChars="0" w:firstLine="48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（2）体检对象与范围</w:t>
      </w:r>
    </w:p>
    <w:p w14:paraId="09E55D22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本项目体检范围为渝水区城北街道、袁河街道、新钢铁街道31个社区。</w:t>
      </w:r>
    </w:p>
    <w:p w14:paraId="7223CC19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城北街道（15个）：燕子山社区、缔景社区、北湖社区、丽湖社区、绿景社区、仙来湖社区、春龙社区、康盛社区、现代城社区、平安路社区、里木塘社区、西家山社区、长青社区、宝真社区、钟家山社区；</w:t>
      </w:r>
    </w:p>
    <w:p w14:paraId="7BEDD10F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袁河街道（7个）：虎山社区、丽竹社区、电工厂社区、恒大社区、盛德社区、长林社区、翠湖社区；</w:t>
      </w:r>
    </w:p>
    <w:p w14:paraId="3B01C864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新钢街道（9个）：公园北村社区、公园南村社区、望城社区、含笑社区、文化社区、环山社区、铁山社区、路东社区。</w:t>
      </w:r>
    </w:p>
    <w:p w14:paraId="20C758C9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snapToGrid w:val="0"/>
        <w:spacing w:line="360" w:lineRule="auto"/>
        <w:ind w:firstLine="56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8"/>
          <w:szCs w:val="36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36"/>
          <w:highlight w:val="none"/>
          <w:lang w:val="en-US" w:eastAsia="zh-CN"/>
        </w:rPr>
        <w:t>商务条件</w:t>
      </w:r>
    </w:p>
    <w:p w14:paraId="2CCF2172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1.付款方式</w:t>
      </w:r>
    </w:p>
    <w:p w14:paraId="37D87F3B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按项目进度付费，具体以最终签订合同为准。成交供应商提交编制文本通过专家评审后7日内，采购人向成交供应商支付总费用中标价的60%，成交供应商提交编制文本成果后7日内，采购人向成交供应商支付总费用中标价的40%。</w:t>
      </w:r>
    </w:p>
    <w:p w14:paraId="2CE64EBE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2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2.服务期限：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签订合同45日之内提交最终成果。</w:t>
      </w:r>
    </w:p>
    <w:p w14:paraId="3AA1D3E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2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3.服务地点：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采购人指定地点。</w:t>
      </w:r>
    </w:p>
    <w:p w14:paraId="2681FA5F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4.成果验收：</w:t>
      </w:r>
    </w:p>
    <w:p w14:paraId="05A0D850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（1）成交供应商提供的成果，必须符合磋商文件及其相关技术条款的要求，确保通过评审。因评审需要导致增加或减少成果内容的，不再另外增加或减少合同价格：因成交供应商原因导致项目成果无法通过评审的，采购人可以无条件拒收，造成的损失由成交供应商承担。</w:t>
      </w:r>
    </w:p>
    <w:p w14:paraId="47533335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（2）成果归采购人所有。成交供应商不得擅自利用成果开展其他工作或谋取利益，不得将成果交于第三方使用。</w:t>
      </w:r>
    </w:p>
    <w:p w14:paraId="67D79CED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（3）成果文件须达到国家相关文件要求，并通过省厅相关部门验收，且验收合格，验收相关费用由供应商自行承担。</w:t>
      </w:r>
    </w:p>
    <w:p w14:paraId="620A2BE3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60" w:lineRule="auto"/>
        <w:ind w:left="420" w:leftChars="200" w:right="79" w:rightChars="0" w:firstLine="482" w:firstLineChars="200"/>
        <w:jc w:val="both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注：以上技术、商务要求须完全响应或正偏离，任意一项不响应或负偏离作无效投标处理。</w:t>
      </w:r>
    </w:p>
    <w:p w14:paraId="3D1AA3F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E51A52">
    <w:pPr>
      <w:pStyle w:val="9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3" name="文本框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1099AAB">
                          <w:pPr>
                            <w:pStyle w:val="9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62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OJUQ0zAgAAYwQAAA4AAABkcnMvZTJvRG9jLnhtbK1US44TMRDdI3EH&#10;y3vSSUa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FOJUQ0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1099AAB">
                    <w:pPr>
                      <w:pStyle w:val="9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62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9EEE899"/>
    <w:multiLevelType w:val="singleLevel"/>
    <w:tmpl w:val="B9EEE899"/>
    <w:lvl w:ilvl="0" w:tentative="0">
      <w:start w:val="1"/>
      <w:numFmt w:val="chineseCounting"/>
      <w:suff w:val="nothing"/>
      <w:lvlText w:val="%1、"/>
      <w:lvlJc w:val="left"/>
      <w:rPr>
        <w:rFonts w:hint="eastAsia"/>
        <w:b/>
        <w:bCs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9A53BD"/>
    <w:rsid w:val="03591318"/>
    <w:rsid w:val="06EE25CD"/>
    <w:rsid w:val="0A1C48EC"/>
    <w:rsid w:val="0B1E315B"/>
    <w:rsid w:val="0CB072F9"/>
    <w:rsid w:val="0DDA1988"/>
    <w:rsid w:val="0F5B4DF4"/>
    <w:rsid w:val="11187622"/>
    <w:rsid w:val="112631E6"/>
    <w:rsid w:val="12DA7DE4"/>
    <w:rsid w:val="12FC1D5E"/>
    <w:rsid w:val="147857B0"/>
    <w:rsid w:val="14A05FBD"/>
    <w:rsid w:val="15464FE0"/>
    <w:rsid w:val="167C3BA9"/>
    <w:rsid w:val="17820E7E"/>
    <w:rsid w:val="1A5E1A3A"/>
    <w:rsid w:val="1BE93A56"/>
    <w:rsid w:val="1D1912B1"/>
    <w:rsid w:val="21E90E1C"/>
    <w:rsid w:val="23A423C5"/>
    <w:rsid w:val="25783B09"/>
    <w:rsid w:val="26201BC6"/>
    <w:rsid w:val="27712FBE"/>
    <w:rsid w:val="277875C4"/>
    <w:rsid w:val="28C734FE"/>
    <w:rsid w:val="28D265DF"/>
    <w:rsid w:val="2A586D3F"/>
    <w:rsid w:val="2C047E19"/>
    <w:rsid w:val="2D2B6198"/>
    <w:rsid w:val="2E0D299D"/>
    <w:rsid w:val="2E8E1686"/>
    <w:rsid w:val="2E951288"/>
    <w:rsid w:val="2F68442C"/>
    <w:rsid w:val="2F784D17"/>
    <w:rsid w:val="31550DA9"/>
    <w:rsid w:val="32C43EEA"/>
    <w:rsid w:val="32EC125D"/>
    <w:rsid w:val="36616DCD"/>
    <w:rsid w:val="372D7221"/>
    <w:rsid w:val="3749592E"/>
    <w:rsid w:val="375E6D03"/>
    <w:rsid w:val="379B6759"/>
    <w:rsid w:val="386A5FBB"/>
    <w:rsid w:val="39503683"/>
    <w:rsid w:val="39BE61AE"/>
    <w:rsid w:val="3AF34B74"/>
    <w:rsid w:val="3BCD7F49"/>
    <w:rsid w:val="3D07246C"/>
    <w:rsid w:val="42930538"/>
    <w:rsid w:val="458834DD"/>
    <w:rsid w:val="4647078D"/>
    <w:rsid w:val="46B972B8"/>
    <w:rsid w:val="486D18BD"/>
    <w:rsid w:val="492162E6"/>
    <w:rsid w:val="49413815"/>
    <w:rsid w:val="49F44C5D"/>
    <w:rsid w:val="4B4C0AC8"/>
    <w:rsid w:val="4D2858B9"/>
    <w:rsid w:val="4D607FF0"/>
    <w:rsid w:val="4FF95CC2"/>
    <w:rsid w:val="51341777"/>
    <w:rsid w:val="52187956"/>
    <w:rsid w:val="52A67ECA"/>
    <w:rsid w:val="535D3B74"/>
    <w:rsid w:val="537B495F"/>
    <w:rsid w:val="53D64FA5"/>
    <w:rsid w:val="5A782A88"/>
    <w:rsid w:val="5A9B6BFF"/>
    <w:rsid w:val="5B484B5D"/>
    <w:rsid w:val="5D027914"/>
    <w:rsid w:val="5E563CE0"/>
    <w:rsid w:val="5E833BE0"/>
    <w:rsid w:val="5EF8400A"/>
    <w:rsid w:val="5F7F42C6"/>
    <w:rsid w:val="62742987"/>
    <w:rsid w:val="62CF4061"/>
    <w:rsid w:val="6378223F"/>
    <w:rsid w:val="63E42EEF"/>
    <w:rsid w:val="659D0027"/>
    <w:rsid w:val="66E26535"/>
    <w:rsid w:val="6983774A"/>
    <w:rsid w:val="6AA41A85"/>
    <w:rsid w:val="6B023A2C"/>
    <w:rsid w:val="6D643E59"/>
    <w:rsid w:val="6E7317A6"/>
    <w:rsid w:val="6E777BBD"/>
    <w:rsid w:val="6FED1283"/>
    <w:rsid w:val="700F1F41"/>
    <w:rsid w:val="71870CEB"/>
    <w:rsid w:val="722B6D97"/>
    <w:rsid w:val="723F1383"/>
    <w:rsid w:val="79CE7C57"/>
    <w:rsid w:val="7EEC2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link w:val="15"/>
    <w:qFormat/>
    <w:uiPriority w:val="0"/>
    <w:pPr>
      <w:keepNext/>
      <w:keepLines/>
      <w:widowControl w:val="0"/>
      <w:spacing w:line="360" w:lineRule="auto"/>
      <w:ind w:left="0" w:right="0" w:firstLine="0" w:firstLineChars="0"/>
      <w:jc w:val="center"/>
      <w:outlineLvl w:val="0"/>
    </w:pPr>
    <w:rPr>
      <w:rFonts w:ascii="Times New Roman" w:hAnsi="Times New Roman" w:cs="Times New Roman"/>
      <w:b/>
      <w:bCs/>
      <w:kern w:val="44"/>
      <w:sz w:val="36"/>
      <w:szCs w:val="2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line="360" w:lineRule="auto"/>
      <w:outlineLvl w:val="1"/>
    </w:pPr>
    <w:rPr>
      <w:rFonts w:ascii="Arial" w:hAnsi="Arial" w:eastAsia="宋体"/>
      <w:b/>
      <w:bCs/>
      <w:sz w:val="30"/>
      <w:szCs w:val="3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360" w:lineRule="auto"/>
      <w:jc w:val="left"/>
      <w:outlineLvl w:val="2"/>
    </w:pPr>
    <w:rPr>
      <w:b/>
      <w:sz w:val="24"/>
    </w:rPr>
  </w:style>
  <w:style w:type="paragraph" w:styleId="5">
    <w:name w:val="heading 4"/>
    <w:basedOn w:val="1"/>
    <w:next w:val="1"/>
    <w:link w:val="16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240" w:lineRule="auto"/>
      <w:outlineLvl w:val="3"/>
    </w:pPr>
    <w:rPr>
      <w:rFonts w:ascii="Arial" w:hAnsi="Arial" w:eastAsia="黑体" w:cs="Times New Roman"/>
      <w:b/>
      <w:kern w:val="2"/>
      <w:sz w:val="24"/>
      <w:szCs w:val="24"/>
      <w:lang w:eastAsia="zh-CN"/>
    </w:rPr>
  </w:style>
  <w:style w:type="character" w:default="1" w:styleId="14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qFormat/>
    <w:uiPriority w:val="0"/>
    <w:pPr>
      <w:spacing w:after="120" w:afterLines="0" w:afterAutospacing="0"/>
    </w:pPr>
  </w:style>
  <w:style w:type="paragraph" w:styleId="7">
    <w:name w:val="toc 3"/>
    <w:basedOn w:val="1"/>
    <w:next w:val="1"/>
    <w:qFormat/>
    <w:uiPriority w:val="0"/>
    <w:pPr>
      <w:spacing w:line="288" w:lineRule="auto"/>
      <w:ind w:left="420" w:leftChars="200"/>
    </w:pPr>
    <w:rPr>
      <w:sz w:val="28"/>
    </w:rPr>
  </w:style>
  <w:style w:type="paragraph" w:styleId="8">
    <w:name w:val="Plain Text"/>
    <w:basedOn w:val="1"/>
    <w:qFormat/>
    <w:uiPriority w:val="0"/>
    <w:rPr>
      <w:rFonts w:ascii="宋体" w:hAnsi="Courier New"/>
    </w:r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10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right"/>
      <w:outlineLvl w:val="9"/>
    </w:pPr>
    <w:rPr>
      <w:sz w:val="18"/>
    </w:rPr>
  </w:style>
  <w:style w:type="paragraph" w:styleId="11">
    <w:name w:val="toc 1"/>
    <w:basedOn w:val="1"/>
    <w:next w:val="1"/>
    <w:qFormat/>
    <w:uiPriority w:val="0"/>
    <w:pPr>
      <w:spacing w:line="360" w:lineRule="auto"/>
    </w:pPr>
    <w:rPr>
      <w:rFonts w:ascii="Arial" w:hAnsi="Arial" w:eastAsia="宋体"/>
      <w:sz w:val="28"/>
    </w:rPr>
  </w:style>
  <w:style w:type="paragraph" w:styleId="12">
    <w:name w:val="toc 2"/>
    <w:basedOn w:val="1"/>
    <w:next w:val="1"/>
    <w:qFormat/>
    <w:uiPriority w:val="0"/>
    <w:pPr>
      <w:tabs>
        <w:tab w:val="right" w:leader="dot" w:pos="8306"/>
      </w:tabs>
      <w:spacing w:line="360" w:lineRule="auto"/>
      <w:ind w:left="420" w:leftChars="200"/>
    </w:pPr>
    <w:rPr>
      <w:rFonts w:ascii="宋体" w:hAnsi="宋体" w:eastAsia="宋体" w:cs="宋体"/>
      <w:sz w:val="28"/>
      <w:szCs w:val="24"/>
      <w:highlight w:val="none"/>
      <w:lang w:eastAsia="zh-CN"/>
      <w14:textOutline w14:w="4356" w14:cap="sq" w14:cmpd="sng" w14:algn="ctr">
        <w14:solidFill>
          <w14:srgbClr w14:val="000000"/>
        </w14:solidFill>
        <w14:prstDash w14:val="solid"/>
        <w14:bevel/>
      </w14:textOutline>
    </w:rPr>
  </w:style>
  <w:style w:type="character" w:customStyle="1" w:styleId="15">
    <w:name w:val="标题 1 Char"/>
    <w:link w:val="2"/>
    <w:qFormat/>
    <w:uiPriority w:val="0"/>
    <w:rPr>
      <w:rFonts w:ascii="Times New Roman" w:hAnsi="Times New Roman" w:eastAsia="宋体" w:cs="Times New Roman"/>
      <w:b/>
      <w:snapToGrid w:val="0"/>
      <w:color w:val="000000"/>
      <w:kern w:val="44"/>
      <w:sz w:val="44"/>
      <w:szCs w:val="24"/>
      <w:lang w:val="en-US" w:eastAsia="en-US" w:bidi="ar-SA"/>
    </w:rPr>
  </w:style>
  <w:style w:type="character" w:customStyle="1" w:styleId="16">
    <w:name w:val="标题 4 Char"/>
    <w:basedOn w:val="14"/>
    <w:link w:val="5"/>
    <w:qFormat/>
    <w:uiPriority w:val="0"/>
    <w:rPr>
      <w:rFonts w:ascii="Arial" w:hAnsi="Arial" w:eastAsia="黑体" w:cs="Times New Roman"/>
      <w:b/>
      <w:kern w:val="2"/>
      <w:sz w:val="24"/>
      <w:szCs w:val="24"/>
      <w:lang w:eastAsia="zh-CN"/>
    </w:rPr>
  </w:style>
  <w:style w:type="table" w:customStyle="1" w:styleId="1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8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2025-07-23T02:08:00Z</dcterms:created>
  <dc:creator>Administrator</dc:creator>
  <cp:lastModifiedBy>Administrator</cp:lastModifiedBy>
  <dcterms:modified xsi:type="dcterms:W3CDTF">2026-06-15T07:27:44Z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331FDF4393A34EE98226159377421F1D_12</vt:lpwstr>
  </property>
  <property fmtid="{D5CDD505-2E9C-101B-9397-08002B2CF9AE}" pid="4" name="KSOTemplateDocerSaveRecord">
    <vt:lpwstr>eyJoZGlkIjoiZDczOTAwNGMwYzdkYWI0MzY1OWYyNWU4ZTg4N2VmZjAiLCJ1c2VySWQiOiI5Njg2NzQ5NjUifQ==</vt:lpwstr>
  </property>
</Properties>
</file>