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63C1" w:rsidRPr="000A04B6" w:rsidRDefault="00D963C1" w:rsidP="00D963C1">
      <w:pPr>
        <w:pStyle w:val="1"/>
        <w:adjustRightInd w:val="0"/>
        <w:snapToGrid w:val="0"/>
        <w:spacing w:before="0" w:after="0" w:line="400" w:lineRule="exact"/>
        <w:ind w:firstLineChars="200" w:firstLine="482"/>
        <w:jc w:val="center"/>
        <w:rPr>
          <w:rFonts w:ascii="仿宋" w:eastAsia="仿宋" w:hAnsi="仿宋"/>
          <w:sz w:val="24"/>
          <w:szCs w:val="24"/>
        </w:rPr>
      </w:pPr>
      <w:r w:rsidRPr="000A04B6">
        <w:rPr>
          <w:rFonts w:ascii="仿宋" w:eastAsia="仿宋" w:hAnsi="仿宋" w:hint="eastAsia"/>
          <w:sz w:val="24"/>
          <w:szCs w:val="24"/>
        </w:rPr>
        <w:t>采购需求</w:t>
      </w:r>
    </w:p>
    <w:p w:rsidR="00D963C1" w:rsidRPr="000A04B6" w:rsidRDefault="00D963C1" w:rsidP="00D963C1">
      <w:pPr>
        <w:pStyle w:val="3"/>
        <w:adjustRightInd w:val="0"/>
        <w:snapToGrid w:val="0"/>
        <w:spacing w:before="0" w:after="0" w:line="400" w:lineRule="exact"/>
        <w:ind w:firstLineChars="200" w:firstLine="482"/>
        <w:jc w:val="left"/>
        <w:rPr>
          <w:rFonts w:ascii="仿宋" w:eastAsia="仿宋" w:hAnsi="仿宋"/>
          <w:snapToGrid w:val="0"/>
          <w:kern w:val="0"/>
          <w:sz w:val="24"/>
          <w:szCs w:val="24"/>
        </w:rPr>
      </w:pPr>
      <w:bookmarkStart w:id="0" w:name="_Toc27776086"/>
      <w:bookmarkStart w:id="1" w:name="_Toc28725668"/>
      <w:bookmarkStart w:id="2" w:name="_Toc15083746"/>
      <w:bookmarkStart w:id="3" w:name="_Toc22420026"/>
      <w:bookmarkStart w:id="4" w:name="_Toc19440547"/>
      <w:bookmarkStart w:id="5" w:name="_Toc17503581"/>
      <w:bookmarkStart w:id="6" w:name="_Toc22419433"/>
      <w:bookmarkStart w:id="7" w:name="_Toc23066916"/>
      <w:bookmarkStart w:id="8" w:name="_Toc37535956"/>
      <w:bookmarkStart w:id="9" w:name="_Toc53863009"/>
      <w:bookmarkStart w:id="10" w:name="_Toc78265492"/>
      <w:bookmarkStart w:id="11" w:name="_Toc114821565"/>
      <w:bookmarkStart w:id="12" w:name="_Toc146014248"/>
      <w:bookmarkStart w:id="13" w:name="_Toc180104275"/>
      <w:bookmarkStart w:id="14" w:name="_Toc229149265"/>
      <w:bookmarkStart w:id="15" w:name="_Toc229754068"/>
      <w:bookmarkStart w:id="16" w:name="_Toc229754986"/>
      <w:bookmarkStart w:id="17" w:name="_Toc439705641"/>
      <w:bookmarkStart w:id="18" w:name="_Toc36246873"/>
      <w:r w:rsidRPr="000A04B6">
        <w:rPr>
          <w:rFonts w:ascii="仿宋" w:eastAsia="仿宋" w:hAnsi="仿宋" w:hint="eastAsia"/>
          <w:snapToGrid w:val="0"/>
          <w:kern w:val="0"/>
          <w:sz w:val="24"/>
          <w:szCs w:val="24"/>
        </w:rPr>
        <w:t>一、</w:t>
      </w:r>
      <w:bookmarkStart w:id="19" w:name="OLE_LINK6"/>
      <w:bookmarkStart w:id="20" w:name="OLE_LINK34"/>
      <w:r w:rsidRPr="000A04B6">
        <w:rPr>
          <w:rFonts w:ascii="仿宋" w:eastAsia="仿宋" w:hAnsi="仿宋" w:hint="eastAsia"/>
          <w:snapToGrid w:val="0"/>
          <w:kern w:val="0"/>
          <w:sz w:val="24"/>
          <w:szCs w:val="24"/>
        </w:rPr>
        <w:t>采购需求及技术参数</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9"/>
      <w:bookmarkEnd w:id="20"/>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bookmarkStart w:id="21" w:name="_Toc53863010"/>
      <w:bookmarkStart w:id="22" w:name="_Toc78265493"/>
      <w:bookmarkStart w:id="23" w:name="_Toc114821566"/>
      <w:bookmarkStart w:id="24" w:name="_Toc146014249"/>
      <w:bookmarkStart w:id="25" w:name="_Toc180104276"/>
      <w:r w:rsidRPr="000A04B6">
        <w:rPr>
          <w:rFonts w:ascii="仿宋" w:eastAsia="仿宋" w:hAnsi="仿宋" w:hint="eastAsia"/>
          <w:snapToGrid w:val="0"/>
          <w:kern w:val="0"/>
          <w:sz w:val="24"/>
        </w:rPr>
        <w:t>品名1：电子支气管镜</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1、数量：1套</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2、技术参数及要求</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1）医用</w:t>
      </w:r>
      <w:bookmarkStart w:id="26" w:name="OLE_LINK32"/>
      <w:r w:rsidRPr="000A04B6">
        <w:rPr>
          <w:rFonts w:ascii="仿宋" w:eastAsia="仿宋" w:hAnsi="仿宋" w:hint="eastAsia"/>
          <w:snapToGrid w:val="0"/>
          <w:kern w:val="0"/>
          <w:sz w:val="24"/>
        </w:rPr>
        <w:t>内窥镜主机系统</w:t>
      </w:r>
      <w:bookmarkEnd w:id="26"/>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 xml:space="preserve">（1）主机光源一体化设计或分体设计； </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 xml:space="preserve">（2）全高清≥1920×1080视频信号输出； </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w:t>
      </w:r>
      <w:bookmarkStart w:id="27" w:name="OLE_LINK47"/>
      <w:bookmarkStart w:id="28" w:name="OLE_LINK48"/>
      <w:r w:rsidRPr="000A04B6">
        <w:rPr>
          <w:rFonts w:ascii="仿宋" w:eastAsia="仿宋" w:hAnsi="仿宋" w:hint="eastAsia"/>
          <w:snapToGrid w:val="0"/>
          <w:kern w:val="0"/>
          <w:sz w:val="24"/>
        </w:rPr>
        <w:t>具有色调调节功能和自动及手动调光模式，调光等级≥10级（档）；</w:t>
      </w:r>
      <w:bookmarkEnd w:id="27"/>
      <w:bookmarkEnd w:id="28"/>
      <w:r w:rsidRPr="000A04B6">
        <w:rPr>
          <w:rFonts w:ascii="仿宋" w:eastAsia="仿宋" w:hAnsi="仿宋" w:hint="eastAsia"/>
          <w:snapToGrid w:val="0"/>
          <w:kern w:val="0"/>
          <w:sz w:val="24"/>
        </w:rPr>
        <w:t xml:space="preserve"> </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（4）具有透光功能；</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（5）具有电子放大功能，数字放大</w:t>
      </w:r>
      <w:bookmarkStart w:id="29" w:name="OLE_LINK4"/>
      <w:bookmarkStart w:id="30" w:name="OLE_LINK3"/>
      <w:r w:rsidRPr="000A04B6">
        <w:rPr>
          <w:rFonts w:ascii="仿宋" w:eastAsia="仿宋" w:hAnsi="仿宋" w:hint="eastAsia"/>
          <w:snapToGrid w:val="0"/>
          <w:kern w:val="0"/>
          <w:sz w:val="24"/>
        </w:rPr>
        <w:t>≥</w:t>
      </w:r>
      <w:bookmarkEnd w:id="29"/>
      <w:bookmarkEnd w:id="30"/>
      <w:r w:rsidRPr="000A04B6">
        <w:rPr>
          <w:rFonts w:ascii="仿宋" w:eastAsia="仿宋" w:hAnsi="仿宋" w:hint="eastAsia"/>
          <w:snapToGrid w:val="0"/>
          <w:kern w:val="0"/>
          <w:sz w:val="24"/>
        </w:rPr>
        <w:t>3.0倍，≥3档可调；</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（6）可兼容胃镜，肠镜等；</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（7）数据存储和回放:内窥镜摄像系统主机可以存储和回放图像数据。</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2）电子支气管检查镜</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（1）头端部外径≤4.9mm；最小器械孔道≥2.0mm；</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（2）有</w:t>
      </w:r>
      <w:proofErr w:type="gramStart"/>
      <w:r w:rsidRPr="000A04B6">
        <w:rPr>
          <w:rFonts w:ascii="仿宋" w:eastAsia="仿宋" w:hAnsi="仿宋" w:hint="eastAsia"/>
          <w:snapToGrid w:val="0"/>
          <w:kern w:val="0"/>
          <w:sz w:val="24"/>
        </w:rPr>
        <w:t>插入部</w:t>
      </w:r>
      <w:proofErr w:type="gramEnd"/>
      <w:r w:rsidRPr="000A04B6">
        <w:rPr>
          <w:rFonts w:ascii="仿宋" w:eastAsia="仿宋" w:hAnsi="仿宋" w:hint="eastAsia"/>
          <w:snapToGrid w:val="0"/>
          <w:kern w:val="0"/>
          <w:sz w:val="24"/>
        </w:rPr>
        <w:t>旋转功能和向上弯曲≥180°及</w:t>
      </w:r>
      <w:bookmarkStart w:id="31" w:name="OLE_LINK36"/>
      <w:bookmarkStart w:id="32" w:name="OLE_LINK43"/>
      <w:r w:rsidRPr="000A04B6">
        <w:rPr>
          <w:rFonts w:ascii="仿宋" w:eastAsia="仿宋" w:hAnsi="仿宋" w:hint="eastAsia"/>
          <w:snapToGrid w:val="0"/>
          <w:kern w:val="0"/>
          <w:sz w:val="24"/>
        </w:rPr>
        <w:t>向下弯曲≥130°</w:t>
      </w:r>
      <w:bookmarkEnd w:id="31"/>
      <w:bookmarkEnd w:id="32"/>
      <w:r w:rsidRPr="000A04B6">
        <w:rPr>
          <w:rFonts w:ascii="仿宋" w:eastAsia="仿宋" w:hAnsi="仿宋" w:hint="eastAsia"/>
          <w:snapToGrid w:val="0"/>
          <w:kern w:val="0"/>
          <w:sz w:val="24"/>
        </w:rPr>
        <w:t>；</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（3）可兼容头端部外径：4.9mm，</w:t>
      </w:r>
      <w:proofErr w:type="gramStart"/>
      <w:r w:rsidRPr="000A04B6">
        <w:rPr>
          <w:rFonts w:ascii="仿宋" w:eastAsia="仿宋" w:hAnsi="仿宋" w:hint="eastAsia"/>
          <w:snapToGrid w:val="0"/>
          <w:kern w:val="0"/>
          <w:sz w:val="24"/>
        </w:rPr>
        <w:t>钳道孔</w:t>
      </w:r>
      <w:proofErr w:type="gramEnd"/>
      <w:r w:rsidRPr="000A04B6">
        <w:rPr>
          <w:rFonts w:ascii="仿宋" w:eastAsia="仿宋" w:hAnsi="仿宋" w:hint="eastAsia"/>
          <w:snapToGrid w:val="0"/>
          <w:kern w:val="0"/>
          <w:sz w:val="24"/>
        </w:rPr>
        <w:t>内径：≥2.0mm超大钳道内镜；</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3）电子支气管治疗镜</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（1）头端部外径≤5.9mm；最小器械孔道≥2.8mm；</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（2）有</w:t>
      </w:r>
      <w:proofErr w:type="gramStart"/>
      <w:r w:rsidRPr="000A04B6">
        <w:rPr>
          <w:rFonts w:ascii="仿宋" w:eastAsia="仿宋" w:hAnsi="仿宋" w:hint="eastAsia"/>
          <w:snapToGrid w:val="0"/>
          <w:kern w:val="0"/>
          <w:sz w:val="24"/>
        </w:rPr>
        <w:t>插入部</w:t>
      </w:r>
      <w:proofErr w:type="gramEnd"/>
      <w:r w:rsidRPr="000A04B6">
        <w:rPr>
          <w:rFonts w:ascii="仿宋" w:eastAsia="仿宋" w:hAnsi="仿宋" w:hint="eastAsia"/>
          <w:snapToGrid w:val="0"/>
          <w:kern w:val="0"/>
          <w:sz w:val="24"/>
        </w:rPr>
        <w:t>旋转功能和</w:t>
      </w:r>
      <w:bookmarkStart w:id="33" w:name="OLE_LINK38"/>
      <w:bookmarkStart w:id="34" w:name="OLE_LINK37"/>
      <w:bookmarkStart w:id="35" w:name="OLE_LINK42"/>
      <w:bookmarkStart w:id="36" w:name="OLE_LINK41"/>
      <w:r w:rsidRPr="000A04B6">
        <w:rPr>
          <w:rFonts w:ascii="仿宋" w:eastAsia="仿宋" w:hAnsi="仿宋" w:hint="eastAsia"/>
          <w:snapToGrid w:val="0"/>
          <w:kern w:val="0"/>
          <w:sz w:val="24"/>
        </w:rPr>
        <w:t>向上</w:t>
      </w:r>
      <w:bookmarkEnd w:id="33"/>
      <w:bookmarkEnd w:id="34"/>
      <w:r w:rsidRPr="000A04B6">
        <w:rPr>
          <w:rFonts w:ascii="仿宋" w:eastAsia="仿宋" w:hAnsi="仿宋" w:hint="eastAsia"/>
          <w:snapToGrid w:val="0"/>
          <w:kern w:val="0"/>
          <w:sz w:val="24"/>
        </w:rPr>
        <w:t>弯曲≥180°及向下</w:t>
      </w:r>
      <w:bookmarkStart w:id="37" w:name="OLE_LINK40"/>
      <w:r w:rsidRPr="000A04B6">
        <w:rPr>
          <w:rFonts w:ascii="仿宋" w:eastAsia="仿宋" w:hAnsi="仿宋" w:hint="eastAsia"/>
          <w:snapToGrid w:val="0"/>
          <w:kern w:val="0"/>
          <w:sz w:val="24"/>
        </w:rPr>
        <w:t>弯曲</w:t>
      </w:r>
      <w:bookmarkStart w:id="38" w:name="OLE_LINK39"/>
      <w:bookmarkEnd w:id="37"/>
      <w:r w:rsidRPr="000A04B6">
        <w:rPr>
          <w:rFonts w:ascii="仿宋" w:eastAsia="仿宋" w:hAnsi="仿宋" w:hint="eastAsia"/>
          <w:snapToGrid w:val="0"/>
          <w:kern w:val="0"/>
          <w:sz w:val="24"/>
        </w:rPr>
        <w:t>≥130°</w:t>
      </w:r>
      <w:bookmarkEnd w:id="38"/>
      <w:r w:rsidRPr="000A04B6">
        <w:rPr>
          <w:rFonts w:ascii="仿宋" w:eastAsia="仿宋" w:hAnsi="仿宋" w:hint="eastAsia"/>
          <w:snapToGrid w:val="0"/>
          <w:kern w:val="0"/>
          <w:sz w:val="24"/>
        </w:rPr>
        <w:t>；</w:t>
      </w:r>
      <w:bookmarkEnd w:id="35"/>
      <w:bookmarkEnd w:id="36"/>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3、配置清单</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1）医用内窥镜主机系统1套</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2）电子支气管检查镜1根</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3）电子支气管治疗镜1根</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4）≥24寸监视器1台</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5）专用台车1台</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6）内镜储存柜1台</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7）图文工作站1套</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品名2：动态心电图机</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1、数量：4台</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2、技术参数及要求</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1）存储容量及记录时长：存储容量≥16GB 的设备，以确保能够存储足够长时间的心电数据，满足24小时甚至更长时间的监测需求；</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2）具备断电续记功能；需具备电池电量、导联线连接、闪存卡等自动检测</w:t>
      </w:r>
      <w:r w:rsidRPr="000A04B6">
        <w:rPr>
          <w:rFonts w:ascii="仿宋" w:eastAsia="仿宋" w:hAnsi="仿宋" w:hint="eastAsia"/>
          <w:snapToGrid w:val="0"/>
          <w:kern w:val="0"/>
          <w:sz w:val="24"/>
        </w:rPr>
        <w:lastRenderedPageBreak/>
        <w:t>功能，并能在出现异常时进行报警</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3）LCD液晶,显示屏≥1.7寸；</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4）采样率：常规采样率128/256/512/1024/2048/4096Hz可选，起搏采样率12800Hz/25600Hz可选；</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5）数据传输：USB数据线/读卡器兼容用；</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6）A/D 转换位数：不小于16位，较高的转换位数可提高信号的转换精度，使记录的心电数据更准确；</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7）导联数目：12导联同步记录、显示和分析，具备心率变异性分析、心律失常分析、ST</w:t>
      </w:r>
      <w:proofErr w:type="gramStart"/>
      <w:r w:rsidRPr="000A04B6">
        <w:rPr>
          <w:rFonts w:ascii="仿宋" w:eastAsia="仿宋" w:hAnsi="仿宋" w:hint="eastAsia"/>
          <w:snapToGrid w:val="0"/>
          <w:kern w:val="0"/>
          <w:sz w:val="24"/>
        </w:rPr>
        <w:t>段分析</w:t>
      </w:r>
      <w:proofErr w:type="gramEnd"/>
      <w:r w:rsidRPr="000A04B6">
        <w:rPr>
          <w:rFonts w:ascii="仿宋" w:eastAsia="仿宋" w:hAnsi="仿宋" w:hint="eastAsia"/>
          <w:snapToGrid w:val="0"/>
          <w:kern w:val="0"/>
          <w:sz w:val="24"/>
        </w:rPr>
        <w:t>等基本功能，还应能提供直观的报告，方便医生或使用者查看和解读。</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8）ADC分辨率：8/10/12/16位可选</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9）共模抑制比：≥80dB</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10）软件可调整判定阈值，满足特殊病人类型或临床研究需要。</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11）一站编辑功能，实现传统模板主导模式和散点图编辑模式的有机融合。能同屏显示模板、事件、Lorenz散点图、</w:t>
      </w:r>
      <w:proofErr w:type="spellStart"/>
      <w:r w:rsidRPr="000A04B6">
        <w:rPr>
          <w:rFonts w:ascii="仿宋" w:eastAsia="仿宋" w:hAnsi="仿宋" w:hint="eastAsia"/>
          <w:snapToGrid w:val="0"/>
          <w:kern w:val="0"/>
          <w:sz w:val="24"/>
        </w:rPr>
        <w:t>tRR</w:t>
      </w:r>
      <w:proofErr w:type="spellEnd"/>
      <w:r w:rsidRPr="000A04B6">
        <w:rPr>
          <w:rFonts w:ascii="仿宋" w:eastAsia="仿宋" w:hAnsi="仿宋" w:hint="eastAsia"/>
          <w:snapToGrid w:val="0"/>
          <w:kern w:val="0"/>
          <w:sz w:val="24"/>
        </w:rPr>
        <w:t>散点图、叠加图、样本图、标准图、扫描图，并实现任意指定模块的自由组合。任意模块之间存在正向、逆向两种的互动响应。</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12）软件具有个性化的分析流程方案，用户拥有≥3项自定义界面布局的分析工具，分析工具能自由排列组合形成指定分析方案；</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3、配置清单</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1）动态心电记录仪（12导兼容3导）1台</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2）12导心电导联线1副</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3）记录仪背包1个</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4）USB数据回放线1副</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5）软件锁1个</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6）动态心电分析软件1套</w:t>
      </w:r>
    </w:p>
    <w:p w:rsidR="00D963C1" w:rsidRPr="000A04B6" w:rsidRDefault="00D963C1" w:rsidP="00D963C1">
      <w:pPr>
        <w:pStyle w:val="3"/>
        <w:adjustRightInd w:val="0"/>
        <w:snapToGrid w:val="0"/>
        <w:spacing w:before="0" w:after="0" w:line="400" w:lineRule="exact"/>
        <w:ind w:firstLineChars="200" w:firstLine="482"/>
        <w:jc w:val="left"/>
        <w:rPr>
          <w:rFonts w:ascii="仿宋" w:eastAsia="仿宋" w:hAnsi="仿宋"/>
          <w:snapToGrid w:val="0"/>
          <w:kern w:val="0"/>
          <w:sz w:val="24"/>
          <w:szCs w:val="24"/>
        </w:rPr>
      </w:pPr>
      <w:bookmarkStart w:id="39" w:name="_Toc229149266"/>
      <w:bookmarkStart w:id="40" w:name="_Toc229754069"/>
      <w:bookmarkStart w:id="41" w:name="_Toc229754987"/>
      <w:r w:rsidRPr="000A04B6">
        <w:rPr>
          <w:rFonts w:ascii="仿宋" w:eastAsia="仿宋" w:hAnsi="仿宋" w:hint="eastAsia"/>
          <w:snapToGrid w:val="0"/>
          <w:kern w:val="0"/>
          <w:sz w:val="24"/>
          <w:szCs w:val="24"/>
        </w:rPr>
        <w:t>二</w:t>
      </w:r>
      <w:r w:rsidRPr="000A04B6">
        <w:rPr>
          <w:rFonts w:ascii="仿宋" w:eastAsia="仿宋" w:hAnsi="仿宋"/>
          <w:snapToGrid w:val="0"/>
          <w:kern w:val="0"/>
          <w:sz w:val="24"/>
          <w:szCs w:val="24"/>
        </w:rPr>
        <w:t>、商务要求</w:t>
      </w:r>
      <w:bookmarkEnd w:id="17"/>
      <w:bookmarkEnd w:id="18"/>
      <w:bookmarkEnd w:id="21"/>
      <w:bookmarkEnd w:id="22"/>
      <w:bookmarkEnd w:id="23"/>
      <w:bookmarkEnd w:id="24"/>
      <w:bookmarkEnd w:id="25"/>
      <w:bookmarkEnd w:id="39"/>
      <w:bookmarkEnd w:id="40"/>
      <w:bookmarkEnd w:id="41"/>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1、售后服务</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1）质保期限：质保期五年（国家法规另有规定和生产企业优于的除外）。货物验收合格后，双方共同签署验收合格证书；签署验收合格之日起进入质保期（质保期内提供上门免费服务）。</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2）售后服务：</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（1）在质保期内，如果货物发生故障，中标人免费修复直至满足货物性能要求，或者免费更换整机或部分有缺陷的组件或材料。如货物经过维修更换部件，</w:t>
      </w:r>
      <w:r w:rsidRPr="000A04B6">
        <w:rPr>
          <w:rFonts w:ascii="仿宋" w:eastAsia="仿宋" w:hAnsi="仿宋" w:hint="eastAsia"/>
          <w:snapToGrid w:val="0"/>
          <w:kern w:val="0"/>
          <w:sz w:val="24"/>
        </w:rPr>
        <w:lastRenderedPageBreak/>
        <w:t>则该部件质量保证期自维修后正常工作之日起计算。</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（2）货物发生故障时，中标人接到采购人通知后2小时内</w:t>
      </w:r>
      <w:proofErr w:type="gramStart"/>
      <w:r w:rsidRPr="000A04B6">
        <w:rPr>
          <w:rFonts w:ascii="仿宋" w:eastAsia="仿宋" w:hAnsi="仿宋" w:hint="eastAsia"/>
          <w:snapToGrid w:val="0"/>
          <w:kern w:val="0"/>
          <w:sz w:val="24"/>
        </w:rPr>
        <w:t>作出</w:t>
      </w:r>
      <w:proofErr w:type="gramEnd"/>
      <w:r w:rsidRPr="000A04B6">
        <w:rPr>
          <w:rFonts w:ascii="仿宋" w:eastAsia="仿宋" w:hAnsi="仿宋" w:hint="eastAsia"/>
          <w:snapToGrid w:val="0"/>
          <w:kern w:val="0"/>
          <w:sz w:val="24"/>
        </w:rPr>
        <w:t>答复，12小时内达到现场，24小时内排除故障。</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3)技术培训：拟派经验丰富的专业技术人员提供技术培训,保证所有使用人员能熟练掌握货物各种功能的技术操作。</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2、知识产权：采购人在使用货物或货物的任何部分时不受任何关于侵犯所有权和工业产权、著作权（版权）等知识产权的指控。如果任何第三方提出侵权指控，中标人承担一切与之有关的责任。</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3、履约能力与实力：投标人或产品制造商（包括但不限于）具有本项目对应的生产与销售、检测和</w:t>
      </w:r>
      <w:r w:rsidRPr="000A04B6">
        <w:rPr>
          <w:rFonts w:ascii="仿宋" w:eastAsia="仿宋" w:hAnsi="仿宋"/>
          <w:snapToGrid w:val="0"/>
          <w:kern w:val="0"/>
          <w:sz w:val="24"/>
        </w:rPr>
        <w:t>技术白皮书</w:t>
      </w:r>
      <w:r w:rsidRPr="000A04B6">
        <w:rPr>
          <w:rFonts w:ascii="仿宋" w:eastAsia="仿宋" w:hAnsi="仿宋" w:hint="eastAsia"/>
          <w:snapToGrid w:val="0"/>
          <w:kern w:val="0"/>
          <w:sz w:val="24"/>
        </w:rPr>
        <w:t>等履约实力；</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4、验收：货物应符合国家相关安全质量标准、行业技术规范标准、环保节能标准和招标文件要约进行验收，采购人根据需要可委托第三方进行验收。</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5、投标报价：在开标一览表中报总价，包括成本费用、运杂费、安装调试费、售后服务费（含技术培训费）、验收费、</w:t>
      </w:r>
      <w:r w:rsidRPr="000A04B6">
        <w:rPr>
          <w:rFonts w:ascii="仿宋" w:eastAsia="仿宋" w:hAnsi="仿宋" w:cs="仿宋" w:hint="eastAsia"/>
          <w:snapToGrid w:val="0"/>
          <w:sz w:val="24"/>
        </w:rPr>
        <w:t>招标</w:t>
      </w:r>
      <w:r w:rsidRPr="000A04B6">
        <w:rPr>
          <w:rFonts w:ascii="仿宋" w:eastAsia="仿宋" w:hAnsi="仿宋" w:hint="eastAsia"/>
          <w:snapToGrid w:val="0"/>
          <w:kern w:val="0"/>
          <w:sz w:val="24"/>
        </w:rPr>
        <w:t>代理费</w:t>
      </w:r>
      <w:r w:rsidRPr="000A04B6">
        <w:rPr>
          <w:rFonts w:ascii="仿宋" w:eastAsia="仿宋" w:hAnsi="仿宋" w:cs="仿宋" w:hint="eastAsia"/>
          <w:snapToGrid w:val="0"/>
          <w:sz w:val="24"/>
        </w:rPr>
        <w:t>，</w:t>
      </w:r>
      <w:r w:rsidRPr="000A04B6">
        <w:rPr>
          <w:rFonts w:ascii="仿宋" w:eastAsia="仿宋" w:hAnsi="仿宋" w:hint="eastAsia"/>
          <w:snapToGrid w:val="0"/>
          <w:kern w:val="0"/>
          <w:sz w:val="24"/>
        </w:rPr>
        <w:t>利税以及合同实施过程中的应预见或不可预见等一切可能发生的费用。</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6、交货期限: 合同签订后30日内安装验收合格后交付采购人使用。</w:t>
      </w:r>
      <w:r w:rsidRPr="000A04B6">
        <w:rPr>
          <w:rFonts w:ascii="仿宋" w:eastAsia="仿宋" w:hAnsi="仿宋"/>
          <w:snapToGrid w:val="0"/>
          <w:kern w:val="0"/>
          <w:sz w:val="24"/>
        </w:rPr>
        <w:t>逾期</w:t>
      </w:r>
      <w:r w:rsidRPr="000A04B6">
        <w:rPr>
          <w:rFonts w:ascii="仿宋" w:eastAsia="仿宋" w:hAnsi="仿宋" w:hint="eastAsia"/>
          <w:snapToGrid w:val="0"/>
          <w:kern w:val="0"/>
          <w:sz w:val="24"/>
        </w:rPr>
        <w:t>视为违约，没收履约保证金，并每逾期一天从合同价款中扣除1000元作为处罚。</w:t>
      </w:r>
    </w:p>
    <w:p w:rsidR="00D963C1" w:rsidRPr="000A04B6" w:rsidRDefault="00D963C1" w:rsidP="00D963C1">
      <w:pPr>
        <w:adjustRightInd w:val="0"/>
        <w:snapToGrid w:val="0"/>
        <w:spacing w:line="400" w:lineRule="exact"/>
        <w:ind w:firstLineChars="200" w:firstLine="480"/>
        <w:jc w:val="left"/>
        <w:rPr>
          <w:rFonts w:ascii="仿宋" w:eastAsia="仿宋" w:hAnsi="仿宋"/>
          <w:snapToGrid w:val="0"/>
          <w:kern w:val="0"/>
          <w:sz w:val="24"/>
        </w:rPr>
      </w:pPr>
      <w:r w:rsidRPr="000A04B6">
        <w:rPr>
          <w:rFonts w:ascii="仿宋" w:eastAsia="仿宋" w:hAnsi="仿宋" w:hint="eastAsia"/>
          <w:snapToGrid w:val="0"/>
          <w:kern w:val="0"/>
          <w:sz w:val="24"/>
        </w:rPr>
        <w:t>7、付款方式: 货物验收合格后支付合同金额90%，余额</w:t>
      </w:r>
      <w:bookmarkStart w:id="42" w:name="_GoBack"/>
      <w:bookmarkEnd w:id="42"/>
      <w:r w:rsidRPr="000A04B6">
        <w:rPr>
          <w:rFonts w:ascii="仿宋" w:eastAsia="仿宋" w:hAnsi="仿宋" w:hint="eastAsia"/>
          <w:snapToGrid w:val="0"/>
          <w:kern w:val="0"/>
          <w:sz w:val="24"/>
        </w:rPr>
        <w:t>在合同中约定。</w:t>
      </w:r>
    </w:p>
    <w:p w:rsidR="00F434D7" w:rsidRPr="00D963C1" w:rsidRDefault="00F434D7"/>
    <w:sectPr w:rsidR="00F434D7" w:rsidRPr="00D963C1" w:rsidSect="00F434D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963C1"/>
    <w:rsid w:val="00D963C1"/>
    <w:rsid w:val="00F434D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3C1"/>
    <w:pPr>
      <w:widowControl w:val="0"/>
      <w:jc w:val="both"/>
    </w:pPr>
    <w:rPr>
      <w:rFonts w:ascii="Times New Roman" w:eastAsia="宋体" w:hAnsi="Times New Roman" w:cs="Times New Roman"/>
      <w:szCs w:val="24"/>
    </w:rPr>
  </w:style>
  <w:style w:type="paragraph" w:styleId="1">
    <w:name w:val="heading 1"/>
    <w:basedOn w:val="a"/>
    <w:next w:val="a"/>
    <w:link w:val="1Char"/>
    <w:qFormat/>
    <w:rsid w:val="00D963C1"/>
    <w:pPr>
      <w:keepNext/>
      <w:keepLines/>
      <w:spacing w:before="340" w:after="330" w:line="578" w:lineRule="auto"/>
      <w:outlineLvl w:val="0"/>
    </w:pPr>
    <w:rPr>
      <w:b/>
      <w:bCs/>
      <w:kern w:val="44"/>
      <w:sz w:val="44"/>
      <w:szCs w:val="44"/>
    </w:rPr>
  </w:style>
  <w:style w:type="paragraph" w:styleId="3">
    <w:name w:val="heading 3"/>
    <w:basedOn w:val="a"/>
    <w:next w:val="a"/>
    <w:link w:val="3Char"/>
    <w:uiPriority w:val="99"/>
    <w:qFormat/>
    <w:rsid w:val="00D963C1"/>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qFormat/>
    <w:rsid w:val="00D963C1"/>
    <w:rPr>
      <w:rFonts w:ascii="Times New Roman" w:eastAsia="宋体" w:hAnsi="Times New Roman" w:cs="Times New Roman"/>
      <w:b/>
      <w:bCs/>
      <w:kern w:val="44"/>
      <w:sz w:val="44"/>
      <w:szCs w:val="44"/>
    </w:rPr>
  </w:style>
  <w:style w:type="character" w:customStyle="1" w:styleId="3Char">
    <w:name w:val="标题 3 Char"/>
    <w:basedOn w:val="a0"/>
    <w:link w:val="3"/>
    <w:uiPriority w:val="99"/>
    <w:qFormat/>
    <w:rsid w:val="00D963C1"/>
    <w:rPr>
      <w:rFonts w:ascii="Times New Roman" w:eastAsia="宋体" w:hAnsi="Times New Roman" w:cs="Times New Roman"/>
      <w:b/>
      <w:bCs/>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284</Words>
  <Characters>1625</Characters>
  <Application>Microsoft Office Word</Application>
  <DocSecurity>0</DocSecurity>
  <Lines>13</Lines>
  <Paragraphs>3</Paragraphs>
  <ScaleCrop>false</ScaleCrop>
  <Company>P R C</Company>
  <LinksUpToDate>false</LinksUpToDate>
  <CharactersWithSpaces>1906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2026-06-15T01:51:00Z</dcterms:created>
  <dcterms:modified xsi:type="dcterms:W3CDTF">2026-06-15T01:51:00Z</dcterms:modified>
</cp:coreProperties>
</file>